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D2" w:rsidRDefault="000C0BD2" w:rsidP="005B03DE">
      <w:pPr>
        <w:rPr>
          <w:smallCaps/>
          <w:lang w:eastAsia="en-US"/>
        </w:rPr>
      </w:pPr>
    </w:p>
    <w:p w:rsidR="000C0BD2" w:rsidRDefault="000C0BD2" w:rsidP="005B03DE">
      <w:pPr>
        <w:rPr>
          <w:smallCaps/>
          <w:lang w:eastAsia="en-US"/>
        </w:rPr>
      </w:pPr>
    </w:p>
    <w:p w:rsidR="000C0BD2" w:rsidRDefault="000C0BD2" w:rsidP="001A5547">
      <w:pPr>
        <w:jc w:val="center"/>
        <w:rPr>
          <w:smallCaps/>
          <w:lang w:eastAsia="en-US"/>
        </w:rPr>
      </w:pPr>
    </w:p>
    <w:p w:rsidR="000C0BD2" w:rsidRDefault="009F03D1" w:rsidP="001A5547">
      <w:pPr>
        <w:jc w:val="center"/>
        <w:rPr>
          <w:smallCaps/>
          <w:lang w:eastAsia="en-US"/>
        </w:rPr>
      </w:pPr>
      <w:r>
        <w:rPr>
          <w:noProof/>
          <w:lang w:val="nl-NL"/>
        </w:rPr>
        <w:drawing>
          <wp:inline distT="0" distB="0" distL="0" distR="0">
            <wp:extent cx="1419225" cy="2381250"/>
            <wp:effectExtent l="0" t="0" r="9525" b="0"/>
            <wp:docPr id="1" name="Picture 2" descr="Beschrijving: LOGO kuleu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LOGO kuleuve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2381250"/>
                    </a:xfrm>
                    <a:prstGeom prst="rect">
                      <a:avLst/>
                    </a:prstGeom>
                    <a:noFill/>
                    <a:ln>
                      <a:noFill/>
                    </a:ln>
                  </pic:spPr>
                </pic:pic>
              </a:graphicData>
            </a:graphic>
          </wp:inline>
        </w:drawing>
      </w:r>
    </w:p>
    <w:p w:rsidR="000C0BD2" w:rsidRPr="00C21117" w:rsidRDefault="000C0BD2" w:rsidP="007B4E91">
      <w:pPr>
        <w:spacing w:before="240" w:line="360" w:lineRule="auto"/>
        <w:jc w:val="center"/>
        <w:rPr>
          <w:rStyle w:val="KleinKapitaalAuteursCtrlAltK"/>
        </w:rPr>
      </w:pPr>
      <w:r w:rsidRPr="00C21117">
        <w:rPr>
          <w:rStyle w:val="KleinKapitaalAuteursCtrlAltK"/>
        </w:rPr>
        <w:t>Katholieke Universiteit Leuven</w:t>
      </w:r>
    </w:p>
    <w:p w:rsidR="000C0BD2" w:rsidRDefault="000C0BD2" w:rsidP="00824397">
      <w:pPr>
        <w:spacing w:line="360" w:lineRule="auto"/>
        <w:jc w:val="center"/>
        <w:rPr>
          <w:rStyle w:val="KleinKapitaalAuteursCtrlAltK"/>
        </w:rPr>
      </w:pPr>
      <w:r w:rsidRPr="00C21117">
        <w:rPr>
          <w:rStyle w:val="KleinKapitaalAuteursCtrlAltK"/>
        </w:rPr>
        <w:t>Faculteit Rechtsgeleerdheid</w:t>
      </w:r>
      <w:r>
        <w:rPr>
          <w:rStyle w:val="Vet"/>
          <w:b w:val="0"/>
          <w:bCs w:val="0"/>
        </w:rPr>
        <w:br/>
      </w:r>
      <w:r>
        <w:rPr>
          <w:rStyle w:val="KleinKapitaalAuteursCtrlAltK"/>
        </w:rPr>
        <w:t>Academiejaar 2015 – 2016</w:t>
      </w:r>
    </w:p>
    <w:p w:rsidR="000C0BD2" w:rsidRPr="00824397" w:rsidRDefault="000C0BD2" w:rsidP="00824397">
      <w:pPr>
        <w:spacing w:line="360" w:lineRule="auto"/>
        <w:jc w:val="center"/>
        <w:rPr>
          <w:smallCaps/>
        </w:rPr>
      </w:pPr>
    </w:p>
    <w:p w:rsidR="000C0BD2" w:rsidRPr="005B03DE" w:rsidRDefault="000C0BD2" w:rsidP="005B03DE">
      <w:pPr>
        <w:tabs>
          <w:tab w:val="right" w:pos="9072"/>
        </w:tabs>
        <w:spacing w:line="360" w:lineRule="auto"/>
        <w:jc w:val="center"/>
        <w:rPr>
          <w:sz w:val="44"/>
          <w:szCs w:val="44"/>
        </w:rPr>
      </w:pPr>
      <w:r w:rsidRPr="00574612">
        <w:rPr>
          <w:b/>
          <w:bCs/>
          <w:sz w:val="44"/>
          <w:szCs w:val="44"/>
        </w:rPr>
        <w:t xml:space="preserve">“De </w:t>
      </w:r>
      <w:r>
        <w:rPr>
          <w:b/>
          <w:bCs/>
          <w:sz w:val="44"/>
          <w:szCs w:val="44"/>
        </w:rPr>
        <w:t>zin en onzin van meerouderschap”</w:t>
      </w:r>
    </w:p>
    <w:p w:rsidR="000A7521" w:rsidRDefault="000A7521" w:rsidP="009743AD">
      <w:pPr>
        <w:pStyle w:val="Title"/>
        <w:rPr>
          <w:rStyle w:val="Vet"/>
          <w:b/>
          <w:bCs/>
          <w:lang w:val="nl-BE"/>
        </w:rPr>
      </w:pPr>
    </w:p>
    <w:p w:rsidR="000A7521" w:rsidRPr="000A7521" w:rsidRDefault="000A7521" w:rsidP="000A7521"/>
    <w:p w:rsidR="000A7521" w:rsidRPr="000A7521" w:rsidRDefault="000A7521" w:rsidP="000A7521"/>
    <w:p w:rsidR="000A7521" w:rsidRPr="000A7521" w:rsidRDefault="000A7521" w:rsidP="000A7521"/>
    <w:p w:rsidR="000A7521" w:rsidRDefault="000A7521" w:rsidP="000A7521"/>
    <w:p w:rsidR="000A7521" w:rsidRDefault="000A7521" w:rsidP="000A7521"/>
    <w:p w:rsidR="000A7521" w:rsidRDefault="000A7521" w:rsidP="000A7521"/>
    <w:p w:rsidR="000A7521" w:rsidRDefault="000A7521" w:rsidP="000A7521"/>
    <w:p w:rsidR="000A7521" w:rsidRDefault="000A7521" w:rsidP="000A7521"/>
    <w:p w:rsidR="000A7521" w:rsidRDefault="000A7521" w:rsidP="000A7521"/>
    <w:p w:rsidR="000A7521" w:rsidRDefault="000A7521" w:rsidP="000A7521"/>
    <w:p w:rsidR="000A7521" w:rsidRPr="000A7521" w:rsidRDefault="000A7521" w:rsidP="000A7521"/>
    <w:p w:rsidR="000A7521" w:rsidRPr="000A7521" w:rsidRDefault="000A7521" w:rsidP="000A7521"/>
    <w:p w:rsidR="000A7521" w:rsidRDefault="000A7521" w:rsidP="000A7521"/>
    <w:p w:rsidR="000A7521" w:rsidRPr="000A7521" w:rsidRDefault="000A7521" w:rsidP="000A7521"/>
    <w:p w:rsidR="000A7521" w:rsidRPr="000A7521" w:rsidRDefault="000A7521" w:rsidP="000A7521"/>
    <w:p w:rsidR="000A7521" w:rsidRPr="000A7521" w:rsidRDefault="000A7521" w:rsidP="000A75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A7521" w:rsidTr="000A7521">
        <w:tc>
          <w:tcPr>
            <w:tcW w:w="4814" w:type="dxa"/>
          </w:tcPr>
          <w:p w:rsidR="000A7521" w:rsidRDefault="000A7521" w:rsidP="000A7521">
            <w:pPr>
              <w:rPr>
                <w:b/>
                <w:bCs/>
                <w:smallCaps/>
              </w:rPr>
            </w:pPr>
            <w:r w:rsidRPr="00574612">
              <w:t xml:space="preserve">Promotor: </w:t>
            </w:r>
            <w:r w:rsidRPr="00652356">
              <w:rPr>
                <w:b/>
                <w:bCs/>
              </w:rPr>
              <w:t xml:space="preserve">Prof. Dr. </w:t>
            </w:r>
            <w:r w:rsidRPr="00652356">
              <w:rPr>
                <w:b/>
                <w:bCs/>
                <w:smallCaps/>
              </w:rPr>
              <w:t xml:space="preserve">I. </w:t>
            </w:r>
            <w:r>
              <w:rPr>
                <w:b/>
                <w:bCs/>
                <w:smallCaps/>
              </w:rPr>
              <w:t>BOONE</w:t>
            </w:r>
          </w:p>
          <w:p w:rsidR="000A7521" w:rsidRDefault="000A7521" w:rsidP="000A7521">
            <w:pPr>
              <w:rPr>
                <w:b/>
                <w:bCs/>
                <w:smallCaps/>
              </w:rPr>
            </w:pPr>
          </w:p>
          <w:p w:rsidR="000A7521" w:rsidRDefault="005A0E8B" w:rsidP="000A7521">
            <w:r>
              <w:t>Begeleidste</w:t>
            </w:r>
            <w:r w:rsidR="000A7521">
              <w:t>r</w:t>
            </w:r>
            <w:r w:rsidR="000A7521" w:rsidRPr="00574612">
              <w:t xml:space="preserve">: </w:t>
            </w:r>
            <w:r w:rsidR="000A7521" w:rsidRPr="00652356">
              <w:rPr>
                <w:b/>
                <w:bCs/>
                <w:smallCaps/>
              </w:rPr>
              <w:t xml:space="preserve">M. </w:t>
            </w:r>
            <w:r w:rsidR="000A7521">
              <w:rPr>
                <w:b/>
                <w:bCs/>
                <w:smallCaps/>
              </w:rPr>
              <w:t>GOEGEBUER</w:t>
            </w:r>
          </w:p>
        </w:tc>
        <w:tc>
          <w:tcPr>
            <w:tcW w:w="4814" w:type="dxa"/>
          </w:tcPr>
          <w:p w:rsidR="000A7521" w:rsidRDefault="000A7521" w:rsidP="000A7521">
            <w:pPr>
              <w:jc w:val="right"/>
            </w:pPr>
            <w:r>
              <w:t xml:space="preserve">Masterscriptie ingediend door </w:t>
            </w:r>
            <w:r>
              <w:br/>
            </w:r>
            <w:r>
              <w:br/>
            </w:r>
            <w:r w:rsidRPr="0073125D">
              <w:rPr>
                <w:b/>
                <w:bCs/>
              </w:rPr>
              <w:t xml:space="preserve">Irgen </w:t>
            </w:r>
            <w:r>
              <w:rPr>
                <w:b/>
                <w:bCs/>
              </w:rPr>
              <w:t>DE PRETER</w:t>
            </w:r>
            <w:r>
              <w:br/>
            </w:r>
            <w:r>
              <w:br/>
              <w:t xml:space="preserve">bij het eindexamen voor de graad van </w:t>
            </w:r>
            <w:r>
              <w:br/>
            </w:r>
            <w:r>
              <w:br/>
              <w:t>MASTER IN DE RECHTEN</w:t>
            </w:r>
          </w:p>
        </w:tc>
      </w:tr>
    </w:tbl>
    <w:p w:rsidR="000C0BD2" w:rsidRPr="000A7521" w:rsidRDefault="000C0BD2" w:rsidP="000A7521">
      <w:pPr>
        <w:tabs>
          <w:tab w:val="center" w:pos="4819"/>
        </w:tabs>
        <w:sectPr w:rsidR="000C0BD2" w:rsidRPr="000A7521" w:rsidSect="00597F9D">
          <w:headerReference w:type="default" r:id="rId9"/>
          <w:footerReference w:type="default" r:id="rId10"/>
          <w:footerReference w:type="first" r:id="rId11"/>
          <w:type w:val="oddPage"/>
          <w:pgSz w:w="11906" w:h="16838" w:code="9"/>
          <w:pgMar w:top="1418" w:right="1134" w:bottom="1418" w:left="1134" w:header="709" w:footer="822" w:gutter="0"/>
          <w:pgNumType w:fmt="lowerRoman" w:start="1"/>
          <w:cols w:space="708"/>
          <w:titlePg/>
          <w:docGrid w:linePitch="360"/>
        </w:sectPr>
      </w:pPr>
    </w:p>
    <w:p w:rsidR="000C0BD2" w:rsidRDefault="000C0BD2" w:rsidP="006B31BD">
      <w:pPr>
        <w:jc w:val="center"/>
        <w:rPr>
          <w:smallCaps/>
          <w:lang w:eastAsia="en-US"/>
        </w:rPr>
      </w:pPr>
    </w:p>
    <w:p w:rsidR="000C0BD2" w:rsidRDefault="000C0BD2" w:rsidP="006B31BD">
      <w:pPr>
        <w:jc w:val="center"/>
        <w:rPr>
          <w:smallCaps/>
          <w:lang w:eastAsia="en-US"/>
        </w:rPr>
      </w:pPr>
    </w:p>
    <w:p w:rsidR="000C0BD2" w:rsidRDefault="000C0BD2" w:rsidP="006B31BD">
      <w:pPr>
        <w:jc w:val="center"/>
        <w:rPr>
          <w:smallCaps/>
          <w:lang w:eastAsia="en-US"/>
        </w:rPr>
      </w:pPr>
    </w:p>
    <w:p w:rsidR="000C0BD2" w:rsidRDefault="009F03D1" w:rsidP="006B31BD">
      <w:pPr>
        <w:jc w:val="center"/>
        <w:rPr>
          <w:smallCaps/>
          <w:lang w:eastAsia="en-US"/>
        </w:rPr>
      </w:pPr>
      <w:r>
        <w:rPr>
          <w:noProof/>
          <w:lang w:val="nl-NL"/>
        </w:rPr>
        <w:drawing>
          <wp:inline distT="0" distB="0" distL="0" distR="0">
            <wp:extent cx="1419225" cy="2381250"/>
            <wp:effectExtent l="0" t="0" r="9525" b="0"/>
            <wp:docPr id="2" name="Afbeelding 2" descr="Beschrijving: LOGO kuleu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chrijving: LOGO kuleuve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2381250"/>
                    </a:xfrm>
                    <a:prstGeom prst="rect">
                      <a:avLst/>
                    </a:prstGeom>
                    <a:noFill/>
                    <a:ln>
                      <a:noFill/>
                    </a:ln>
                  </pic:spPr>
                </pic:pic>
              </a:graphicData>
            </a:graphic>
          </wp:inline>
        </w:drawing>
      </w:r>
    </w:p>
    <w:p w:rsidR="000C0BD2" w:rsidRPr="00C21117" w:rsidRDefault="000C0BD2" w:rsidP="006B31BD">
      <w:pPr>
        <w:spacing w:before="240" w:line="360" w:lineRule="auto"/>
        <w:jc w:val="center"/>
        <w:rPr>
          <w:rStyle w:val="KleinKapitaalAuteursCtrlAltK"/>
        </w:rPr>
      </w:pPr>
      <w:r w:rsidRPr="00C21117">
        <w:rPr>
          <w:rStyle w:val="KleinKapitaalAuteursCtrlAltK"/>
        </w:rPr>
        <w:t>Katholieke Universiteit Leuven</w:t>
      </w:r>
    </w:p>
    <w:p w:rsidR="000C0BD2" w:rsidRDefault="000C0BD2" w:rsidP="006B31BD">
      <w:pPr>
        <w:spacing w:line="360" w:lineRule="auto"/>
        <w:jc w:val="center"/>
        <w:rPr>
          <w:rStyle w:val="KleinKapitaalAuteursCtrlAltK"/>
        </w:rPr>
      </w:pPr>
      <w:r w:rsidRPr="00C21117">
        <w:rPr>
          <w:rStyle w:val="KleinKapitaalAuteursCtrlAltK"/>
        </w:rPr>
        <w:t>Faculteit Rechtsgeleerdheid</w:t>
      </w:r>
      <w:r>
        <w:rPr>
          <w:rStyle w:val="Vet"/>
          <w:b w:val="0"/>
          <w:bCs w:val="0"/>
        </w:rPr>
        <w:br/>
      </w:r>
      <w:r>
        <w:rPr>
          <w:rStyle w:val="KleinKapitaalAuteursCtrlAltK"/>
        </w:rPr>
        <w:t>Academiejaar 2015 – 2016</w:t>
      </w:r>
    </w:p>
    <w:p w:rsidR="000C0BD2" w:rsidRPr="00824397" w:rsidRDefault="000C0BD2" w:rsidP="006B31BD">
      <w:pPr>
        <w:spacing w:line="360" w:lineRule="auto"/>
        <w:jc w:val="center"/>
        <w:rPr>
          <w:smallCaps/>
        </w:rPr>
      </w:pPr>
    </w:p>
    <w:p w:rsidR="000A7521" w:rsidRDefault="000C0BD2" w:rsidP="000A7521">
      <w:pPr>
        <w:tabs>
          <w:tab w:val="right" w:pos="9072"/>
        </w:tabs>
        <w:spacing w:line="360" w:lineRule="auto"/>
        <w:jc w:val="center"/>
        <w:rPr>
          <w:b/>
          <w:bCs/>
          <w:sz w:val="44"/>
          <w:szCs w:val="44"/>
        </w:rPr>
      </w:pPr>
      <w:r w:rsidRPr="00574612">
        <w:rPr>
          <w:b/>
          <w:bCs/>
          <w:sz w:val="44"/>
          <w:szCs w:val="44"/>
        </w:rPr>
        <w:t xml:space="preserve">“De </w:t>
      </w:r>
      <w:r>
        <w:rPr>
          <w:b/>
          <w:bCs/>
          <w:sz w:val="44"/>
          <w:szCs w:val="44"/>
        </w:rPr>
        <w:t>zin en onzin van meerouderschap”</w:t>
      </w:r>
    </w:p>
    <w:p w:rsidR="000A7521" w:rsidRDefault="000A7521" w:rsidP="000A7521">
      <w:pPr>
        <w:tabs>
          <w:tab w:val="right" w:pos="9072"/>
        </w:tabs>
        <w:spacing w:line="360" w:lineRule="auto"/>
        <w:jc w:val="center"/>
        <w:rPr>
          <w:b/>
          <w:bCs/>
          <w:sz w:val="44"/>
          <w:szCs w:val="44"/>
        </w:rPr>
      </w:pPr>
    </w:p>
    <w:p w:rsidR="000A7521" w:rsidRDefault="000A7521" w:rsidP="000A7521">
      <w:pPr>
        <w:tabs>
          <w:tab w:val="right" w:pos="9072"/>
        </w:tabs>
        <w:spacing w:line="360" w:lineRule="auto"/>
        <w:jc w:val="center"/>
        <w:rPr>
          <w:b/>
          <w:bCs/>
          <w:sz w:val="44"/>
          <w:szCs w:val="44"/>
        </w:rPr>
      </w:pPr>
    </w:p>
    <w:p w:rsidR="000A7521" w:rsidRDefault="000A7521" w:rsidP="000A7521">
      <w:pPr>
        <w:tabs>
          <w:tab w:val="right" w:pos="9072"/>
        </w:tabs>
        <w:spacing w:line="360" w:lineRule="auto"/>
        <w:jc w:val="center"/>
        <w:rPr>
          <w:b/>
          <w:bCs/>
          <w:sz w:val="44"/>
          <w:szCs w:val="44"/>
        </w:rPr>
      </w:pPr>
    </w:p>
    <w:p w:rsidR="000A7521" w:rsidRDefault="000A7521" w:rsidP="000A7521">
      <w:pPr>
        <w:tabs>
          <w:tab w:val="right" w:pos="9072"/>
        </w:tabs>
        <w:spacing w:line="360" w:lineRule="auto"/>
        <w:jc w:val="center"/>
        <w:rPr>
          <w:b/>
          <w:bCs/>
          <w:sz w:val="44"/>
          <w:szCs w:val="44"/>
        </w:rPr>
      </w:pPr>
    </w:p>
    <w:p w:rsidR="000A7521" w:rsidRDefault="000A7521" w:rsidP="000A7521">
      <w:pPr>
        <w:tabs>
          <w:tab w:val="right" w:pos="9072"/>
        </w:tabs>
        <w:spacing w:line="360" w:lineRule="auto"/>
        <w:jc w:val="center"/>
        <w:rPr>
          <w:b/>
          <w:bCs/>
          <w:sz w:val="44"/>
          <w:szCs w:val="44"/>
        </w:rPr>
      </w:pPr>
    </w:p>
    <w:p w:rsidR="000A7521" w:rsidRPr="000A7521" w:rsidRDefault="000A7521" w:rsidP="000A7521">
      <w:pPr>
        <w:tabs>
          <w:tab w:val="right" w:pos="9072"/>
        </w:tabs>
        <w:spacing w:line="360" w:lineRule="auto"/>
        <w:jc w:val="center"/>
        <w:rPr>
          <w:sz w:val="44"/>
          <w:szCs w:val="4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0A7521" w:rsidTr="00D5153C">
        <w:tc>
          <w:tcPr>
            <w:tcW w:w="4814" w:type="dxa"/>
          </w:tcPr>
          <w:p w:rsidR="000A7521" w:rsidRDefault="000A7521" w:rsidP="00D5153C">
            <w:pPr>
              <w:rPr>
                <w:b/>
                <w:bCs/>
                <w:smallCaps/>
              </w:rPr>
            </w:pPr>
            <w:r w:rsidRPr="00574612">
              <w:t xml:space="preserve">Promotor: </w:t>
            </w:r>
            <w:r w:rsidRPr="00652356">
              <w:rPr>
                <w:b/>
                <w:bCs/>
              </w:rPr>
              <w:t xml:space="preserve">Prof. Dr. </w:t>
            </w:r>
            <w:r w:rsidRPr="00652356">
              <w:rPr>
                <w:b/>
                <w:bCs/>
                <w:smallCaps/>
              </w:rPr>
              <w:t xml:space="preserve">I. </w:t>
            </w:r>
            <w:r>
              <w:rPr>
                <w:b/>
                <w:bCs/>
                <w:smallCaps/>
              </w:rPr>
              <w:t>BOONE</w:t>
            </w:r>
          </w:p>
          <w:p w:rsidR="000A7521" w:rsidRDefault="000A7521" w:rsidP="00D5153C">
            <w:pPr>
              <w:rPr>
                <w:b/>
                <w:bCs/>
                <w:smallCaps/>
              </w:rPr>
            </w:pPr>
          </w:p>
          <w:p w:rsidR="000A7521" w:rsidRDefault="005A0E8B" w:rsidP="00D5153C">
            <w:r>
              <w:t>Begeleidste</w:t>
            </w:r>
            <w:r w:rsidR="000A7521">
              <w:t>r</w:t>
            </w:r>
            <w:r w:rsidR="000A7521" w:rsidRPr="00574612">
              <w:t xml:space="preserve">: </w:t>
            </w:r>
            <w:r w:rsidR="000A7521" w:rsidRPr="00652356">
              <w:rPr>
                <w:b/>
                <w:bCs/>
                <w:smallCaps/>
              </w:rPr>
              <w:t xml:space="preserve">M. </w:t>
            </w:r>
            <w:r w:rsidR="000A7521">
              <w:rPr>
                <w:b/>
                <w:bCs/>
                <w:smallCaps/>
              </w:rPr>
              <w:t>GOEGEBUER</w:t>
            </w:r>
          </w:p>
        </w:tc>
        <w:tc>
          <w:tcPr>
            <w:tcW w:w="4814" w:type="dxa"/>
          </w:tcPr>
          <w:p w:rsidR="000A7521" w:rsidRDefault="000A7521" w:rsidP="00D5153C">
            <w:pPr>
              <w:jc w:val="right"/>
            </w:pPr>
            <w:r>
              <w:t xml:space="preserve">Masterscriptie ingediend door </w:t>
            </w:r>
            <w:r>
              <w:br/>
            </w:r>
            <w:r>
              <w:br/>
            </w:r>
            <w:r w:rsidRPr="0073125D">
              <w:rPr>
                <w:b/>
                <w:bCs/>
              </w:rPr>
              <w:t xml:space="preserve">Irgen </w:t>
            </w:r>
            <w:r>
              <w:rPr>
                <w:b/>
                <w:bCs/>
              </w:rPr>
              <w:t>DE PRETER</w:t>
            </w:r>
            <w:r>
              <w:br/>
            </w:r>
            <w:r>
              <w:br/>
              <w:t xml:space="preserve">bij het eindexamen voor de graad van </w:t>
            </w:r>
            <w:r>
              <w:br/>
            </w:r>
            <w:r>
              <w:br/>
              <w:t>MASTER IN DE RECHTEN</w:t>
            </w:r>
          </w:p>
        </w:tc>
      </w:tr>
    </w:tbl>
    <w:p w:rsidR="000C0BD2" w:rsidRPr="00C11942" w:rsidRDefault="000C0BD2" w:rsidP="006B31BD">
      <w:pPr>
        <w:rPr>
          <w:b/>
          <w:bCs/>
          <w:caps/>
        </w:rPr>
      </w:pPr>
    </w:p>
    <w:p w:rsidR="000C0BD2" w:rsidRPr="00824397" w:rsidRDefault="000C0BD2" w:rsidP="006B31BD">
      <w:pPr>
        <w:pStyle w:val="Title"/>
        <w:rPr>
          <w:rStyle w:val="Vet"/>
          <w:b/>
          <w:bCs/>
          <w:lang w:val="nl-BE"/>
        </w:rPr>
        <w:sectPr w:rsidR="000C0BD2" w:rsidRPr="00824397" w:rsidSect="006B31BD">
          <w:footerReference w:type="default" r:id="rId12"/>
          <w:pgSz w:w="11906" w:h="16838" w:code="9"/>
          <w:pgMar w:top="1418" w:right="1134" w:bottom="1418" w:left="1134" w:header="709" w:footer="822" w:gutter="0"/>
          <w:pgNumType w:fmt="lowerRoman" w:start="1"/>
          <w:cols w:space="708"/>
          <w:titlePg/>
          <w:docGrid w:linePitch="360"/>
        </w:sectPr>
      </w:pPr>
    </w:p>
    <w:p w:rsidR="000C0BD2" w:rsidRPr="008E364C" w:rsidRDefault="000C0BD2" w:rsidP="00746471">
      <w:pPr>
        <w:pStyle w:val="Heading1"/>
        <w:spacing w:line="360" w:lineRule="auto"/>
        <w:jc w:val="both"/>
      </w:pPr>
      <w:bookmarkStart w:id="0" w:name="_Toc449624595"/>
      <w:bookmarkStart w:id="1" w:name="_Toc449812668"/>
      <w:bookmarkStart w:id="2" w:name="_Toc449874880"/>
      <w:bookmarkStart w:id="3" w:name="_Toc449905668"/>
      <w:bookmarkStart w:id="4" w:name="_Toc449912133"/>
      <w:bookmarkStart w:id="5" w:name="_Toc449936570"/>
      <w:bookmarkStart w:id="6" w:name="_Toc449936693"/>
      <w:r w:rsidRPr="008E364C">
        <w:rPr>
          <w:rStyle w:val="Vet"/>
          <w:b/>
          <w:bCs/>
        </w:rPr>
        <w:lastRenderedPageBreak/>
        <w:t>SAMENVATTING</w:t>
      </w:r>
      <w:bookmarkEnd w:id="0"/>
      <w:bookmarkEnd w:id="1"/>
      <w:bookmarkEnd w:id="2"/>
      <w:bookmarkEnd w:id="3"/>
      <w:bookmarkEnd w:id="4"/>
      <w:bookmarkEnd w:id="5"/>
      <w:bookmarkEnd w:id="6"/>
    </w:p>
    <w:p w:rsidR="00636BB5" w:rsidRDefault="000C0BD2" w:rsidP="00232904">
      <w:pPr>
        <w:pStyle w:val="Randnummer"/>
        <w:spacing w:line="360" w:lineRule="auto"/>
        <w:ind w:left="0" w:firstLine="0"/>
      </w:pPr>
      <w:r>
        <w:t>Wetensc</w:t>
      </w:r>
      <w:r w:rsidR="00A87A9D">
        <w:t>happelijke vooruitgang en evolue</w:t>
      </w:r>
      <w:r w:rsidR="004F4E9F">
        <w:t>rende</w:t>
      </w:r>
      <w:r>
        <w:t xml:space="preserve"> maatschappelijke waarden en n</w:t>
      </w:r>
      <w:r w:rsidR="002601E9">
        <w:t xml:space="preserve">ormen hebben </w:t>
      </w:r>
      <w:r w:rsidR="0088589F">
        <w:t>nieuwe</w:t>
      </w:r>
      <w:r w:rsidR="003B54C4">
        <w:t xml:space="preserve"> g</w:t>
      </w:r>
      <w:r>
        <w:t>ez</w:t>
      </w:r>
      <w:r w:rsidR="003B54C4">
        <w:t>insvormen</w:t>
      </w:r>
      <w:r w:rsidR="00FB2BF3">
        <w:t xml:space="preserve"> mogelijk gemaakt</w:t>
      </w:r>
      <w:r>
        <w:t>. Deze nieuwe gezinsvormen zijn va</w:t>
      </w:r>
      <w:r w:rsidR="00950E5B">
        <w:t>ak meeroudergezinnen</w:t>
      </w:r>
      <w:r w:rsidR="002601E9">
        <w:t xml:space="preserve"> waarbij</w:t>
      </w:r>
      <w:r w:rsidR="008618D4">
        <w:t xml:space="preserve"> een niet-juridische ouder mee instaat </w:t>
      </w:r>
      <w:r w:rsidR="0088589F">
        <w:t xml:space="preserve">voor de opvoeding van het kind. </w:t>
      </w:r>
      <w:r w:rsidR="00E3362C">
        <w:t xml:space="preserve">In de meeroudergezinnen ontstaan gezagsrelaties tussen </w:t>
      </w:r>
      <w:r w:rsidR="008618D4">
        <w:t xml:space="preserve">deze </w:t>
      </w:r>
      <w:r w:rsidR="00E3362C">
        <w:t>niet-juri</w:t>
      </w:r>
      <w:r w:rsidR="00695880">
        <w:t>dische ouders en het kind.</w:t>
      </w:r>
      <w:r w:rsidR="00E3362C">
        <w:t xml:space="preserve"> </w:t>
      </w:r>
    </w:p>
    <w:p w:rsidR="00CC387A" w:rsidRDefault="00695880" w:rsidP="00232904">
      <w:pPr>
        <w:pStyle w:val="Randnummer"/>
        <w:spacing w:line="360" w:lineRule="auto"/>
        <w:ind w:left="0" w:firstLine="0"/>
      </w:pPr>
      <w:r>
        <w:t>In deze masterproef</w:t>
      </w:r>
      <w:r w:rsidR="003B54C4">
        <w:t xml:space="preserve"> </w:t>
      </w:r>
      <w:r w:rsidR="00232904">
        <w:t xml:space="preserve">wordt onderzocht </w:t>
      </w:r>
      <w:r>
        <w:t xml:space="preserve">of </w:t>
      </w:r>
      <w:r w:rsidR="00772650">
        <w:t>de wetgeving nog is</w:t>
      </w:r>
      <w:r w:rsidR="00B40D64">
        <w:t xml:space="preserve"> aangepast aan deze</w:t>
      </w:r>
      <w:r w:rsidR="0088589F">
        <w:t xml:space="preserve"> nieuwe</w:t>
      </w:r>
      <w:r w:rsidR="00772650">
        <w:t xml:space="preserve"> gezinsvormen.</w:t>
      </w:r>
      <w:r w:rsidR="00BB4AE1">
        <w:t xml:space="preserve"> </w:t>
      </w:r>
      <w:r w:rsidR="00BC41CD">
        <w:t xml:space="preserve">Er wordt onderzocht of </w:t>
      </w:r>
      <w:r w:rsidR="00BB4AE1">
        <w:t>de wetgever tegemoet dient te komen aan de maatschappelijke veranderinge</w:t>
      </w:r>
      <w:r w:rsidR="00232904">
        <w:t xml:space="preserve">n. </w:t>
      </w:r>
      <w:r w:rsidR="009E0689">
        <w:t>Er wordt vastgesteld</w:t>
      </w:r>
      <w:r w:rsidR="003B54C4">
        <w:t xml:space="preserve"> dat </w:t>
      </w:r>
      <w:r w:rsidR="00546918">
        <w:t xml:space="preserve">de huidige </w:t>
      </w:r>
      <w:r w:rsidR="00E72ADE">
        <w:t>wetgeving</w:t>
      </w:r>
      <w:r w:rsidR="00546918">
        <w:t xml:space="preserve"> lacunes vertoont ten opzichte van de </w:t>
      </w:r>
      <w:r w:rsidR="009D0D95">
        <w:t>bescherming van de</w:t>
      </w:r>
      <w:r w:rsidR="003B54C4">
        <w:t xml:space="preserve"> gezagsrelaties</w:t>
      </w:r>
      <w:r>
        <w:t xml:space="preserve"> die ontstaan tussen een niet-juridische ouder en het kind</w:t>
      </w:r>
      <w:r w:rsidR="00BB4AE1">
        <w:t xml:space="preserve"> </w:t>
      </w:r>
      <w:r>
        <w:t xml:space="preserve">en </w:t>
      </w:r>
      <w:r w:rsidR="00BB4AE1">
        <w:t>dat bescherming van deze gezagsrelaties wenselijk is</w:t>
      </w:r>
      <w:r w:rsidR="00546918">
        <w:t>.</w:t>
      </w:r>
      <w:r w:rsidR="003B54C4">
        <w:t xml:space="preserve"> </w:t>
      </w:r>
      <w:r>
        <w:t>De gezagsrelaties genieten geen wettelijke bescherming, ook al staat de derde reeds jaren in voor de opvoeding van het kind. Het Belgisch recht gaat namelijk</w:t>
      </w:r>
      <w:r w:rsidRPr="00F13D25">
        <w:t xml:space="preserve"> nog uit van een</w:t>
      </w:r>
      <w:r>
        <w:t xml:space="preserve"> klassieke gezinssamenstelling: </w:t>
      </w:r>
      <w:r w:rsidR="00950E5B">
        <w:t>een</w:t>
      </w:r>
      <w:r w:rsidRPr="00F13D25">
        <w:t xml:space="preserve"> kind kan maximaal twee juridische ouders hebben en alleen aan hen komt het ouderlijk gezag toe.</w:t>
      </w:r>
      <w:r w:rsidR="007B201F">
        <w:t xml:space="preserve"> </w:t>
      </w:r>
      <w:r w:rsidR="0088589F">
        <w:t xml:space="preserve">De niet-juridische ouder die het kind mee opvoedt, is bijgevolg geen titularis van de bevoegdheden van het ouderlijk gezag. </w:t>
      </w:r>
    </w:p>
    <w:p w:rsidR="000C0BD2" w:rsidRDefault="00546918" w:rsidP="00232904">
      <w:pPr>
        <w:pStyle w:val="Randnummer"/>
        <w:spacing w:line="360" w:lineRule="auto"/>
        <w:ind w:left="0" w:firstLine="0"/>
      </w:pPr>
      <w:r>
        <w:t>Uit r</w:t>
      </w:r>
      <w:r w:rsidR="00A87A9D">
        <w:t>echtsvergelijkend onderzoek</w:t>
      </w:r>
      <w:r w:rsidR="003C6E6B">
        <w:t xml:space="preserve"> met Canada en Engeland</w:t>
      </w:r>
      <w:r w:rsidR="00A87A9D">
        <w:t xml:space="preserve"> </w:t>
      </w:r>
      <w:r w:rsidR="00E72ADE">
        <w:t>bieden zich twee mogelijke manieren aan</w:t>
      </w:r>
      <w:r>
        <w:t xml:space="preserve"> </w:t>
      </w:r>
      <w:r w:rsidR="00A87A9D">
        <w:t>om feitelijke gezagsrelaties wettelijk te verankeren. De</w:t>
      </w:r>
      <w:r>
        <w:t>ze</w:t>
      </w:r>
      <w:r w:rsidR="00A87A9D">
        <w:t xml:space="preserve"> twee </w:t>
      </w:r>
      <w:r w:rsidR="00E72ADE">
        <w:t>manieren, namelijk</w:t>
      </w:r>
      <w:r>
        <w:t xml:space="preserve"> </w:t>
      </w:r>
      <w:r w:rsidR="00A87A9D">
        <w:t>meerouderschap en afstammingsloos gezag</w:t>
      </w:r>
      <w:r>
        <w:t xml:space="preserve">, </w:t>
      </w:r>
      <w:r w:rsidR="005A0E8B">
        <w:t>worden in deze masterproef bestudeerd</w:t>
      </w:r>
      <w:r>
        <w:t>.</w:t>
      </w:r>
    </w:p>
    <w:p w:rsidR="008618D4" w:rsidRDefault="00A87A9D" w:rsidP="00640329">
      <w:pPr>
        <w:pStyle w:val="Randnummer"/>
        <w:spacing w:line="360" w:lineRule="auto"/>
        <w:ind w:left="0" w:firstLine="0"/>
      </w:pPr>
      <w:r>
        <w:t xml:space="preserve">Meerouderschap houdt in dat een kind </w:t>
      </w:r>
      <w:r w:rsidR="000C0BD2">
        <w:t>meerde</w:t>
      </w:r>
      <w:r>
        <w:t>re juridische ouders kan hebben</w:t>
      </w:r>
      <w:r w:rsidR="000C0BD2">
        <w:t xml:space="preserve">. De beperking van maximaal twee juridische ouders valt weg. Het meerouderschap </w:t>
      </w:r>
      <w:r w:rsidR="00546918">
        <w:t>erkennen leidt tot</w:t>
      </w:r>
      <w:r w:rsidR="000C0BD2">
        <w:t xml:space="preserve"> een ingrijpende verandering in het afstammingsrecht.</w:t>
      </w:r>
      <w:r w:rsidR="00B40D64">
        <w:t xml:space="preserve"> </w:t>
      </w:r>
      <w:r w:rsidR="000C0BD2">
        <w:t xml:space="preserve">Afstammingsloos gezag is een minder </w:t>
      </w:r>
      <w:r w:rsidR="002601E9">
        <w:t>ingrijpend</w:t>
      </w:r>
      <w:r w:rsidR="000C0BD2">
        <w:t xml:space="preserve"> alternatief. Het houdt in dat personen die geen afstammingsband met het kind hebben, ouderlijk gezag kunnen verkri</w:t>
      </w:r>
      <w:r w:rsidR="00835306">
        <w:t>jgen. Er is een loskoppeling tussen</w:t>
      </w:r>
      <w:r w:rsidR="000C0BD2">
        <w:t xml:space="preserve"> het ouderlijk gezag</w:t>
      </w:r>
      <w:r w:rsidR="005C12E4">
        <w:t xml:space="preserve"> en</w:t>
      </w:r>
      <w:r>
        <w:t xml:space="preserve"> het juridisch ouderschap. </w:t>
      </w:r>
      <w:r w:rsidR="000C0BD2">
        <w:t xml:space="preserve">De beperking van twee juridische ouders blijft bestaan, maar het ouderlijk gezag kan toekomen aan meerdere personen. </w:t>
      </w:r>
    </w:p>
    <w:p w:rsidR="00B40D64" w:rsidRDefault="00B40D64" w:rsidP="00B40D64">
      <w:pPr>
        <w:pStyle w:val="Randnummer"/>
        <w:spacing w:line="360" w:lineRule="auto"/>
        <w:ind w:left="0" w:firstLine="0"/>
      </w:pPr>
      <w:r>
        <w:t xml:space="preserve">Er wordt vastgesteld dat zowel meerouderschap als afstammingsloos gezag mogelijke oplossingen zijn. Er wordt afgesloten met een eigen voorstel tot invoering van meerouderschap evenals een eigen voorstel tot invoering van afstammingsloos gezag in België. </w:t>
      </w:r>
    </w:p>
    <w:p w:rsidR="008618D4" w:rsidRDefault="008618D4" w:rsidP="00640329">
      <w:pPr>
        <w:pStyle w:val="Randnummer"/>
        <w:spacing w:line="360" w:lineRule="auto"/>
        <w:ind w:left="0" w:firstLine="0"/>
        <w:sectPr w:rsidR="008618D4" w:rsidSect="00E3362C">
          <w:pgSz w:w="11906" w:h="16838" w:code="9"/>
          <w:pgMar w:top="1417" w:right="1417" w:bottom="1417" w:left="1417" w:header="709" w:footer="824" w:gutter="0"/>
          <w:pgNumType w:fmt="lowerRoman" w:start="1"/>
          <w:cols w:space="708"/>
          <w:docGrid w:linePitch="360"/>
        </w:sectPr>
      </w:pPr>
    </w:p>
    <w:p w:rsidR="00894BA6" w:rsidRDefault="00894BA6" w:rsidP="00746471">
      <w:pPr>
        <w:pStyle w:val="Heading1"/>
        <w:spacing w:line="360" w:lineRule="auto"/>
        <w:jc w:val="both"/>
      </w:pPr>
      <w:bookmarkStart w:id="7" w:name="_Toc449936694"/>
      <w:r>
        <w:lastRenderedPageBreak/>
        <w:t>DANK</w:t>
      </w:r>
      <w:r w:rsidRPr="00107C6D">
        <w:t>WOORD</w:t>
      </w:r>
      <w:bookmarkEnd w:id="7"/>
    </w:p>
    <w:p w:rsidR="00894BA6" w:rsidRDefault="00894BA6" w:rsidP="00894BA6">
      <w:pPr>
        <w:pStyle w:val="Randnummer"/>
        <w:spacing w:line="360" w:lineRule="auto"/>
        <w:ind w:left="0" w:firstLine="0"/>
      </w:pPr>
      <w:r>
        <w:t>Er zijn een aantal personen die ik wil bedanken. Deze personen hebben het mee mogelijk gemaakt om tot dit resultaat te komen.</w:t>
      </w:r>
    </w:p>
    <w:p w:rsidR="00894BA6" w:rsidRDefault="00894BA6" w:rsidP="00894BA6">
      <w:pPr>
        <w:pStyle w:val="Randnummer"/>
        <w:spacing w:line="360" w:lineRule="auto"/>
        <w:ind w:left="0" w:firstLine="0"/>
      </w:pPr>
      <w:r>
        <w:t xml:space="preserve">Eerst en vooral wil ik prof. dr. BOONE en mevrouw GOEGEBUER bedanken. Ik wil hen bedanken voor het aanreiken van dit erg interessant onderwerp. Ik wil hen ook bedanken voor de constructieve opmerkingen en advies. Dit heeft het mogelijk gemaakt om stap voor stap </w:t>
      </w:r>
      <w:r w:rsidR="00590A60">
        <w:t xml:space="preserve">tot deze masterproef te komen. </w:t>
      </w:r>
    </w:p>
    <w:p w:rsidR="00894BA6" w:rsidRDefault="00894BA6" w:rsidP="00894BA6">
      <w:pPr>
        <w:pStyle w:val="Randnummer"/>
        <w:spacing w:line="360" w:lineRule="auto"/>
        <w:ind w:left="0" w:firstLine="0"/>
      </w:pPr>
      <w:r>
        <w:t xml:space="preserve">Daarnaast wil ik het personeel van de Rechten Bibliotheek bedanken. Zij stonden steeds klaar om vragen te beantwoorden en vroegen regelmatig hoe het stond met de masterproef. Deze interesse werkt stimulerend en zorgt voor een aangename sfeer in de bibliotheek. </w:t>
      </w:r>
    </w:p>
    <w:p w:rsidR="00894BA6" w:rsidRDefault="00894BA6" w:rsidP="00894BA6">
      <w:pPr>
        <w:pStyle w:val="Randnummer"/>
        <w:spacing w:line="360" w:lineRule="auto"/>
        <w:ind w:left="0" w:firstLine="0"/>
      </w:pPr>
      <w:r>
        <w:t>Ik zou ook graag mijn familie bedanken. Ze hebben mij enorm gesteund tijdens het schrijven van deze masterproef. In het bijz</w:t>
      </w:r>
      <w:r w:rsidR="00753CDD">
        <w:t>onder wil ik mijn mama bedanken</w:t>
      </w:r>
      <w:r>
        <w:t xml:space="preserve"> voor het nalezen van deze masterproef.</w:t>
      </w:r>
    </w:p>
    <w:p w:rsidR="00894BA6" w:rsidRDefault="00894BA6" w:rsidP="00894BA6">
      <w:pPr>
        <w:pStyle w:val="Randnummer"/>
        <w:spacing w:line="360" w:lineRule="auto"/>
        <w:ind w:left="0" w:firstLine="0"/>
      </w:pPr>
      <w:r>
        <w:t xml:space="preserve">Ten slotte wil ik mijn vrienden bedanken. Gedurende het schrijven van de masterproef hebben we ontzettend veel uren samen doorgebracht in de bibliotheek. Zij stonden steeds klaar om advies te geven en te luisteren als het even wat moeizamer ging. </w:t>
      </w:r>
    </w:p>
    <w:p w:rsidR="00894BA6" w:rsidRPr="005A0E8B" w:rsidRDefault="00894BA6" w:rsidP="00894BA6">
      <w:pPr>
        <w:pStyle w:val="Heading1"/>
        <w:rPr>
          <w:rStyle w:val="Vet"/>
          <w:lang w:val="nl-BE"/>
        </w:rPr>
      </w:pPr>
    </w:p>
    <w:p w:rsidR="00B40D64" w:rsidRDefault="000C0BD2" w:rsidP="00746471">
      <w:pPr>
        <w:pStyle w:val="Heading1"/>
        <w:rPr>
          <w:noProof/>
        </w:rPr>
      </w:pPr>
      <w:r w:rsidRPr="003C419F">
        <w:rPr>
          <w:rStyle w:val="Vet"/>
        </w:rPr>
        <w:br w:type="page"/>
      </w:r>
      <w:bookmarkStart w:id="8" w:name="_Toc449936695"/>
      <w:r w:rsidR="00B40D64" w:rsidRPr="003B0ABA">
        <w:rPr>
          <w:rStyle w:val="Vet"/>
          <w:b/>
          <w:bCs/>
        </w:rPr>
        <w:lastRenderedPageBreak/>
        <w:t>Inhoudsopgave</w:t>
      </w:r>
      <w:bookmarkEnd w:id="8"/>
      <w:r w:rsidR="00E87D3E" w:rsidRPr="00E87D3E">
        <w:fldChar w:fldCharType="begin"/>
      </w:r>
      <w:r>
        <w:instrText xml:space="preserve"> TOC \o "1-8" </w:instrText>
      </w:r>
      <w:r w:rsidR="00E87D3E" w:rsidRPr="00E87D3E">
        <w:fldChar w:fldCharType="separate"/>
      </w:r>
    </w:p>
    <w:p w:rsidR="00B40D64" w:rsidRDefault="00B40D64">
      <w:pPr>
        <w:pStyle w:val="TOC1"/>
        <w:rPr>
          <w:rFonts w:asciiTheme="minorHAnsi" w:eastAsiaTheme="minorEastAsia" w:hAnsiTheme="minorHAnsi" w:cstheme="minorBidi"/>
          <w:b w:val="0"/>
          <w:bCs w:val="0"/>
          <w:caps w:val="0"/>
          <w:sz w:val="22"/>
          <w:szCs w:val="22"/>
          <w:lang w:eastAsia="nl-BE"/>
        </w:rPr>
      </w:pPr>
      <w:r w:rsidRPr="006178E2">
        <w:rPr>
          <w:lang w:val="nl-NL"/>
        </w:rPr>
        <w:t>SAMENVATTING</w:t>
      </w:r>
      <w:r>
        <w:tab/>
      </w:r>
    </w:p>
    <w:p w:rsidR="00B40D64" w:rsidRDefault="00B40D64">
      <w:pPr>
        <w:pStyle w:val="TOC1"/>
        <w:rPr>
          <w:rFonts w:asciiTheme="minorHAnsi" w:eastAsiaTheme="minorEastAsia" w:hAnsiTheme="minorHAnsi" w:cstheme="minorBidi"/>
          <w:b w:val="0"/>
          <w:bCs w:val="0"/>
          <w:caps w:val="0"/>
          <w:sz w:val="22"/>
          <w:szCs w:val="22"/>
          <w:lang w:eastAsia="nl-BE"/>
        </w:rPr>
      </w:pPr>
      <w:r>
        <w:t>DANKWOORD</w:t>
      </w:r>
      <w:r>
        <w:tab/>
      </w:r>
      <w:r w:rsidR="00E87D3E">
        <w:fldChar w:fldCharType="begin"/>
      </w:r>
      <w:r>
        <w:instrText xml:space="preserve"> PAGEREF _Toc449936694 \h </w:instrText>
      </w:r>
      <w:r w:rsidR="00E87D3E">
        <w:fldChar w:fldCharType="separate"/>
      </w:r>
      <w:r>
        <w:t>i</w:t>
      </w:r>
      <w:r w:rsidR="00E87D3E">
        <w:fldChar w:fldCharType="end"/>
      </w:r>
    </w:p>
    <w:p w:rsidR="00B40D64" w:rsidRDefault="00B40D64">
      <w:pPr>
        <w:pStyle w:val="TOC1"/>
        <w:rPr>
          <w:rFonts w:asciiTheme="minorHAnsi" w:eastAsiaTheme="minorEastAsia" w:hAnsiTheme="minorHAnsi" w:cstheme="minorBidi"/>
          <w:b w:val="0"/>
          <w:bCs w:val="0"/>
          <w:caps w:val="0"/>
          <w:sz w:val="22"/>
          <w:szCs w:val="22"/>
          <w:lang w:eastAsia="nl-BE"/>
        </w:rPr>
      </w:pPr>
      <w:r w:rsidRPr="006178E2">
        <w:rPr>
          <w:lang w:val="nl-NL"/>
        </w:rPr>
        <w:t>Inhoudsopgave</w:t>
      </w:r>
      <w:r>
        <w:tab/>
      </w:r>
      <w:r w:rsidR="00E87D3E">
        <w:fldChar w:fldCharType="begin"/>
      </w:r>
      <w:r>
        <w:instrText xml:space="preserve"> PAGEREF _Toc449936695 \h </w:instrText>
      </w:r>
      <w:r w:rsidR="00E87D3E">
        <w:fldChar w:fldCharType="separate"/>
      </w:r>
      <w:r>
        <w:t>ii</w:t>
      </w:r>
      <w:r w:rsidR="00E87D3E">
        <w:fldChar w:fldCharType="end"/>
      </w:r>
    </w:p>
    <w:p w:rsidR="00B40D64" w:rsidRDefault="00B40D64">
      <w:pPr>
        <w:pStyle w:val="TOC1"/>
        <w:rPr>
          <w:rFonts w:asciiTheme="minorHAnsi" w:eastAsiaTheme="minorEastAsia" w:hAnsiTheme="minorHAnsi" w:cstheme="minorBidi"/>
          <w:b w:val="0"/>
          <w:bCs w:val="0"/>
          <w:caps w:val="0"/>
          <w:sz w:val="22"/>
          <w:szCs w:val="22"/>
          <w:lang w:eastAsia="nl-BE"/>
        </w:rPr>
      </w:pPr>
      <w:r>
        <w:t>Lijst afkortingen</w:t>
      </w:r>
      <w:r>
        <w:tab/>
      </w:r>
      <w:r w:rsidR="00E87D3E">
        <w:fldChar w:fldCharType="begin"/>
      </w:r>
      <w:r>
        <w:instrText xml:space="preserve"> PAGEREF _Toc449936696 \h </w:instrText>
      </w:r>
      <w:r w:rsidR="00E87D3E">
        <w:fldChar w:fldCharType="separate"/>
      </w:r>
      <w:r>
        <w:t>vi</w:t>
      </w:r>
      <w:r w:rsidR="00E87D3E">
        <w:fldChar w:fldCharType="end"/>
      </w:r>
    </w:p>
    <w:p w:rsidR="00B40D64" w:rsidRDefault="00B40D64">
      <w:pPr>
        <w:pStyle w:val="TOC1"/>
        <w:rPr>
          <w:rFonts w:asciiTheme="minorHAnsi" w:eastAsiaTheme="minorEastAsia" w:hAnsiTheme="minorHAnsi" w:cstheme="minorBidi"/>
          <w:b w:val="0"/>
          <w:bCs w:val="0"/>
          <w:caps w:val="0"/>
          <w:sz w:val="22"/>
          <w:szCs w:val="22"/>
          <w:lang w:eastAsia="nl-BE"/>
        </w:rPr>
      </w:pPr>
      <w:r>
        <w:t>ONDERZOEKSVRAGEN- EN METHODE</w:t>
      </w:r>
      <w:r>
        <w:tab/>
      </w:r>
      <w:r w:rsidR="00E87D3E">
        <w:fldChar w:fldCharType="begin"/>
      </w:r>
      <w:r>
        <w:instrText xml:space="preserve"> PAGEREF _Toc449936697 \h </w:instrText>
      </w:r>
      <w:r w:rsidR="00E87D3E">
        <w:fldChar w:fldCharType="separate"/>
      </w:r>
      <w:r>
        <w:t>vii</w:t>
      </w:r>
      <w:r w:rsidR="00E87D3E">
        <w:fldChar w:fldCharType="end"/>
      </w:r>
    </w:p>
    <w:p w:rsidR="00B40D64" w:rsidRDefault="00B40D64">
      <w:pPr>
        <w:pStyle w:val="TOC1"/>
        <w:rPr>
          <w:rFonts w:asciiTheme="minorHAnsi" w:eastAsiaTheme="minorEastAsia" w:hAnsiTheme="minorHAnsi" w:cstheme="minorBidi"/>
          <w:b w:val="0"/>
          <w:bCs w:val="0"/>
          <w:caps w:val="0"/>
          <w:sz w:val="22"/>
          <w:szCs w:val="22"/>
          <w:lang w:eastAsia="nl-BE"/>
        </w:rPr>
      </w:pPr>
      <w:r>
        <w:t>INLEIDING</w:t>
      </w:r>
      <w:r>
        <w:tab/>
      </w:r>
      <w:r w:rsidR="00E87D3E">
        <w:fldChar w:fldCharType="begin"/>
      </w:r>
      <w:r>
        <w:instrText xml:space="preserve"> PAGEREF _Toc449936698 \h </w:instrText>
      </w:r>
      <w:r w:rsidR="00E87D3E">
        <w:fldChar w:fldCharType="separate"/>
      </w:r>
      <w:r>
        <w:t>1</w:t>
      </w:r>
      <w:r w:rsidR="00E87D3E">
        <w:fldChar w:fldCharType="end"/>
      </w:r>
    </w:p>
    <w:p w:rsidR="00B40D64" w:rsidRDefault="00B40D64">
      <w:pPr>
        <w:pStyle w:val="TOC1"/>
        <w:rPr>
          <w:rFonts w:asciiTheme="minorHAnsi" w:eastAsiaTheme="minorEastAsia" w:hAnsiTheme="minorHAnsi" w:cstheme="minorBidi"/>
          <w:b w:val="0"/>
          <w:bCs w:val="0"/>
          <w:caps w:val="0"/>
          <w:sz w:val="22"/>
          <w:szCs w:val="22"/>
          <w:lang w:eastAsia="nl-BE"/>
        </w:rPr>
      </w:pPr>
      <w:r>
        <w:t>DEEL I: Het huidige afstammingsrecht</w:t>
      </w:r>
      <w:r>
        <w:tab/>
      </w:r>
      <w:r w:rsidR="00E87D3E">
        <w:fldChar w:fldCharType="begin"/>
      </w:r>
      <w:r>
        <w:instrText xml:space="preserve"> PAGEREF _Toc449936699 \h </w:instrText>
      </w:r>
      <w:r w:rsidR="00E87D3E">
        <w:fldChar w:fldCharType="separate"/>
      </w:r>
      <w:r>
        <w:t>4</w:t>
      </w:r>
      <w:r w:rsidR="00E87D3E">
        <w:fldChar w:fldCharType="end"/>
      </w:r>
    </w:p>
    <w:p w:rsidR="00B40D64" w:rsidRDefault="00B40D64">
      <w:pPr>
        <w:pStyle w:val="TOC2"/>
        <w:rPr>
          <w:rFonts w:asciiTheme="minorHAnsi" w:eastAsiaTheme="minorEastAsia" w:hAnsiTheme="minorHAnsi" w:cstheme="minorBidi"/>
          <w:b w:val="0"/>
          <w:bCs w:val="0"/>
          <w:caps w:val="0"/>
          <w:sz w:val="22"/>
          <w:szCs w:val="22"/>
          <w:lang w:eastAsia="nl-BE"/>
        </w:rPr>
      </w:pPr>
      <w:r>
        <w:t>Hoofdstuk I. Juridische ouders</w:t>
      </w:r>
      <w:r>
        <w:tab/>
      </w:r>
      <w:r w:rsidR="00E87D3E">
        <w:fldChar w:fldCharType="begin"/>
      </w:r>
      <w:r>
        <w:instrText xml:space="preserve"> PAGEREF _Toc449936700 \h </w:instrText>
      </w:r>
      <w:r w:rsidR="00E87D3E">
        <w:fldChar w:fldCharType="separate"/>
      </w:r>
      <w:r>
        <w:t>4</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 Juridisch ouderschap</w:t>
      </w:r>
      <w:r>
        <w:tab/>
      </w:r>
      <w:r w:rsidR="00E87D3E">
        <w:fldChar w:fldCharType="begin"/>
      </w:r>
      <w:r>
        <w:instrText xml:space="preserve"> PAGEREF _Toc449936701 \h </w:instrText>
      </w:r>
      <w:r w:rsidR="00E87D3E">
        <w:fldChar w:fldCharType="separate"/>
      </w:r>
      <w:r>
        <w:t>4</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Duiding begrip</w:t>
      </w:r>
      <w:r>
        <w:tab/>
      </w:r>
      <w:r w:rsidR="00E87D3E">
        <w:fldChar w:fldCharType="begin"/>
      </w:r>
      <w:r>
        <w:instrText xml:space="preserve"> PAGEREF _Toc449936702 \h </w:instrText>
      </w:r>
      <w:r w:rsidR="00E87D3E">
        <w:fldChar w:fldCharType="separate"/>
      </w:r>
      <w:r>
        <w:t>4</w:t>
      </w:r>
      <w:r w:rsidR="00E87D3E">
        <w:fldChar w:fldCharType="end"/>
      </w:r>
    </w:p>
    <w:p w:rsidR="00B40D64" w:rsidRDefault="00B40D64">
      <w:pPr>
        <w:pStyle w:val="TOC5"/>
        <w:rPr>
          <w:rFonts w:asciiTheme="minorHAnsi" w:eastAsiaTheme="minorEastAsia" w:hAnsiTheme="minorHAnsi" w:cstheme="minorBidi"/>
          <w:sz w:val="22"/>
          <w:szCs w:val="22"/>
          <w:lang w:eastAsia="nl-BE"/>
        </w:rPr>
      </w:pPr>
      <w:r>
        <w:t>A. Oorspronkelijke afstamming</w:t>
      </w:r>
      <w:r>
        <w:tab/>
      </w:r>
      <w:r w:rsidR="00E87D3E">
        <w:fldChar w:fldCharType="begin"/>
      </w:r>
      <w:r>
        <w:instrText xml:space="preserve"> PAGEREF _Toc449936703 \h </w:instrText>
      </w:r>
      <w:r w:rsidR="00E87D3E">
        <w:fldChar w:fldCharType="separate"/>
      </w:r>
      <w:r>
        <w:t>6</w:t>
      </w:r>
      <w:r w:rsidR="00E87D3E">
        <w:fldChar w:fldCharType="end"/>
      </w:r>
    </w:p>
    <w:p w:rsidR="00B40D64" w:rsidRDefault="00B40D64">
      <w:pPr>
        <w:pStyle w:val="TOC5"/>
        <w:rPr>
          <w:rFonts w:asciiTheme="minorHAnsi" w:eastAsiaTheme="minorEastAsia" w:hAnsiTheme="minorHAnsi" w:cstheme="minorBidi"/>
          <w:sz w:val="22"/>
          <w:szCs w:val="22"/>
          <w:lang w:eastAsia="nl-BE"/>
        </w:rPr>
      </w:pPr>
      <w:r>
        <w:t>B. Adoptieve afstamming</w:t>
      </w:r>
      <w:r>
        <w:tab/>
      </w:r>
      <w:r w:rsidR="00E87D3E">
        <w:fldChar w:fldCharType="begin"/>
      </w:r>
      <w:r>
        <w:instrText xml:space="preserve"> PAGEREF _Toc449936704 \h </w:instrText>
      </w:r>
      <w:r w:rsidR="00E87D3E">
        <w:fldChar w:fldCharType="separate"/>
      </w:r>
      <w:r>
        <w:t>8</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Algemeen</w:t>
      </w:r>
      <w:r>
        <w:tab/>
      </w:r>
      <w:r w:rsidR="00E87D3E">
        <w:fldChar w:fldCharType="begin"/>
      </w:r>
      <w:r>
        <w:instrText xml:space="preserve"> PAGEREF _Toc449936705 \h </w:instrText>
      </w:r>
      <w:r w:rsidR="00E87D3E">
        <w:fldChar w:fldCharType="separate"/>
      </w:r>
      <w:r>
        <w:t>8</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Bijzonderheden ingeval van stiefouder- en partneradoptie</w:t>
      </w:r>
      <w:r>
        <w:tab/>
      </w:r>
      <w:r w:rsidR="00E87D3E">
        <w:fldChar w:fldCharType="begin"/>
      </w:r>
      <w:r>
        <w:instrText xml:space="preserve"> PAGEREF _Toc449936706 \h </w:instrText>
      </w:r>
      <w:r w:rsidR="00E87D3E">
        <w:fldChar w:fldCharType="separate"/>
      </w:r>
      <w:r>
        <w:t>9</w:t>
      </w:r>
      <w:r w:rsidR="00E87D3E">
        <w:fldChar w:fldCharType="end"/>
      </w:r>
    </w:p>
    <w:p w:rsidR="00B40D64" w:rsidRDefault="00B40D64">
      <w:pPr>
        <w:pStyle w:val="TOC8"/>
        <w:rPr>
          <w:rFonts w:asciiTheme="minorHAnsi" w:eastAsiaTheme="minorEastAsia" w:hAnsiTheme="minorHAnsi" w:cstheme="minorBidi"/>
          <w:sz w:val="22"/>
          <w:szCs w:val="22"/>
          <w:lang w:eastAsia="nl-BE"/>
        </w:rPr>
      </w:pPr>
      <w:r>
        <w:t>i. Duiding begrip</w:t>
      </w:r>
      <w:r>
        <w:tab/>
      </w:r>
      <w:r w:rsidR="00E87D3E">
        <w:fldChar w:fldCharType="begin"/>
      </w:r>
      <w:r>
        <w:instrText xml:space="preserve"> PAGEREF _Toc449936707 \h </w:instrText>
      </w:r>
      <w:r w:rsidR="00E87D3E">
        <w:fldChar w:fldCharType="separate"/>
      </w:r>
      <w:r>
        <w:t>9</w:t>
      </w:r>
      <w:r w:rsidR="00E87D3E">
        <w:fldChar w:fldCharType="end"/>
      </w:r>
    </w:p>
    <w:p w:rsidR="00B40D64" w:rsidRDefault="00B40D64">
      <w:pPr>
        <w:pStyle w:val="TOC8"/>
        <w:rPr>
          <w:rFonts w:asciiTheme="minorHAnsi" w:eastAsiaTheme="minorEastAsia" w:hAnsiTheme="minorHAnsi" w:cstheme="minorBidi"/>
          <w:sz w:val="22"/>
          <w:szCs w:val="22"/>
          <w:lang w:eastAsia="nl-BE"/>
        </w:rPr>
      </w:pPr>
      <w:r>
        <w:t>ii. Volle en gewone stiefouder- en partneradoptie</w:t>
      </w:r>
      <w:r>
        <w:tab/>
      </w:r>
      <w:r w:rsidR="00E87D3E">
        <w:fldChar w:fldCharType="begin"/>
      </w:r>
      <w:r>
        <w:instrText xml:space="preserve"> PAGEREF _Toc449936708 \h </w:instrText>
      </w:r>
      <w:r w:rsidR="00E87D3E">
        <w:fldChar w:fldCharType="separate"/>
      </w:r>
      <w:r>
        <w:t>9</w:t>
      </w:r>
      <w:r w:rsidR="00E87D3E">
        <w:fldChar w:fldCharType="end"/>
      </w:r>
    </w:p>
    <w:p w:rsidR="00B40D64" w:rsidRDefault="00B40D64">
      <w:pPr>
        <w:pStyle w:val="TOC6"/>
        <w:rPr>
          <w:rFonts w:asciiTheme="minorHAnsi" w:eastAsiaTheme="minorEastAsia" w:hAnsiTheme="minorHAnsi" w:cstheme="minorBidi"/>
          <w:sz w:val="22"/>
          <w:szCs w:val="22"/>
          <w:lang w:eastAsia="nl-BE"/>
        </w:rPr>
      </w:pPr>
      <w:r>
        <w:t>3. Nadeel van adoptie: vetorecht van juridische ouders</w:t>
      </w:r>
      <w:r>
        <w:tab/>
      </w:r>
      <w:r w:rsidR="00E87D3E">
        <w:fldChar w:fldCharType="begin"/>
      </w:r>
      <w:r>
        <w:instrText xml:space="preserve"> PAGEREF _Toc449936709 \h </w:instrText>
      </w:r>
      <w:r w:rsidR="00E87D3E">
        <w:fldChar w:fldCharType="separate"/>
      </w:r>
      <w:r>
        <w:t>10</w:t>
      </w:r>
      <w:r w:rsidR="00E87D3E">
        <w:fldChar w:fldCharType="end"/>
      </w:r>
    </w:p>
    <w:p w:rsidR="00B40D64" w:rsidRDefault="00B40D64">
      <w:pPr>
        <w:pStyle w:val="TOC8"/>
        <w:rPr>
          <w:rFonts w:asciiTheme="minorHAnsi" w:eastAsiaTheme="minorEastAsia" w:hAnsiTheme="minorHAnsi" w:cstheme="minorBidi"/>
          <w:sz w:val="22"/>
          <w:szCs w:val="22"/>
          <w:lang w:eastAsia="nl-BE"/>
        </w:rPr>
      </w:pPr>
      <w:r>
        <w:t>i. Gemoduleerd vetorecht</w:t>
      </w:r>
      <w:r>
        <w:tab/>
      </w:r>
      <w:r w:rsidR="00E87D3E">
        <w:fldChar w:fldCharType="begin"/>
      </w:r>
      <w:r>
        <w:instrText xml:space="preserve"> PAGEREF _Toc449936710 \h </w:instrText>
      </w:r>
      <w:r w:rsidR="00E87D3E">
        <w:fldChar w:fldCharType="separate"/>
      </w:r>
      <w:r>
        <w:t>10</w:t>
      </w:r>
      <w:r w:rsidR="00E87D3E">
        <w:fldChar w:fldCharType="end"/>
      </w:r>
    </w:p>
    <w:p w:rsidR="00B40D64" w:rsidRDefault="00B40D64">
      <w:pPr>
        <w:pStyle w:val="TOC8"/>
        <w:rPr>
          <w:rFonts w:asciiTheme="minorHAnsi" w:eastAsiaTheme="minorEastAsia" w:hAnsiTheme="minorHAnsi" w:cstheme="minorBidi"/>
          <w:sz w:val="22"/>
          <w:szCs w:val="22"/>
          <w:lang w:eastAsia="nl-BE"/>
        </w:rPr>
      </w:pPr>
      <w:r>
        <w:t>ii. Uitholling van het vetorecht door het Grondwettelijk Hof</w:t>
      </w:r>
      <w:r>
        <w:tab/>
      </w:r>
      <w:r w:rsidR="00E87D3E">
        <w:fldChar w:fldCharType="begin"/>
      </w:r>
      <w:r>
        <w:instrText xml:space="preserve"> PAGEREF _Toc449936711 \h </w:instrText>
      </w:r>
      <w:r w:rsidR="00E87D3E">
        <w:fldChar w:fldCharType="separate"/>
      </w:r>
      <w:r>
        <w:t>11</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Rechtsgevolgen</w:t>
      </w:r>
      <w:r>
        <w:tab/>
      </w:r>
      <w:r w:rsidR="00E87D3E">
        <w:fldChar w:fldCharType="begin"/>
      </w:r>
      <w:r>
        <w:instrText xml:space="preserve"> PAGEREF _Toc449936712 \h </w:instrText>
      </w:r>
      <w:r w:rsidR="00E87D3E">
        <w:fldChar w:fldCharType="separate"/>
      </w:r>
      <w:r>
        <w:t>13</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II. Ouderlijk gezag</w:t>
      </w:r>
      <w:r>
        <w:tab/>
      </w:r>
      <w:r w:rsidR="00E87D3E">
        <w:fldChar w:fldCharType="begin"/>
      </w:r>
      <w:r>
        <w:instrText xml:space="preserve"> PAGEREF _Toc449936713 \h </w:instrText>
      </w:r>
      <w:r w:rsidR="00E87D3E">
        <w:fldChar w:fldCharType="separate"/>
      </w:r>
      <w:r>
        <w:t>14</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Duiding begrip</w:t>
      </w:r>
      <w:r>
        <w:tab/>
      </w:r>
      <w:r w:rsidR="00E87D3E">
        <w:fldChar w:fldCharType="begin"/>
      </w:r>
      <w:r>
        <w:instrText xml:space="preserve"> PAGEREF _Toc449936714 \h </w:instrText>
      </w:r>
      <w:r w:rsidR="00E87D3E">
        <w:fldChar w:fldCharType="separate"/>
      </w:r>
      <w:r>
        <w:t>14</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Inhoud van het ouderlijk gezag</w:t>
      </w:r>
      <w:r>
        <w:tab/>
      </w:r>
      <w:r w:rsidR="00E87D3E">
        <w:fldChar w:fldCharType="begin"/>
      </w:r>
      <w:r>
        <w:instrText xml:space="preserve"> PAGEREF _Toc449936715 \h </w:instrText>
      </w:r>
      <w:r w:rsidR="00E87D3E">
        <w:fldChar w:fldCharType="separate"/>
      </w:r>
      <w:r>
        <w:t>15</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§3. Titularissen en uitoefening van het ouderlijk gezag</w:t>
      </w:r>
      <w:r>
        <w:tab/>
      </w:r>
      <w:r w:rsidR="00E87D3E">
        <w:fldChar w:fldCharType="begin"/>
      </w:r>
      <w:r>
        <w:instrText xml:space="preserve"> PAGEREF _Toc449936716 \h </w:instrText>
      </w:r>
      <w:r w:rsidR="00E87D3E">
        <w:fldChar w:fldCharType="separate"/>
      </w:r>
      <w:r>
        <w:t>18</w:t>
      </w:r>
      <w:r w:rsidR="00E87D3E">
        <w:fldChar w:fldCharType="end"/>
      </w:r>
    </w:p>
    <w:p w:rsidR="00B40D64" w:rsidRDefault="00B40D64">
      <w:pPr>
        <w:pStyle w:val="TOC5"/>
        <w:rPr>
          <w:rFonts w:asciiTheme="minorHAnsi" w:eastAsiaTheme="minorEastAsia" w:hAnsiTheme="minorHAnsi" w:cstheme="minorBidi"/>
          <w:sz w:val="22"/>
          <w:szCs w:val="22"/>
          <w:lang w:eastAsia="nl-BE"/>
        </w:rPr>
      </w:pPr>
      <w:r>
        <w:t>A. Zuiver monistisch systeem</w:t>
      </w:r>
      <w:r>
        <w:tab/>
      </w:r>
      <w:r w:rsidR="00E87D3E">
        <w:fldChar w:fldCharType="begin"/>
      </w:r>
      <w:r>
        <w:instrText xml:space="preserve"> PAGEREF _Toc449936717 \h </w:instrText>
      </w:r>
      <w:r w:rsidR="00E87D3E">
        <w:fldChar w:fldCharType="separate"/>
      </w:r>
      <w:r>
        <w:t>18</w:t>
      </w:r>
      <w:r w:rsidR="00E87D3E">
        <w:fldChar w:fldCharType="end"/>
      </w:r>
    </w:p>
    <w:p w:rsidR="00B40D64" w:rsidRDefault="00B40D64">
      <w:pPr>
        <w:pStyle w:val="TOC5"/>
        <w:rPr>
          <w:rFonts w:asciiTheme="minorHAnsi" w:eastAsiaTheme="minorEastAsia" w:hAnsiTheme="minorHAnsi" w:cstheme="minorBidi"/>
          <w:sz w:val="22"/>
          <w:szCs w:val="22"/>
          <w:lang w:eastAsia="nl-BE"/>
        </w:rPr>
      </w:pPr>
      <w:r>
        <w:t>B. Titularis van bevoegdheid vs. uitoefening van bevoegdheid</w:t>
      </w:r>
      <w:r>
        <w:tab/>
      </w:r>
      <w:r w:rsidR="00E87D3E">
        <w:fldChar w:fldCharType="begin"/>
      </w:r>
      <w:r>
        <w:instrText xml:space="preserve"> PAGEREF _Toc449936718 \h </w:instrText>
      </w:r>
      <w:r w:rsidR="00E87D3E">
        <w:fldChar w:fldCharType="separate"/>
      </w:r>
      <w:r>
        <w:t>20</w:t>
      </w:r>
      <w:r w:rsidR="00E87D3E">
        <w:fldChar w:fldCharType="end"/>
      </w:r>
    </w:p>
    <w:p w:rsidR="00B40D64" w:rsidRDefault="00B40D64">
      <w:pPr>
        <w:pStyle w:val="TOC2"/>
        <w:rPr>
          <w:rFonts w:asciiTheme="minorHAnsi" w:eastAsiaTheme="minorEastAsia" w:hAnsiTheme="minorHAnsi" w:cstheme="minorBidi"/>
          <w:b w:val="0"/>
          <w:bCs w:val="0"/>
          <w:caps w:val="0"/>
          <w:sz w:val="22"/>
          <w:szCs w:val="22"/>
          <w:lang w:eastAsia="nl-BE"/>
        </w:rPr>
      </w:pPr>
      <w:r>
        <w:t>Hoofdstuk II. Rechten van niet-juridische ouders</w:t>
      </w:r>
      <w:r>
        <w:tab/>
      </w:r>
      <w:r w:rsidR="00E87D3E">
        <w:fldChar w:fldCharType="begin"/>
      </w:r>
      <w:r>
        <w:instrText xml:space="preserve"> PAGEREF _Toc449936719 \h </w:instrText>
      </w:r>
      <w:r w:rsidR="00E87D3E">
        <w:fldChar w:fldCharType="separate"/>
      </w:r>
      <w:r>
        <w:t>21</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 Recht op persoonlijk contact</w:t>
      </w:r>
      <w:r>
        <w:tab/>
      </w:r>
      <w:r w:rsidR="00E87D3E">
        <w:fldChar w:fldCharType="begin"/>
      </w:r>
      <w:r>
        <w:instrText xml:space="preserve"> PAGEREF _Toc449936720 \h </w:instrText>
      </w:r>
      <w:r w:rsidR="00E87D3E">
        <w:fldChar w:fldCharType="separate"/>
      </w:r>
      <w:r>
        <w:t>21</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Virtueel contactgerechtigden</w:t>
      </w:r>
      <w:r>
        <w:tab/>
      </w:r>
      <w:r w:rsidR="00E87D3E">
        <w:fldChar w:fldCharType="begin"/>
      </w:r>
      <w:r>
        <w:instrText xml:space="preserve"> PAGEREF _Toc449936721 \h </w:instrText>
      </w:r>
      <w:r w:rsidR="00E87D3E">
        <w:fldChar w:fldCharType="separate"/>
      </w:r>
      <w:r>
        <w:t>22</w:t>
      </w:r>
      <w:r w:rsidR="00E87D3E">
        <w:fldChar w:fldCharType="end"/>
      </w:r>
    </w:p>
    <w:p w:rsidR="00B40D64" w:rsidRDefault="00B40D64">
      <w:pPr>
        <w:pStyle w:val="TOC5"/>
        <w:rPr>
          <w:rFonts w:asciiTheme="minorHAnsi" w:eastAsiaTheme="minorEastAsia" w:hAnsiTheme="minorHAnsi" w:cstheme="minorBidi"/>
          <w:sz w:val="22"/>
          <w:szCs w:val="22"/>
          <w:lang w:eastAsia="nl-BE"/>
        </w:rPr>
      </w:pPr>
      <w:r>
        <w:t>A. Duiding begrip</w:t>
      </w:r>
      <w:r>
        <w:tab/>
      </w:r>
      <w:r w:rsidR="00E87D3E">
        <w:fldChar w:fldCharType="begin"/>
      </w:r>
      <w:r>
        <w:instrText xml:space="preserve"> PAGEREF _Toc449936722 \h </w:instrText>
      </w:r>
      <w:r w:rsidR="00E87D3E">
        <w:fldChar w:fldCharType="separate"/>
      </w:r>
      <w:r>
        <w:t>22</w:t>
      </w:r>
      <w:r w:rsidR="00E87D3E">
        <w:fldChar w:fldCharType="end"/>
      </w:r>
    </w:p>
    <w:p w:rsidR="00B40D64" w:rsidRDefault="00B40D64">
      <w:pPr>
        <w:pStyle w:val="TOC5"/>
        <w:rPr>
          <w:rFonts w:asciiTheme="minorHAnsi" w:eastAsiaTheme="minorEastAsia" w:hAnsiTheme="minorHAnsi" w:cstheme="minorBidi"/>
          <w:sz w:val="22"/>
          <w:szCs w:val="22"/>
          <w:lang w:eastAsia="nl-BE"/>
        </w:rPr>
      </w:pPr>
      <w:r>
        <w:t>B. Vereiste van bijzondere affectieve band</w:t>
      </w:r>
      <w:r>
        <w:tab/>
      </w:r>
      <w:r w:rsidR="00E87D3E">
        <w:fldChar w:fldCharType="begin"/>
      </w:r>
      <w:r>
        <w:instrText xml:space="preserve"> PAGEREF _Toc449936723 \h </w:instrText>
      </w:r>
      <w:r w:rsidR="00E87D3E">
        <w:fldChar w:fldCharType="separate"/>
      </w:r>
      <w:r>
        <w:t>22</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Bewijs van bijzondere affectieve band</w:t>
      </w:r>
      <w:r>
        <w:tab/>
      </w:r>
      <w:r w:rsidR="00E87D3E">
        <w:fldChar w:fldCharType="begin"/>
      </w:r>
      <w:r>
        <w:instrText xml:space="preserve"> PAGEREF _Toc449936724 \h </w:instrText>
      </w:r>
      <w:r w:rsidR="00E87D3E">
        <w:fldChar w:fldCharType="separate"/>
      </w:r>
      <w:r>
        <w:t>22</w:t>
      </w:r>
      <w:r w:rsidR="00E87D3E">
        <w:fldChar w:fldCharType="end"/>
      </w:r>
    </w:p>
    <w:p w:rsidR="00B40D64" w:rsidRDefault="00B40D64">
      <w:pPr>
        <w:pStyle w:val="TOC6"/>
        <w:rPr>
          <w:rFonts w:asciiTheme="minorHAnsi" w:eastAsiaTheme="minorEastAsia" w:hAnsiTheme="minorHAnsi" w:cstheme="minorBidi"/>
          <w:sz w:val="22"/>
          <w:szCs w:val="22"/>
          <w:lang w:eastAsia="nl-BE"/>
        </w:rPr>
      </w:pPr>
      <w:r>
        <w:lastRenderedPageBreak/>
        <w:t>2. Vereisten voor het bestaan van de bijzondere affectieve band</w:t>
      </w:r>
      <w:r>
        <w:tab/>
      </w:r>
      <w:r w:rsidR="00E87D3E">
        <w:fldChar w:fldCharType="begin"/>
      </w:r>
      <w:r>
        <w:instrText xml:space="preserve"> PAGEREF _Toc449936725 \h </w:instrText>
      </w:r>
      <w:r w:rsidR="00E87D3E">
        <w:fldChar w:fldCharType="separate"/>
      </w:r>
      <w:r>
        <w:t>23</w:t>
      </w:r>
      <w:r w:rsidR="00E87D3E">
        <w:fldChar w:fldCharType="end"/>
      </w:r>
    </w:p>
    <w:p w:rsidR="00B40D64" w:rsidRDefault="00B40D64">
      <w:pPr>
        <w:pStyle w:val="TOC6"/>
        <w:rPr>
          <w:rFonts w:asciiTheme="minorHAnsi" w:eastAsiaTheme="minorEastAsia" w:hAnsiTheme="minorHAnsi" w:cstheme="minorBidi"/>
          <w:sz w:val="22"/>
          <w:szCs w:val="22"/>
          <w:lang w:eastAsia="nl-BE"/>
        </w:rPr>
      </w:pPr>
      <w:r>
        <w:t>3. Potentiële bijzondere affectieve band volgens rechtspraak EHRM</w:t>
      </w:r>
      <w:r>
        <w:tab/>
      </w:r>
      <w:r w:rsidR="00E87D3E">
        <w:fldChar w:fldCharType="begin"/>
      </w:r>
      <w:r>
        <w:instrText xml:space="preserve"> PAGEREF _Toc449936726 \h </w:instrText>
      </w:r>
      <w:r w:rsidR="00E87D3E">
        <w:fldChar w:fldCharType="separate"/>
      </w:r>
      <w:r>
        <w:t>24</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Weigering van uitoefening van het omgangsrecht</w:t>
      </w:r>
      <w:r>
        <w:tab/>
      </w:r>
      <w:r w:rsidR="00E87D3E">
        <w:fldChar w:fldCharType="begin"/>
      </w:r>
      <w:r>
        <w:instrText xml:space="preserve"> PAGEREF _Toc449936727 \h </w:instrText>
      </w:r>
      <w:r w:rsidR="00E87D3E">
        <w:fldChar w:fldCharType="separate"/>
      </w:r>
      <w:r>
        <w:t>26</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II. Pleegvoogdij</w:t>
      </w:r>
      <w:r>
        <w:tab/>
      </w:r>
      <w:r w:rsidR="00E87D3E">
        <w:fldChar w:fldCharType="begin"/>
      </w:r>
      <w:r>
        <w:instrText xml:space="preserve"> PAGEREF _Toc449936728 \h </w:instrText>
      </w:r>
      <w:r w:rsidR="00E87D3E">
        <w:fldChar w:fldCharType="separate"/>
      </w:r>
      <w:r>
        <w:t>26</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Duiding begrip</w:t>
      </w:r>
      <w:r>
        <w:tab/>
      </w:r>
      <w:r w:rsidR="00E87D3E">
        <w:fldChar w:fldCharType="begin"/>
      </w:r>
      <w:r>
        <w:instrText xml:space="preserve"> PAGEREF _Toc449936729 \h </w:instrText>
      </w:r>
      <w:r w:rsidR="00E87D3E">
        <w:fldChar w:fldCharType="separate"/>
      </w:r>
      <w:r>
        <w:t>26</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Totstandkoming en beëindiging van pleegvoogdij</w:t>
      </w:r>
      <w:r>
        <w:tab/>
      </w:r>
      <w:r w:rsidR="00E87D3E">
        <w:fldChar w:fldCharType="begin"/>
      </w:r>
      <w:r>
        <w:instrText xml:space="preserve"> PAGEREF _Toc449936730 \h </w:instrText>
      </w:r>
      <w:r w:rsidR="00E87D3E">
        <w:fldChar w:fldCharType="separate"/>
      </w:r>
      <w:r>
        <w:t>27</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§3. Nut van pleegvoogdij</w:t>
      </w:r>
      <w:r>
        <w:tab/>
      </w:r>
      <w:r w:rsidR="00E87D3E">
        <w:fldChar w:fldCharType="begin"/>
      </w:r>
      <w:r>
        <w:instrText xml:space="preserve"> PAGEREF _Toc449936731 \h </w:instrText>
      </w:r>
      <w:r w:rsidR="00E87D3E">
        <w:fldChar w:fldCharType="separate"/>
      </w:r>
      <w:r>
        <w:t>27</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III. Pleegzorg</w:t>
      </w:r>
      <w:r>
        <w:tab/>
      </w:r>
      <w:r w:rsidR="00E87D3E">
        <w:fldChar w:fldCharType="begin"/>
      </w:r>
      <w:r>
        <w:instrText xml:space="preserve"> PAGEREF _Toc449936732 \h </w:instrText>
      </w:r>
      <w:r w:rsidR="00E87D3E">
        <w:fldChar w:fldCharType="separate"/>
      </w:r>
      <w:r>
        <w:t>29</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Duiding begrip</w:t>
      </w:r>
      <w:r>
        <w:tab/>
      </w:r>
      <w:r w:rsidR="00E87D3E">
        <w:fldChar w:fldCharType="begin"/>
      </w:r>
      <w:r>
        <w:instrText xml:space="preserve"> PAGEREF _Toc449936733 \h </w:instrText>
      </w:r>
      <w:r w:rsidR="00E87D3E">
        <w:fldChar w:fldCharType="separate"/>
      </w:r>
      <w:r>
        <w:t>29</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Ontbreken van zeggenschap ten aanzien van het kind</w:t>
      </w:r>
      <w:r>
        <w:tab/>
      </w:r>
      <w:r w:rsidR="00E87D3E">
        <w:fldChar w:fldCharType="begin"/>
      </w:r>
      <w:r>
        <w:instrText xml:space="preserve"> PAGEREF _Toc449936734 \h </w:instrText>
      </w:r>
      <w:r w:rsidR="00E87D3E">
        <w:fldChar w:fldCharType="separate"/>
      </w:r>
      <w:r>
        <w:t>29</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§3. Wetsvoorstel tot invoering van een wettelijk statuut voor pleegouders</w:t>
      </w:r>
      <w:r>
        <w:tab/>
      </w:r>
      <w:r w:rsidR="00E87D3E">
        <w:fldChar w:fldCharType="begin"/>
      </w:r>
      <w:r>
        <w:instrText xml:space="preserve"> PAGEREF _Toc449936735 \h </w:instrText>
      </w:r>
      <w:r w:rsidR="00E87D3E">
        <w:fldChar w:fldCharType="separate"/>
      </w:r>
      <w:r>
        <w:t>30</w:t>
      </w:r>
      <w:r w:rsidR="00E87D3E">
        <w:fldChar w:fldCharType="end"/>
      </w:r>
    </w:p>
    <w:p w:rsidR="00B40D64" w:rsidRDefault="00B40D64">
      <w:pPr>
        <w:pStyle w:val="TOC1"/>
        <w:rPr>
          <w:rFonts w:asciiTheme="minorHAnsi" w:eastAsiaTheme="minorEastAsia" w:hAnsiTheme="minorHAnsi" w:cstheme="minorBidi"/>
          <w:b w:val="0"/>
          <w:bCs w:val="0"/>
          <w:caps w:val="0"/>
          <w:sz w:val="22"/>
          <w:szCs w:val="22"/>
          <w:lang w:eastAsia="nl-BE"/>
        </w:rPr>
      </w:pPr>
      <w:r>
        <w:t>Deel II: Tekortkomingen en oplossingen</w:t>
      </w:r>
      <w:r>
        <w:tab/>
      </w:r>
      <w:r w:rsidR="00E87D3E">
        <w:fldChar w:fldCharType="begin"/>
      </w:r>
      <w:r>
        <w:instrText xml:space="preserve"> PAGEREF _Toc449936736 \h </w:instrText>
      </w:r>
      <w:r w:rsidR="00E87D3E">
        <w:fldChar w:fldCharType="separate"/>
      </w:r>
      <w:r>
        <w:t>32</w:t>
      </w:r>
      <w:r w:rsidR="00E87D3E">
        <w:fldChar w:fldCharType="end"/>
      </w:r>
    </w:p>
    <w:p w:rsidR="00B40D64" w:rsidRDefault="00B40D64">
      <w:pPr>
        <w:pStyle w:val="TOC2"/>
        <w:rPr>
          <w:rFonts w:asciiTheme="minorHAnsi" w:eastAsiaTheme="minorEastAsia" w:hAnsiTheme="minorHAnsi" w:cstheme="minorBidi"/>
          <w:b w:val="0"/>
          <w:bCs w:val="0"/>
          <w:caps w:val="0"/>
          <w:sz w:val="22"/>
          <w:szCs w:val="22"/>
          <w:lang w:eastAsia="nl-BE"/>
        </w:rPr>
      </w:pPr>
      <w:r>
        <w:t>Hoofdstuk I. Tekortkomingen in het huidige recht</w:t>
      </w:r>
      <w:r>
        <w:tab/>
      </w:r>
      <w:r w:rsidR="00E87D3E">
        <w:fldChar w:fldCharType="begin"/>
      </w:r>
      <w:r>
        <w:instrText xml:space="preserve"> PAGEREF _Toc449936737 \h </w:instrText>
      </w:r>
      <w:r w:rsidR="00E87D3E">
        <w:fldChar w:fldCharType="separate"/>
      </w:r>
      <w:r>
        <w:t>32</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 Ontstaan van feitelijke gezagsrelaties</w:t>
      </w:r>
      <w:r>
        <w:tab/>
      </w:r>
      <w:r w:rsidR="00E87D3E">
        <w:fldChar w:fldCharType="begin"/>
      </w:r>
      <w:r>
        <w:instrText xml:space="preserve"> PAGEREF _Toc449936738 \h </w:instrText>
      </w:r>
      <w:r w:rsidR="00E87D3E">
        <w:fldChar w:fldCharType="separate"/>
      </w:r>
      <w:r>
        <w:t>32</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Recht vs. realiteit</w:t>
      </w:r>
      <w:r>
        <w:tab/>
      </w:r>
      <w:r w:rsidR="00E87D3E">
        <w:fldChar w:fldCharType="begin"/>
      </w:r>
      <w:r>
        <w:instrText xml:space="preserve"> PAGEREF _Toc449936739 \h </w:instrText>
      </w:r>
      <w:r w:rsidR="00E87D3E">
        <w:fldChar w:fldCharType="separate"/>
      </w:r>
      <w:r>
        <w:t>32</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Meeroudergezinnen</w:t>
      </w:r>
      <w:r>
        <w:tab/>
      </w:r>
      <w:r w:rsidR="00E87D3E">
        <w:fldChar w:fldCharType="begin"/>
      </w:r>
      <w:r>
        <w:instrText xml:space="preserve"> PAGEREF _Toc449936740 \h </w:instrText>
      </w:r>
      <w:r w:rsidR="00E87D3E">
        <w:fldChar w:fldCharType="separate"/>
      </w:r>
      <w:r>
        <w:t>34</w:t>
      </w:r>
      <w:r w:rsidR="00E87D3E">
        <w:fldChar w:fldCharType="end"/>
      </w:r>
    </w:p>
    <w:p w:rsidR="00B40D64" w:rsidRDefault="00B40D64">
      <w:pPr>
        <w:pStyle w:val="TOC5"/>
        <w:rPr>
          <w:rFonts w:asciiTheme="minorHAnsi" w:eastAsiaTheme="minorEastAsia" w:hAnsiTheme="minorHAnsi" w:cstheme="minorBidi"/>
          <w:sz w:val="22"/>
          <w:szCs w:val="22"/>
          <w:lang w:eastAsia="nl-BE"/>
        </w:rPr>
      </w:pPr>
      <w:r>
        <w:t>A. Duiding begrip</w:t>
      </w:r>
      <w:r>
        <w:tab/>
      </w:r>
      <w:r w:rsidR="00E87D3E">
        <w:fldChar w:fldCharType="begin"/>
      </w:r>
      <w:r>
        <w:instrText xml:space="preserve"> PAGEREF _Toc449936741 \h </w:instrText>
      </w:r>
      <w:r w:rsidR="00E87D3E">
        <w:fldChar w:fldCharType="separate"/>
      </w:r>
      <w:r>
        <w:t>34</w:t>
      </w:r>
      <w:r w:rsidR="00E87D3E">
        <w:fldChar w:fldCharType="end"/>
      </w:r>
    </w:p>
    <w:p w:rsidR="00B40D64" w:rsidRDefault="00B40D64">
      <w:pPr>
        <w:pStyle w:val="TOC5"/>
        <w:rPr>
          <w:rFonts w:asciiTheme="minorHAnsi" w:eastAsiaTheme="minorEastAsia" w:hAnsiTheme="minorHAnsi" w:cstheme="minorBidi"/>
          <w:sz w:val="22"/>
          <w:szCs w:val="22"/>
          <w:lang w:eastAsia="nl-BE"/>
        </w:rPr>
      </w:pPr>
      <w:r>
        <w:t>B. Zuiver monistisch systeem</w:t>
      </w:r>
      <w:r>
        <w:tab/>
      </w:r>
      <w:r w:rsidR="00E87D3E">
        <w:fldChar w:fldCharType="begin"/>
      </w:r>
      <w:r>
        <w:instrText xml:space="preserve"> PAGEREF _Toc449936742 \h </w:instrText>
      </w:r>
      <w:r w:rsidR="00E87D3E">
        <w:fldChar w:fldCharType="separate"/>
      </w:r>
      <w:r>
        <w:t>35</w:t>
      </w:r>
      <w:r w:rsidR="00E87D3E">
        <w:fldChar w:fldCharType="end"/>
      </w:r>
    </w:p>
    <w:p w:rsidR="00B40D64" w:rsidRDefault="00B40D64">
      <w:pPr>
        <w:pStyle w:val="TOC5"/>
        <w:rPr>
          <w:rFonts w:asciiTheme="minorHAnsi" w:eastAsiaTheme="minorEastAsia" w:hAnsiTheme="minorHAnsi" w:cstheme="minorBidi"/>
          <w:sz w:val="22"/>
          <w:szCs w:val="22"/>
          <w:lang w:eastAsia="nl-BE"/>
        </w:rPr>
      </w:pPr>
      <w:r>
        <w:t>C. Gevolgen van het ontbreken van ouderlijk gezag</w:t>
      </w:r>
      <w:r>
        <w:tab/>
      </w:r>
      <w:r w:rsidR="00E87D3E">
        <w:fldChar w:fldCharType="begin"/>
      </w:r>
      <w:r>
        <w:instrText xml:space="preserve"> PAGEREF _Toc449936743 \h </w:instrText>
      </w:r>
      <w:r w:rsidR="00E87D3E">
        <w:fldChar w:fldCharType="separate"/>
      </w:r>
      <w:r>
        <w:t>36</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II. Bewustwording van tekortkomingen</w:t>
      </w:r>
      <w:r>
        <w:tab/>
      </w:r>
      <w:r w:rsidR="00E87D3E">
        <w:fldChar w:fldCharType="begin"/>
      </w:r>
      <w:r>
        <w:instrText xml:space="preserve"> PAGEREF _Toc449936744 \h </w:instrText>
      </w:r>
      <w:r w:rsidR="00E87D3E">
        <w:fldChar w:fldCharType="separate"/>
      </w:r>
      <w:r>
        <w:t>38</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Wetsvoorstellen</w:t>
      </w:r>
      <w:r>
        <w:tab/>
      </w:r>
      <w:r w:rsidR="00E87D3E">
        <w:fldChar w:fldCharType="begin"/>
      </w:r>
      <w:r>
        <w:instrText xml:space="preserve"> PAGEREF _Toc449936745 \h </w:instrText>
      </w:r>
      <w:r w:rsidR="00E87D3E">
        <w:fldChar w:fldCharType="separate"/>
      </w:r>
      <w:r>
        <w:t>38</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Rechtspraak</w:t>
      </w:r>
      <w:r>
        <w:tab/>
      </w:r>
      <w:r w:rsidR="00E87D3E">
        <w:fldChar w:fldCharType="begin"/>
      </w:r>
      <w:r>
        <w:instrText xml:space="preserve"> PAGEREF _Toc449936746 \h </w:instrText>
      </w:r>
      <w:r w:rsidR="00E87D3E">
        <w:fldChar w:fldCharType="separate"/>
      </w:r>
      <w:r>
        <w:t>39</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§3. Rechtsleer</w:t>
      </w:r>
      <w:r>
        <w:tab/>
      </w:r>
      <w:r w:rsidR="00E87D3E">
        <w:fldChar w:fldCharType="begin"/>
      </w:r>
      <w:r>
        <w:instrText xml:space="preserve"> PAGEREF _Toc449936747 \h </w:instrText>
      </w:r>
      <w:r w:rsidR="00E87D3E">
        <w:fldChar w:fldCharType="separate"/>
      </w:r>
      <w:r>
        <w:t>41</w:t>
      </w:r>
      <w:r w:rsidR="00E87D3E">
        <w:fldChar w:fldCharType="end"/>
      </w:r>
    </w:p>
    <w:p w:rsidR="00B40D64" w:rsidRDefault="00B40D64">
      <w:pPr>
        <w:pStyle w:val="TOC2"/>
        <w:rPr>
          <w:rFonts w:asciiTheme="minorHAnsi" w:eastAsiaTheme="minorEastAsia" w:hAnsiTheme="minorHAnsi" w:cstheme="minorBidi"/>
          <w:b w:val="0"/>
          <w:bCs w:val="0"/>
          <w:caps w:val="0"/>
          <w:sz w:val="22"/>
          <w:szCs w:val="22"/>
          <w:lang w:eastAsia="nl-BE"/>
        </w:rPr>
      </w:pPr>
      <w:r>
        <w:t>HOOFDSTUK II. Mogelijke oplossingen</w:t>
      </w:r>
      <w:r>
        <w:tab/>
      </w:r>
      <w:r w:rsidR="00E87D3E">
        <w:fldChar w:fldCharType="begin"/>
      </w:r>
      <w:r>
        <w:instrText xml:space="preserve"> PAGEREF _Toc449936748 \h </w:instrText>
      </w:r>
      <w:r w:rsidR="00E87D3E">
        <w:fldChar w:fldCharType="separate"/>
      </w:r>
      <w:r>
        <w:t>42</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rsidRPr="006178E2">
        <w:rPr>
          <w:lang w:val="nl-NL"/>
        </w:rPr>
        <w:t>Afdeling I. Meerouderschap</w:t>
      </w:r>
      <w:r>
        <w:tab/>
      </w:r>
      <w:r w:rsidR="00E87D3E">
        <w:fldChar w:fldCharType="begin"/>
      </w:r>
      <w:r>
        <w:instrText xml:space="preserve"> PAGEREF _Toc449936749 \h </w:instrText>
      </w:r>
      <w:r w:rsidR="00E87D3E">
        <w:fldChar w:fldCharType="separate"/>
      </w:r>
      <w:r>
        <w:t>43</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Duiding begrip</w:t>
      </w:r>
      <w:r>
        <w:tab/>
      </w:r>
      <w:r w:rsidR="00E87D3E">
        <w:fldChar w:fldCharType="begin"/>
      </w:r>
      <w:r>
        <w:instrText xml:space="preserve"> PAGEREF _Toc449936750 \h </w:instrText>
      </w:r>
      <w:r w:rsidR="00E87D3E">
        <w:fldChar w:fldCharType="separate"/>
      </w:r>
      <w:r>
        <w:t>43</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Meerouderschap in Canada</w:t>
      </w:r>
      <w:r>
        <w:tab/>
      </w:r>
      <w:r w:rsidR="00E87D3E">
        <w:fldChar w:fldCharType="begin"/>
      </w:r>
      <w:r>
        <w:instrText xml:space="preserve"> PAGEREF _Toc449936751 \h </w:instrText>
      </w:r>
      <w:r w:rsidR="00E87D3E">
        <w:fldChar w:fldCharType="separate"/>
      </w:r>
      <w:r>
        <w:t>43</w:t>
      </w:r>
      <w:r w:rsidR="00E87D3E">
        <w:fldChar w:fldCharType="end"/>
      </w:r>
    </w:p>
    <w:p w:rsidR="00B40D64" w:rsidRPr="00B40D64" w:rsidRDefault="00B40D64">
      <w:pPr>
        <w:pStyle w:val="TOC5"/>
        <w:rPr>
          <w:rFonts w:asciiTheme="minorHAnsi" w:eastAsiaTheme="minorEastAsia" w:hAnsiTheme="minorHAnsi" w:cstheme="minorBidi"/>
          <w:sz w:val="22"/>
          <w:szCs w:val="22"/>
          <w:lang w:val="en-US" w:eastAsia="nl-BE"/>
        </w:rPr>
      </w:pPr>
      <w:r w:rsidRPr="00B40D64">
        <w:rPr>
          <w:lang w:val="en-US"/>
        </w:rPr>
        <w:t>A. Staatsstelsel Canada</w:t>
      </w:r>
      <w:r w:rsidRPr="00B40D64">
        <w:rPr>
          <w:lang w:val="en-US"/>
        </w:rPr>
        <w:tab/>
      </w:r>
      <w:r w:rsidR="00E87D3E">
        <w:fldChar w:fldCharType="begin"/>
      </w:r>
      <w:r w:rsidRPr="00B40D64">
        <w:rPr>
          <w:lang w:val="en-US"/>
        </w:rPr>
        <w:instrText xml:space="preserve"> PAGEREF _Toc449936752 \h </w:instrText>
      </w:r>
      <w:r w:rsidR="00E87D3E">
        <w:fldChar w:fldCharType="separate"/>
      </w:r>
      <w:r w:rsidRPr="00B40D64">
        <w:rPr>
          <w:lang w:val="en-US"/>
        </w:rPr>
        <w:t>43</w:t>
      </w:r>
      <w:r w:rsidR="00E87D3E">
        <w:fldChar w:fldCharType="end"/>
      </w:r>
    </w:p>
    <w:p w:rsidR="00B40D64" w:rsidRPr="00B40D64" w:rsidRDefault="00B40D64">
      <w:pPr>
        <w:pStyle w:val="TOC5"/>
        <w:rPr>
          <w:rFonts w:asciiTheme="minorHAnsi" w:eastAsiaTheme="minorEastAsia" w:hAnsiTheme="minorHAnsi" w:cstheme="minorBidi"/>
          <w:sz w:val="22"/>
          <w:szCs w:val="22"/>
          <w:lang w:val="en-US" w:eastAsia="nl-BE"/>
        </w:rPr>
      </w:pPr>
      <w:r w:rsidRPr="006178E2">
        <w:rPr>
          <w:lang w:val="en-US"/>
        </w:rPr>
        <w:t>B. Totstandkoming Family Law Act</w:t>
      </w:r>
      <w:r w:rsidRPr="00B40D64">
        <w:rPr>
          <w:lang w:val="en-US"/>
        </w:rPr>
        <w:tab/>
      </w:r>
      <w:r w:rsidR="00E87D3E">
        <w:fldChar w:fldCharType="begin"/>
      </w:r>
      <w:r w:rsidRPr="00B40D64">
        <w:rPr>
          <w:lang w:val="en-US"/>
        </w:rPr>
        <w:instrText xml:space="preserve"> PAGEREF _Toc449936753 \h </w:instrText>
      </w:r>
      <w:r w:rsidR="00E87D3E">
        <w:fldChar w:fldCharType="separate"/>
      </w:r>
      <w:r w:rsidRPr="00B40D64">
        <w:rPr>
          <w:lang w:val="en-US"/>
        </w:rPr>
        <w:t>44</w:t>
      </w:r>
      <w:r w:rsidR="00E87D3E">
        <w:fldChar w:fldCharType="end"/>
      </w:r>
    </w:p>
    <w:p w:rsidR="00B40D64" w:rsidRPr="00B40D64" w:rsidRDefault="00B40D64">
      <w:pPr>
        <w:pStyle w:val="TOC6"/>
        <w:rPr>
          <w:rFonts w:asciiTheme="minorHAnsi" w:eastAsiaTheme="minorEastAsia" w:hAnsiTheme="minorHAnsi" w:cstheme="minorBidi"/>
          <w:sz w:val="22"/>
          <w:szCs w:val="22"/>
          <w:lang w:val="en-US" w:eastAsia="nl-BE"/>
        </w:rPr>
      </w:pPr>
      <w:r w:rsidRPr="006178E2">
        <w:rPr>
          <w:lang w:val="en-US"/>
        </w:rPr>
        <w:t>1.Situatie voor de Family Law Act</w:t>
      </w:r>
      <w:r w:rsidRPr="00B40D64">
        <w:rPr>
          <w:lang w:val="en-US"/>
        </w:rPr>
        <w:tab/>
      </w:r>
      <w:r w:rsidR="00E87D3E">
        <w:fldChar w:fldCharType="begin"/>
      </w:r>
      <w:r w:rsidRPr="00B40D64">
        <w:rPr>
          <w:lang w:val="en-US"/>
        </w:rPr>
        <w:instrText xml:space="preserve"> PAGEREF _Toc449936754 \h </w:instrText>
      </w:r>
      <w:r w:rsidR="00E87D3E">
        <w:fldChar w:fldCharType="separate"/>
      </w:r>
      <w:r w:rsidRPr="00B40D64">
        <w:rPr>
          <w:lang w:val="en-US"/>
        </w:rPr>
        <w:t>44</w:t>
      </w:r>
      <w:r w:rsidR="00E87D3E">
        <w:fldChar w:fldCharType="end"/>
      </w:r>
    </w:p>
    <w:p w:rsidR="00B40D64" w:rsidRPr="00B40D64" w:rsidRDefault="00B40D64">
      <w:pPr>
        <w:pStyle w:val="TOC6"/>
        <w:rPr>
          <w:rFonts w:asciiTheme="minorHAnsi" w:eastAsiaTheme="minorEastAsia" w:hAnsiTheme="minorHAnsi" w:cstheme="minorBidi"/>
          <w:sz w:val="22"/>
          <w:szCs w:val="22"/>
          <w:lang w:val="en-US" w:eastAsia="nl-BE"/>
        </w:rPr>
      </w:pPr>
      <w:r w:rsidRPr="00B40D64">
        <w:rPr>
          <w:lang w:val="en-US"/>
        </w:rPr>
        <w:t>2.Totstandkoming Family Law Act</w:t>
      </w:r>
      <w:r w:rsidRPr="00B40D64">
        <w:rPr>
          <w:lang w:val="en-US"/>
        </w:rPr>
        <w:tab/>
      </w:r>
      <w:r w:rsidR="00E87D3E">
        <w:fldChar w:fldCharType="begin"/>
      </w:r>
      <w:r w:rsidRPr="00B40D64">
        <w:rPr>
          <w:lang w:val="en-US"/>
        </w:rPr>
        <w:instrText xml:space="preserve"> PAGEREF _Toc449936755 \h </w:instrText>
      </w:r>
      <w:r w:rsidR="00E87D3E">
        <w:fldChar w:fldCharType="separate"/>
      </w:r>
      <w:r w:rsidRPr="00B40D64">
        <w:rPr>
          <w:lang w:val="en-US"/>
        </w:rPr>
        <w:t>45</w:t>
      </w:r>
      <w:r w:rsidR="00E87D3E">
        <w:fldChar w:fldCharType="end"/>
      </w:r>
    </w:p>
    <w:p w:rsidR="00B40D64" w:rsidRDefault="00B40D64">
      <w:pPr>
        <w:pStyle w:val="TOC5"/>
        <w:rPr>
          <w:rFonts w:asciiTheme="minorHAnsi" w:eastAsiaTheme="minorEastAsia" w:hAnsiTheme="minorHAnsi" w:cstheme="minorBidi"/>
          <w:sz w:val="22"/>
          <w:szCs w:val="22"/>
          <w:lang w:eastAsia="nl-BE"/>
        </w:rPr>
      </w:pPr>
      <w:r>
        <w:t>C. Meerouderschap volgens Family Law Act</w:t>
      </w:r>
      <w:r>
        <w:tab/>
      </w:r>
      <w:r w:rsidR="00E87D3E">
        <w:fldChar w:fldCharType="begin"/>
      </w:r>
      <w:r>
        <w:instrText xml:space="preserve"> PAGEREF _Toc449936756 \h </w:instrText>
      </w:r>
      <w:r w:rsidR="00E87D3E">
        <w:fldChar w:fldCharType="separate"/>
      </w:r>
      <w:r>
        <w:t>45</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Juridische ouders</w:t>
      </w:r>
      <w:r>
        <w:tab/>
      </w:r>
      <w:r w:rsidR="00E87D3E">
        <w:fldChar w:fldCharType="begin"/>
      </w:r>
      <w:r>
        <w:instrText xml:space="preserve"> PAGEREF _Toc449936757 \h </w:instrText>
      </w:r>
      <w:r w:rsidR="00E87D3E">
        <w:fldChar w:fldCharType="separate"/>
      </w:r>
      <w:r>
        <w:t>45</w:t>
      </w:r>
      <w:r w:rsidR="00E87D3E">
        <w:fldChar w:fldCharType="end"/>
      </w:r>
    </w:p>
    <w:p w:rsidR="00B40D64" w:rsidRDefault="00B40D64">
      <w:pPr>
        <w:pStyle w:val="TOC8"/>
        <w:rPr>
          <w:rFonts w:asciiTheme="minorHAnsi" w:eastAsiaTheme="minorEastAsia" w:hAnsiTheme="minorHAnsi" w:cstheme="minorBidi"/>
          <w:sz w:val="22"/>
          <w:szCs w:val="22"/>
          <w:lang w:eastAsia="nl-BE"/>
        </w:rPr>
      </w:pPr>
      <w:r>
        <w:t>i. Juridisch ouderschap na geslachtsgemeenschap</w:t>
      </w:r>
      <w:r>
        <w:tab/>
      </w:r>
      <w:r w:rsidR="00E87D3E">
        <w:fldChar w:fldCharType="begin"/>
      </w:r>
      <w:r>
        <w:instrText xml:space="preserve"> PAGEREF _Toc449936758 \h </w:instrText>
      </w:r>
      <w:r w:rsidR="00E87D3E">
        <w:fldChar w:fldCharType="separate"/>
      </w:r>
      <w:r>
        <w:t>46</w:t>
      </w:r>
      <w:r w:rsidR="00E87D3E">
        <w:fldChar w:fldCharType="end"/>
      </w:r>
    </w:p>
    <w:p w:rsidR="00B40D64" w:rsidRDefault="00B40D64">
      <w:pPr>
        <w:pStyle w:val="TOC8"/>
        <w:rPr>
          <w:rFonts w:asciiTheme="minorHAnsi" w:eastAsiaTheme="minorEastAsia" w:hAnsiTheme="minorHAnsi" w:cstheme="minorBidi"/>
          <w:sz w:val="22"/>
          <w:szCs w:val="22"/>
          <w:lang w:eastAsia="nl-BE"/>
        </w:rPr>
      </w:pPr>
      <w:r>
        <w:t>ii. Juridisch ouderschap na kunstmatige voortplanting</w:t>
      </w:r>
      <w:r>
        <w:tab/>
      </w:r>
      <w:r w:rsidR="00E87D3E">
        <w:fldChar w:fldCharType="begin"/>
      </w:r>
      <w:r>
        <w:instrText xml:space="preserve"> PAGEREF _Toc449936759 \h </w:instrText>
      </w:r>
      <w:r w:rsidR="00E87D3E">
        <w:fldChar w:fldCharType="separate"/>
      </w:r>
      <w:r>
        <w:t>46</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Mogelijkheid van meerouderschap</w:t>
      </w:r>
      <w:r>
        <w:tab/>
      </w:r>
      <w:r w:rsidR="00E87D3E">
        <w:fldChar w:fldCharType="begin"/>
      </w:r>
      <w:r>
        <w:instrText xml:space="preserve"> PAGEREF _Toc449936760 \h </w:instrText>
      </w:r>
      <w:r w:rsidR="00E87D3E">
        <w:fldChar w:fldCharType="separate"/>
      </w:r>
      <w:r>
        <w:t>47</w:t>
      </w:r>
      <w:r w:rsidR="00E87D3E">
        <w:fldChar w:fldCharType="end"/>
      </w:r>
    </w:p>
    <w:p w:rsidR="00B40D64" w:rsidRDefault="00B40D64">
      <w:pPr>
        <w:pStyle w:val="TOC6"/>
        <w:rPr>
          <w:rFonts w:asciiTheme="minorHAnsi" w:eastAsiaTheme="minorEastAsia" w:hAnsiTheme="minorHAnsi" w:cstheme="minorBidi"/>
          <w:sz w:val="22"/>
          <w:szCs w:val="22"/>
          <w:lang w:eastAsia="nl-BE"/>
        </w:rPr>
      </w:pPr>
      <w:r>
        <w:t>3.Ouderlijk gezag</w:t>
      </w:r>
      <w:r>
        <w:tab/>
      </w:r>
      <w:r w:rsidR="00E87D3E">
        <w:fldChar w:fldCharType="begin"/>
      </w:r>
      <w:r>
        <w:instrText xml:space="preserve"> PAGEREF _Toc449936761 \h </w:instrText>
      </w:r>
      <w:r w:rsidR="00E87D3E">
        <w:fldChar w:fldCharType="separate"/>
      </w:r>
      <w:r>
        <w:t>48</w:t>
      </w:r>
      <w:r w:rsidR="00E87D3E">
        <w:fldChar w:fldCharType="end"/>
      </w:r>
    </w:p>
    <w:p w:rsidR="00B40D64" w:rsidRDefault="00B40D64">
      <w:pPr>
        <w:pStyle w:val="TOC5"/>
        <w:rPr>
          <w:rFonts w:asciiTheme="minorHAnsi" w:eastAsiaTheme="minorEastAsia" w:hAnsiTheme="minorHAnsi" w:cstheme="minorBidi"/>
          <w:sz w:val="22"/>
          <w:szCs w:val="22"/>
          <w:lang w:eastAsia="nl-BE"/>
        </w:rPr>
      </w:pPr>
      <w:r>
        <w:t>D. Kritiek</w:t>
      </w:r>
      <w:r>
        <w:tab/>
      </w:r>
      <w:r w:rsidR="00E87D3E">
        <w:fldChar w:fldCharType="begin"/>
      </w:r>
      <w:r>
        <w:instrText xml:space="preserve"> PAGEREF _Toc449936762 \h </w:instrText>
      </w:r>
      <w:r w:rsidR="00E87D3E">
        <w:fldChar w:fldCharType="separate"/>
      </w:r>
      <w:r>
        <w:t>48</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1.Vereiste van kunstmatig voortplanting</w:t>
      </w:r>
      <w:r>
        <w:tab/>
      </w:r>
      <w:r w:rsidR="00E87D3E">
        <w:fldChar w:fldCharType="begin"/>
      </w:r>
      <w:r>
        <w:instrText xml:space="preserve"> PAGEREF _Toc449936763 \h </w:instrText>
      </w:r>
      <w:r w:rsidR="00E87D3E">
        <w:fldChar w:fldCharType="separate"/>
      </w:r>
      <w:r>
        <w:t>48</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Onduidelijkheid over het aantal juridische ouders</w:t>
      </w:r>
      <w:r>
        <w:tab/>
      </w:r>
      <w:r w:rsidR="00E87D3E">
        <w:fldChar w:fldCharType="begin"/>
      </w:r>
      <w:r>
        <w:instrText xml:space="preserve"> PAGEREF _Toc449936764 \h </w:instrText>
      </w:r>
      <w:r w:rsidR="00E87D3E">
        <w:fldChar w:fldCharType="separate"/>
      </w:r>
      <w:r>
        <w:t>49</w:t>
      </w:r>
      <w:r w:rsidR="00E87D3E">
        <w:fldChar w:fldCharType="end"/>
      </w:r>
    </w:p>
    <w:p w:rsidR="00B40D64" w:rsidRDefault="00B40D64">
      <w:pPr>
        <w:pStyle w:val="TOC6"/>
        <w:rPr>
          <w:rFonts w:asciiTheme="minorHAnsi" w:eastAsiaTheme="minorEastAsia" w:hAnsiTheme="minorHAnsi" w:cstheme="minorBidi"/>
          <w:sz w:val="22"/>
          <w:szCs w:val="22"/>
          <w:lang w:eastAsia="nl-BE"/>
        </w:rPr>
      </w:pPr>
      <w:r>
        <w:t>3.Vereiste van biologische band</w:t>
      </w:r>
      <w:r>
        <w:tab/>
      </w:r>
      <w:r w:rsidR="00E87D3E">
        <w:fldChar w:fldCharType="begin"/>
      </w:r>
      <w:r>
        <w:instrText xml:space="preserve"> PAGEREF _Toc449936765 \h </w:instrText>
      </w:r>
      <w:r w:rsidR="00E87D3E">
        <w:fldChar w:fldCharType="separate"/>
      </w:r>
      <w:r>
        <w:t>50</w:t>
      </w:r>
      <w:r w:rsidR="00E87D3E">
        <w:fldChar w:fldCharType="end"/>
      </w:r>
    </w:p>
    <w:p w:rsidR="00B40D64" w:rsidRDefault="00B40D64">
      <w:pPr>
        <w:pStyle w:val="TOC6"/>
        <w:rPr>
          <w:rFonts w:asciiTheme="minorHAnsi" w:eastAsiaTheme="minorEastAsia" w:hAnsiTheme="minorHAnsi" w:cstheme="minorBidi"/>
          <w:sz w:val="22"/>
          <w:szCs w:val="22"/>
          <w:lang w:eastAsia="nl-BE"/>
        </w:rPr>
      </w:pPr>
      <w:r>
        <w:t>4. “Alles of niets” scenario</w:t>
      </w:r>
      <w:r>
        <w:tab/>
      </w:r>
      <w:r w:rsidR="00E87D3E">
        <w:fldChar w:fldCharType="begin"/>
      </w:r>
      <w:r>
        <w:instrText xml:space="preserve"> PAGEREF _Toc449936766 \h </w:instrText>
      </w:r>
      <w:r w:rsidR="00E87D3E">
        <w:fldChar w:fldCharType="separate"/>
      </w:r>
      <w:r>
        <w:t>50</w:t>
      </w:r>
      <w:r w:rsidR="00E87D3E">
        <w:fldChar w:fldCharType="end"/>
      </w:r>
    </w:p>
    <w:p w:rsidR="00B40D64" w:rsidRDefault="00B40D64">
      <w:pPr>
        <w:pStyle w:val="TOC6"/>
        <w:rPr>
          <w:rFonts w:asciiTheme="minorHAnsi" w:eastAsiaTheme="minorEastAsia" w:hAnsiTheme="minorHAnsi" w:cstheme="minorBidi"/>
          <w:sz w:val="22"/>
          <w:szCs w:val="22"/>
          <w:lang w:eastAsia="nl-BE"/>
        </w:rPr>
      </w:pPr>
      <w:r>
        <w:lastRenderedPageBreak/>
        <w:t>5. Afwezigheid van conflictregeling</w:t>
      </w:r>
      <w:r>
        <w:tab/>
      </w:r>
      <w:r w:rsidR="00E87D3E">
        <w:fldChar w:fldCharType="begin"/>
      </w:r>
      <w:r>
        <w:instrText xml:space="preserve"> PAGEREF _Toc449936767 \h </w:instrText>
      </w:r>
      <w:r w:rsidR="00E87D3E">
        <w:fldChar w:fldCharType="separate"/>
      </w:r>
      <w:r>
        <w:t>51</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II. Afstammingsloos gezag</w:t>
      </w:r>
      <w:r>
        <w:tab/>
      </w:r>
      <w:r w:rsidR="00E87D3E">
        <w:fldChar w:fldCharType="begin"/>
      </w:r>
      <w:r>
        <w:instrText xml:space="preserve"> PAGEREF _Toc449936768 \h </w:instrText>
      </w:r>
      <w:r w:rsidR="00E87D3E">
        <w:fldChar w:fldCharType="separate"/>
      </w:r>
      <w:r>
        <w:t>52</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Duiding begrip</w:t>
      </w:r>
      <w:r>
        <w:tab/>
      </w:r>
      <w:r w:rsidR="00E87D3E">
        <w:fldChar w:fldCharType="begin"/>
      </w:r>
      <w:r>
        <w:instrText xml:space="preserve"> PAGEREF _Toc449936769 \h </w:instrText>
      </w:r>
      <w:r w:rsidR="00E87D3E">
        <w:fldChar w:fldCharType="separate"/>
      </w:r>
      <w:r>
        <w:t>52</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Afstammingsloos gezag in Engeland</w:t>
      </w:r>
      <w:r>
        <w:tab/>
      </w:r>
      <w:r w:rsidR="00E87D3E">
        <w:fldChar w:fldCharType="begin"/>
      </w:r>
      <w:r>
        <w:instrText xml:space="preserve"> PAGEREF _Toc449936770 \h </w:instrText>
      </w:r>
      <w:r w:rsidR="00E87D3E">
        <w:fldChar w:fldCharType="separate"/>
      </w:r>
      <w:r>
        <w:t>53</w:t>
      </w:r>
      <w:r w:rsidR="00E87D3E">
        <w:fldChar w:fldCharType="end"/>
      </w:r>
    </w:p>
    <w:p w:rsidR="00B40D64" w:rsidRDefault="00B40D64">
      <w:pPr>
        <w:pStyle w:val="TOC5"/>
        <w:rPr>
          <w:rFonts w:asciiTheme="minorHAnsi" w:eastAsiaTheme="minorEastAsia" w:hAnsiTheme="minorHAnsi" w:cstheme="minorBidi"/>
          <w:sz w:val="22"/>
          <w:szCs w:val="22"/>
          <w:lang w:eastAsia="nl-BE"/>
        </w:rPr>
      </w:pPr>
      <w:r w:rsidRPr="00B40D64">
        <w:t>A. Concept ouderlijk gezag</w:t>
      </w:r>
      <w:r>
        <w:tab/>
      </w:r>
      <w:r w:rsidR="00E87D3E">
        <w:fldChar w:fldCharType="begin"/>
      </w:r>
      <w:r>
        <w:instrText xml:space="preserve"> PAGEREF _Toc449936771 \h </w:instrText>
      </w:r>
      <w:r w:rsidR="00E87D3E">
        <w:fldChar w:fldCharType="separate"/>
      </w:r>
      <w:r>
        <w:t>54</w:t>
      </w:r>
      <w:r w:rsidR="00E87D3E">
        <w:fldChar w:fldCharType="end"/>
      </w:r>
    </w:p>
    <w:p w:rsidR="00B40D64" w:rsidRDefault="00B40D64">
      <w:pPr>
        <w:pStyle w:val="TOC6"/>
        <w:rPr>
          <w:rFonts w:asciiTheme="minorHAnsi" w:eastAsiaTheme="minorEastAsia" w:hAnsiTheme="minorHAnsi" w:cstheme="minorBidi"/>
          <w:sz w:val="22"/>
          <w:szCs w:val="22"/>
          <w:lang w:eastAsia="nl-BE"/>
        </w:rPr>
      </w:pPr>
      <w:r w:rsidRPr="00B40D64">
        <w:t>1. Parental Responsibility</w:t>
      </w:r>
      <w:r>
        <w:tab/>
      </w:r>
      <w:r w:rsidR="00E87D3E">
        <w:fldChar w:fldCharType="begin"/>
      </w:r>
      <w:r>
        <w:instrText xml:space="preserve"> PAGEREF _Toc449936772 \h </w:instrText>
      </w:r>
      <w:r w:rsidR="00E87D3E">
        <w:fldChar w:fldCharType="separate"/>
      </w:r>
      <w:r>
        <w:t>54</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Loskoppeling ouderlijk gezag en juridisch ouderschap</w:t>
      </w:r>
      <w:r>
        <w:tab/>
      </w:r>
      <w:r w:rsidR="00E87D3E">
        <w:fldChar w:fldCharType="begin"/>
      </w:r>
      <w:r>
        <w:instrText xml:space="preserve"> PAGEREF _Toc449936773 \h </w:instrText>
      </w:r>
      <w:r w:rsidR="00E87D3E">
        <w:fldChar w:fldCharType="separate"/>
      </w:r>
      <w:r>
        <w:t>55</w:t>
      </w:r>
      <w:r w:rsidR="00E87D3E">
        <w:fldChar w:fldCharType="end"/>
      </w:r>
    </w:p>
    <w:p w:rsidR="00B40D64" w:rsidRDefault="00B40D64">
      <w:pPr>
        <w:pStyle w:val="TOC5"/>
        <w:rPr>
          <w:rFonts w:asciiTheme="minorHAnsi" w:eastAsiaTheme="minorEastAsia" w:hAnsiTheme="minorHAnsi" w:cstheme="minorBidi"/>
          <w:sz w:val="22"/>
          <w:szCs w:val="22"/>
          <w:lang w:eastAsia="nl-BE"/>
        </w:rPr>
      </w:pPr>
      <w:r>
        <w:t>B. Verkrijging ouderlijk gezag</w:t>
      </w:r>
      <w:r>
        <w:tab/>
      </w:r>
      <w:r w:rsidR="00E87D3E">
        <w:fldChar w:fldCharType="begin"/>
      </w:r>
      <w:r>
        <w:instrText xml:space="preserve"> PAGEREF _Toc449936774 \h </w:instrText>
      </w:r>
      <w:r w:rsidR="00E87D3E">
        <w:fldChar w:fldCharType="separate"/>
      </w:r>
      <w:r>
        <w:t>55</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Juridische ouders</w:t>
      </w:r>
      <w:r>
        <w:tab/>
      </w:r>
      <w:r w:rsidR="00E87D3E">
        <w:fldChar w:fldCharType="begin"/>
      </w:r>
      <w:r>
        <w:instrText xml:space="preserve"> PAGEREF _Toc449936775 \h </w:instrText>
      </w:r>
      <w:r w:rsidR="00E87D3E">
        <w:fldChar w:fldCharType="separate"/>
      </w:r>
      <w:r>
        <w:t>55</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Intentionele meeroudergezinnen</w:t>
      </w:r>
      <w:r>
        <w:tab/>
      </w:r>
      <w:r w:rsidR="00E87D3E">
        <w:fldChar w:fldCharType="begin"/>
      </w:r>
      <w:r>
        <w:instrText xml:space="preserve"> PAGEREF _Toc449936776 \h </w:instrText>
      </w:r>
      <w:r w:rsidR="00E87D3E">
        <w:fldChar w:fldCharType="separate"/>
      </w:r>
      <w:r>
        <w:t>56</w:t>
      </w:r>
      <w:r w:rsidR="00E87D3E">
        <w:fldChar w:fldCharType="end"/>
      </w:r>
    </w:p>
    <w:p w:rsidR="00B40D64" w:rsidRDefault="00B40D64">
      <w:pPr>
        <w:pStyle w:val="TOC6"/>
        <w:rPr>
          <w:rFonts w:asciiTheme="minorHAnsi" w:eastAsiaTheme="minorEastAsia" w:hAnsiTheme="minorHAnsi" w:cstheme="minorBidi"/>
          <w:sz w:val="22"/>
          <w:szCs w:val="22"/>
          <w:lang w:eastAsia="nl-BE"/>
        </w:rPr>
      </w:pPr>
      <w:r>
        <w:t>3. Niet-intentionele meeroudergezinnen</w:t>
      </w:r>
      <w:r>
        <w:tab/>
      </w:r>
      <w:r w:rsidR="00E87D3E">
        <w:fldChar w:fldCharType="begin"/>
      </w:r>
      <w:r>
        <w:instrText xml:space="preserve"> PAGEREF _Toc449936777 \h </w:instrText>
      </w:r>
      <w:r w:rsidR="00E87D3E">
        <w:fldChar w:fldCharType="separate"/>
      </w:r>
      <w:r>
        <w:t>58</w:t>
      </w:r>
      <w:r w:rsidR="00E87D3E">
        <w:fldChar w:fldCharType="end"/>
      </w:r>
    </w:p>
    <w:p w:rsidR="00B40D64" w:rsidRDefault="00B40D64">
      <w:pPr>
        <w:pStyle w:val="TOC5"/>
        <w:rPr>
          <w:rFonts w:asciiTheme="minorHAnsi" w:eastAsiaTheme="minorEastAsia" w:hAnsiTheme="minorHAnsi" w:cstheme="minorBidi"/>
          <w:sz w:val="22"/>
          <w:szCs w:val="22"/>
          <w:lang w:eastAsia="nl-BE"/>
        </w:rPr>
      </w:pPr>
      <w:r>
        <w:t>C. Organisatie ouderlijk gezag</w:t>
      </w:r>
      <w:r>
        <w:tab/>
      </w:r>
      <w:r w:rsidR="00E87D3E">
        <w:fldChar w:fldCharType="begin"/>
      </w:r>
      <w:r>
        <w:instrText xml:space="preserve"> PAGEREF _Toc449936778 \h </w:instrText>
      </w:r>
      <w:r w:rsidR="00E87D3E">
        <w:fldChar w:fldCharType="separate"/>
      </w:r>
      <w:r>
        <w:t>58</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Uitoefening en inhoud</w:t>
      </w:r>
      <w:r>
        <w:tab/>
      </w:r>
      <w:r w:rsidR="00E87D3E">
        <w:fldChar w:fldCharType="begin"/>
      </w:r>
      <w:r>
        <w:instrText xml:space="preserve"> PAGEREF _Toc449936779 \h </w:instrText>
      </w:r>
      <w:r w:rsidR="00E87D3E">
        <w:fldChar w:fldCharType="separate"/>
      </w:r>
      <w:r>
        <w:t>58</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Einde</w:t>
      </w:r>
      <w:r>
        <w:tab/>
      </w:r>
      <w:r w:rsidR="00E87D3E">
        <w:fldChar w:fldCharType="begin"/>
      </w:r>
      <w:r>
        <w:instrText xml:space="preserve"> PAGEREF _Toc449936780 \h </w:instrText>
      </w:r>
      <w:r w:rsidR="00E87D3E">
        <w:fldChar w:fldCharType="separate"/>
      </w:r>
      <w:r>
        <w:t>59</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§3. Afstammingsloos gezag in België</w:t>
      </w:r>
      <w:r>
        <w:tab/>
      </w:r>
      <w:r w:rsidR="00E87D3E">
        <w:fldChar w:fldCharType="begin"/>
      </w:r>
      <w:r>
        <w:instrText xml:space="preserve"> PAGEREF _Toc449936781 \h </w:instrText>
      </w:r>
      <w:r w:rsidR="00E87D3E">
        <w:fldChar w:fldCharType="separate"/>
      </w:r>
      <w:r>
        <w:t>60</w:t>
      </w:r>
      <w:r w:rsidR="00E87D3E">
        <w:fldChar w:fldCharType="end"/>
      </w:r>
    </w:p>
    <w:p w:rsidR="00B40D64" w:rsidRDefault="00B40D64">
      <w:pPr>
        <w:pStyle w:val="TOC5"/>
        <w:rPr>
          <w:rFonts w:asciiTheme="minorHAnsi" w:eastAsiaTheme="minorEastAsia" w:hAnsiTheme="minorHAnsi" w:cstheme="minorBidi"/>
          <w:sz w:val="22"/>
          <w:szCs w:val="22"/>
          <w:lang w:eastAsia="nl-BE"/>
        </w:rPr>
      </w:pPr>
      <w:r>
        <w:t>A. Zorgouderschap</w:t>
      </w:r>
      <w:r>
        <w:tab/>
      </w:r>
      <w:r w:rsidR="00E87D3E">
        <w:fldChar w:fldCharType="begin"/>
      </w:r>
      <w:r>
        <w:instrText xml:space="preserve"> PAGEREF _Toc449936782 \h </w:instrText>
      </w:r>
      <w:r w:rsidR="00E87D3E">
        <w:fldChar w:fldCharType="separate"/>
      </w:r>
      <w:r>
        <w:t>60</w:t>
      </w:r>
      <w:r w:rsidR="00E87D3E">
        <w:fldChar w:fldCharType="end"/>
      </w:r>
    </w:p>
    <w:p w:rsidR="00B40D64" w:rsidRDefault="00B40D64">
      <w:pPr>
        <w:pStyle w:val="TOC5"/>
        <w:rPr>
          <w:rFonts w:asciiTheme="minorHAnsi" w:eastAsiaTheme="minorEastAsia" w:hAnsiTheme="minorHAnsi" w:cstheme="minorBidi"/>
          <w:sz w:val="22"/>
          <w:szCs w:val="22"/>
          <w:lang w:eastAsia="nl-BE"/>
        </w:rPr>
      </w:pPr>
      <w:r>
        <w:t>B. Organisatie zorgouderschap</w:t>
      </w:r>
      <w:r>
        <w:tab/>
      </w:r>
      <w:r w:rsidR="00E87D3E">
        <w:fldChar w:fldCharType="begin"/>
      </w:r>
      <w:r>
        <w:instrText xml:space="preserve"> PAGEREF _Toc449936783 \h </w:instrText>
      </w:r>
      <w:r w:rsidR="00E87D3E">
        <w:fldChar w:fldCharType="separate"/>
      </w:r>
      <w:r>
        <w:t>62</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Voorwaarden</w:t>
      </w:r>
      <w:r>
        <w:tab/>
      </w:r>
      <w:r w:rsidR="00E87D3E">
        <w:fldChar w:fldCharType="begin"/>
      </w:r>
      <w:r>
        <w:instrText xml:space="preserve"> PAGEREF _Toc449936784 \h </w:instrText>
      </w:r>
      <w:r w:rsidR="00E87D3E">
        <w:fldChar w:fldCharType="separate"/>
      </w:r>
      <w:r>
        <w:t>62</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Omvang ouderlijk gezag</w:t>
      </w:r>
      <w:r>
        <w:tab/>
      </w:r>
      <w:r w:rsidR="00E87D3E">
        <w:fldChar w:fldCharType="begin"/>
      </w:r>
      <w:r>
        <w:instrText xml:space="preserve"> PAGEREF _Toc449936785 \h </w:instrText>
      </w:r>
      <w:r w:rsidR="00E87D3E">
        <w:fldChar w:fldCharType="separate"/>
      </w:r>
      <w:r>
        <w:t>62</w:t>
      </w:r>
      <w:r w:rsidR="00E87D3E">
        <w:fldChar w:fldCharType="end"/>
      </w:r>
    </w:p>
    <w:p w:rsidR="00B40D64" w:rsidRDefault="00B40D64">
      <w:pPr>
        <w:pStyle w:val="TOC6"/>
        <w:rPr>
          <w:rFonts w:asciiTheme="minorHAnsi" w:eastAsiaTheme="minorEastAsia" w:hAnsiTheme="minorHAnsi" w:cstheme="minorBidi"/>
          <w:sz w:val="22"/>
          <w:szCs w:val="22"/>
          <w:lang w:eastAsia="nl-BE"/>
        </w:rPr>
      </w:pPr>
      <w:r>
        <w:t>3. Aantal zorgouders</w:t>
      </w:r>
      <w:r>
        <w:tab/>
      </w:r>
      <w:r w:rsidR="00E87D3E">
        <w:fldChar w:fldCharType="begin"/>
      </w:r>
      <w:r>
        <w:instrText xml:space="preserve"> PAGEREF _Toc449936786 \h </w:instrText>
      </w:r>
      <w:r w:rsidR="00E87D3E">
        <w:fldChar w:fldCharType="separate"/>
      </w:r>
      <w:r>
        <w:t>64</w:t>
      </w:r>
      <w:r w:rsidR="00E87D3E">
        <w:fldChar w:fldCharType="end"/>
      </w:r>
    </w:p>
    <w:p w:rsidR="00B40D64" w:rsidRDefault="00B40D64">
      <w:pPr>
        <w:pStyle w:val="TOC6"/>
        <w:rPr>
          <w:rFonts w:asciiTheme="minorHAnsi" w:eastAsiaTheme="minorEastAsia" w:hAnsiTheme="minorHAnsi" w:cstheme="minorBidi"/>
          <w:sz w:val="22"/>
          <w:szCs w:val="22"/>
          <w:lang w:eastAsia="nl-BE"/>
        </w:rPr>
      </w:pPr>
      <w:r>
        <w:t>4. Einde</w:t>
      </w:r>
      <w:r>
        <w:tab/>
      </w:r>
      <w:r w:rsidR="00E87D3E">
        <w:fldChar w:fldCharType="begin"/>
      </w:r>
      <w:r>
        <w:instrText xml:space="preserve"> PAGEREF _Toc449936787 \h </w:instrText>
      </w:r>
      <w:r w:rsidR="00E87D3E">
        <w:fldChar w:fldCharType="separate"/>
      </w:r>
      <w:r>
        <w:t>64</w:t>
      </w:r>
      <w:r w:rsidR="00E87D3E">
        <w:fldChar w:fldCharType="end"/>
      </w:r>
    </w:p>
    <w:p w:rsidR="00B40D64" w:rsidRDefault="00B40D64">
      <w:pPr>
        <w:pStyle w:val="TOC3"/>
        <w:rPr>
          <w:rFonts w:asciiTheme="minorHAnsi" w:eastAsiaTheme="minorEastAsia" w:hAnsiTheme="minorHAnsi" w:cstheme="minorBidi"/>
          <w:smallCaps w:val="0"/>
          <w:sz w:val="22"/>
          <w:szCs w:val="22"/>
          <w:lang w:eastAsia="nl-BE"/>
        </w:rPr>
      </w:pPr>
      <w:r>
        <w:t>Afdeling III. Evaluatie</w:t>
      </w:r>
      <w:r>
        <w:tab/>
      </w:r>
      <w:r w:rsidR="00E87D3E">
        <w:fldChar w:fldCharType="begin"/>
      </w:r>
      <w:r>
        <w:instrText xml:space="preserve"> PAGEREF _Toc449936788 \h </w:instrText>
      </w:r>
      <w:r w:rsidR="00E87D3E">
        <w:fldChar w:fldCharType="separate"/>
      </w:r>
      <w:r>
        <w:t>64</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§1. Wettelijke erkenning van feitelijke gezagsrelaties</w:t>
      </w:r>
      <w:r>
        <w:tab/>
      </w:r>
      <w:r w:rsidR="00E87D3E">
        <w:fldChar w:fldCharType="begin"/>
      </w:r>
      <w:r>
        <w:instrText xml:space="preserve"> PAGEREF _Toc449936789 \h </w:instrText>
      </w:r>
      <w:r w:rsidR="00E87D3E">
        <w:fldChar w:fldCharType="separate"/>
      </w:r>
      <w:r>
        <w:t>64</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§2. Voor- en nadelen</w:t>
      </w:r>
      <w:r>
        <w:tab/>
      </w:r>
      <w:r w:rsidR="00E87D3E">
        <w:fldChar w:fldCharType="begin"/>
      </w:r>
      <w:r>
        <w:instrText xml:space="preserve"> PAGEREF _Toc449936790 \h </w:instrText>
      </w:r>
      <w:r w:rsidR="00E87D3E">
        <w:fldChar w:fldCharType="separate"/>
      </w:r>
      <w:r>
        <w:t>66</w:t>
      </w:r>
      <w:r w:rsidR="00E87D3E">
        <w:fldChar w:fldCharType="end"/>
      </w:r>
    </w:p>
    <w:p w:rsidR="00B40D64" w:rsidRDefault="00B40D64">
      <w:pPr>
        <w:pStyle w:val="TOC5"/>
        <w:rPr>
          <w:rFonts w:asciiTheme="minorHAnsi" w:eastAsiaTheme="minorEastAsia" w:hAnsiTheme="minorHAnsi" w:cstheme="minorBidi"/>
          <w:sz w:val="22"/>
          <w:szCs w:val="22"/>
          <w:lang w:eastAsia="nl-BE"/>
        </w:rPr>
      </w:pPr>
      <w:r>
        <w:t>A. Voordelen</w:t>
      </w:r>
      <w:r>
        <w:tab/>
      </w:r>
      <w:r w:rsidR="00E87D3E">
        <w:fldChar w:fldCharType="begin"/>
      </w:r>
      <w:r>
        <w:instrText xml:space="preserve"> PAGEREF _Toc449936791 \h </w:instrText>
      </w:r>
      <w:r w:rsidR="00E87D3E">
        <w:fldChar w:fldCharType="separate"/>
      </w:r>
      <w:r>
        <w:t>66</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Belang van het kind</w:t>
      </w:r>
      <w:r>
        <w:tab/>
      </w:r>
      <w:r w:rsidR="00E87D3E">
        <w:fldChar w:fldCharType="begin"/>
      </w:r>
      <w:r>
        <w:instrText xml:space="preserve"> PAGEREF _Toc449936792 \h </w:instrText>
      </w:r>
      <w:r w:rsidR="00E87D3E">
        <w:fldChar w:fldCharType="separate"/>
      </w:r>
      <w:r>
        <w:t>66</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Ouderlijk gezag op maat van het gezin</w:t>
      </w:r>
      <w:r>
        <w:tab/>
      </w:r>
      <w:r w:rsidR="00E87D3E">
        <w:fldChar w:fldCharType="begin"/>
      </w:r>
      <w:r>
        <w:instrText xml:space="preserve"> PAGEREF _Toc449936793 \h </w:instrText>
      </w:r>
      <w:r w:rsidR="00E87D3E">
        <w:fldChar w:fldCharType="separate"/>
      </w:r>
      <w:r>
        <w:t>66</w:t>
      </w:r>
      <w:r w:rsidR="00E87D3E">
        <w:fldChar w:fldCharType="end"/>
      </w:r>
    </w:p>
    <w:p w:rsidR="00B40D64" w:rsidRDefault="00B40D64">
      <w:pPr>
        <w:pStyle w:val="TOC6"/>
        <w:rPr>
          <w:rFonts w:asciiTheme="minorHAnsi" w:eastAsiaTheme="minorEastAsia" w:hAnsiTheme="minorHAnsi" w:cstheme="minorBidi"/>
          <w:sz w:val="22"/>
          <w:szCs w:val="22"/>
          <w:lang w:eastAsia="nl-BE"/>
        </w:rPr>
      </w:pPr>
      <w:r>
        <w:t>3. Slechts bevestiging van de praktijk</w:t>
      </w:r>
      <w:r>
        <w:tab/>
      </w:r>
      <w:r w:rsidR="00E87D3E">
        <w:fldChar w:fldCharType="begin"/>
      </w:r>
      <w:r>
        <w:instrText xml:space="preserve"> PAGEREF _Toc449936794 \h </w:instrText>
      </w:r>
      <w:r w:rsidR="00E87D3E">
        <w:fldChar w:fldCharType="separate"/>
      </w:r>
      <w:r>
        <w:t>67</w:t>
      </w:r>
      <w:r w:rsidR="00E87D3E">
        <w:fldChar w:fldCharType="end"/>
      </w:r>
    </w:p>
    <w:p w:rsidR="00B40D64" w:rsidRDefault="00B40D64">
      <w:pPr>
        <w:pStyle w:val="TOC5"/>
        <w:rPr>
          <w:rFonts w:asciiTheme="minorHAnsi" w:eastAsiaTheme="minorEastAsia" w:hAnsiTheme="minorHAnsi" w:cstheme="minorBidi"/>
          <w:sz w:val="22"/>
          <w:szCs w:val="22"/>
          <w:lang w:eastAsia="nl-BE"/>
        </w:rPr>
      </w:pPr>
      <w:r>
        <w:t>B. Nadelen</w:t>
      </w:r>
      <w:r>
        <w:tab/>
      </w:r>
      <w:r w:rsidR="00E87D3E">
        <w:fldChar w:fldCharType="begin"/>
      </w:r>
      <w:r>
        <w:instrText xml:space="preserve"> PAGEREF _Toc449936795 \h </w:instrText>
      </w:r>
      <w:r w:rsidR="00E87D3E">
        <w:fldChar w:fldCharType="separate"/>
      </w:r>
      <w:r>
        <w:t>68</w:t>
      </w:r>
      <w:r w:rsidR="00E87D3E">
        <w:fldChar w:fldCharType="end"/>
      </w:r>
    </w:p>
    <w:p w:rsidR="00B40D64" w:rsidRDefault="00B40D64">
      <w:pPr>
        <w:pStyle w:val="TOC6"/>
        <w:rPr>
          <w:rFonts w:asciiTheme="minorHAnsi" w:eastAsiaTheme="minorEastAsia" w:hAnsiTheme="minorHAnsi" w:cstheme="minorBidi"/>
          <w:sz w:val="22"/>
          <w:szCs w:val="22"/>
          <w:lang w:eastAsia="nl-BE"/>
        </w:rPr>
      </w:pPr>
      <w:r>
        <w:t>A. Vergroting kans op conflicten</w:t>
      </w:r>
      <w:r>
        <w:tab/>
      </w:r>
      <w:r w:rsidR="00E87D3E">
        <w:fldChar w:fldCharType="begin"/>
      </w:r>
      <w:r>
        <w:instrText xml:space="preserve"> PAGEREF _Toc449936796 \h </w:instrText>
      </w:r>
      <w:r w:rsidR="00E87D3E">
        <w:fldChar w:fldCharType="separate"/>
      </w:r>
      <w:r>
        <w:t>68</w:t>
      </w:r>
      <w:r w:rsidR="00E87D3E">
        <w:fldChar w:fldCharType="end"/>
      </w:r>
    </w:p>
    <w:p w:rsidR="00B40D64" w:rsidRDefault="00B40D64">
      <w:pPr>
        <w:pStyle w:val="TOC6"/>
        <w:rPr>
          <w:rFonts w:asciiTheme="minorHAnsi" w:eastAsiaTheme="minorEastAsia" w:hAnsiTheme="minorHAnsi" w:cstheme="minorBidi"/>
          <w:sz w:val="22"/>
          <w:szCs w:val="22"/>
          <w:lang w:eastAsia="nl-BE"/>
        </w:rPr>
      </w:pPr>
      <w:r>
        <w:t>B. Stellen van grenzen</w:t>
      </w:r>
      <w:r>
        <w:tab/>
      </w:r>
      <w:r w:rsidR="00E87D3E">
        <w:fldChar w:fldCharType="begin"/>
      </w:r>
      <w:r>
        <w:instrText xml:space="preserve"> PAGEREF _Toc449936797 \h </w:instrText>
      </w:r>
      <w:r w:rsidR="00E87D3E">
        <w:fldChar w:fldCharType="separate"/>
      </w:r>
      <w:r>
        <w:t>68</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§3. Voorstel de lege ferenda meerouderschap</w:t>
      </w:r>
      <w:r>
        <w:tab/>
      </w:r>
      <w:r w:rsidR="00E87D3E">
        <w:fldChar w:fldCharType="begin"/>
      </w:r>
      <w:r>
        <w:instrText xml:space="preserve"> PAGEREF _Toc449936798 \h </w:instrText>
      </w:r>
      <w:r w:rsidR="00E87D3E">
        <w:fldChar w:fldCharType="separate"/>
      </w:r>
      <w:r>
        <w:t>69</w:t>
      </w:r>
      <w:r w:rsidR="00E87D3E">
        <w:fldChar w:fldCharType="end"/>
      </w:r>
    </w:p>
    <w:p w:rsidR="00B40D64" w:rsidRDefault="00B40D64">
      <w:pPr>
        <w:pStyle w:val="TOC5"/>
        <w:rPr>
          <w:rFonts w:asciiTheme="minorHAnsi" w:eastAsiaTheme="minorEastAsia" w:hAnsiTheme="minorHAnsi" w:cstheme="minorBidi"/>
          <w:sz w:val="22"/>
          <w:szCs w:val="22"/>
          <w:lang w:eastAsia="nl-BE"/>
        </w:rPr>
      </w:pPr>
      <w:r>
        <w:t>A. Voorstel de lege ferenda meerouderschap</w:t>
      </w:r>
      <w:r>
        <w:tab/>
      </w:r>
      <w:r w:rsidR="00E87D3E">
        <w:fldChar w:fldCharType="begin"/>
      </w:r>
      <w:r>
        <w:instrText xml:space="preserve"> PAGEREF _Toc449936799 \h </w:instrText>
      </w:r>
      <w:r w:rsidR="00E87D3E">
        <w:fldChar w:fldCharType="separate"/>
      </w:r>
      <w:r>
        <w:t>69</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Totstandkoming meerouderschap</w:t>
      </w:r>
      <w:r>
        <w:tab/>
      </w:r>
      <w:r w:rsidR="00E87D3E">
        <w:fldChar w:fldCharType="begin"/>
      </w:r>
      <w:r>
        <w:instrText xml:space="preserve"> PAGEREF _Toc449936800 \h </w:instrText>
      </w:r>
      <w:r w:rsidR="00E87D3E">
        <w:fldChar w:fldCharType="separate"/>
      </w:r>
      <w:r>
        <w:t>69</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Bestaan naast huidige afstammingsregels</w:t>
      </w:r>
      <w:r>
        <w:tab/>
      </w:r>
      <w:r w:rsidR="00E87D3E">
        <w:fldChar w:fldCharType="begin"/>
      </w:r>
      <w:r>
        <w:instrText xml:space="preserve"> PAGEREF _Toc449936801 \h </w:instrText>
      </w:r>
      <w:r w:rsidR="00E87D3E">
        <w:fldChar w:fldCharType="separate"/>
      </w:r>
      <w:r>
        <w:t>70</w:t>
      </w:r>
      <w:r w:rsidR="00E87D3E">
        <w:fldChar w:fldCharType="end"/>
      </w:r>
    </w:p>
    <w:p w:rsidR="00B40D64" w:rsidRDefault="00B40D64">
      <w:pPr>
        <w:pStyle w:val="TOC6"/>
        <w:rPr>
          <w:rFonts w:asciiTheme="minorHAnsi" w:eastAsiaTheme="minorEastAsia" w:hAnsiTheme="minorHAnsi" w:cstheme="minorBidi"/>
          <w:sz w:val="22"/>
          <w:szCs w:val="22"/>
          <w:lang w:eastAsia="nl-BE"/>
        </w:rPr>
      </w:pPr>
      <w:r>
        <w:t>3. Ouderlijk gezag</w:t>
      </w:r>
      <w:r>
        <w:tab/>
      </w:r>
      <w:r w:rsidR="00E87D3E">
        <w:fldChar w:fldCharType="begin"/>
      </w:r>
      <w:r>
        <w:instrText xml:space="preserve"> PAGEREF _Toc449936802 \h </w:instrText>
      </w:r>
      <w:r w:rsidR="00E87D3E">
        <w:fldChar w:fldCharType="separate"/>
      </w:r>
      <w:r>
        <w:t>70</w:t>
      </w:r>
      <w:r w:rsidR="00E87D3E">
        <w:fldChar w:fldCharType="end"/>
      </w:r>
    </w:p>
    <w:p w:rsidR="00B40D64" w:rsidRDefault="00B40D64">
      <w:pPr>
        <w:pStyle w:val="TOC6"/>
        <w:rPr>
          <w:rFonts w:asciiTheme="minorHAnsi" w:eastAsiaTheme="minorEastAsia" w:hAnsiTheme="minorHAnsi" w:cstheme="minorBidi"/>
          <w:sz w:val="22"/>
          <w:szCs w:val="22"/>
          <w:lang w:eastAsia="nl-BE"/>
        </w:rPr>
      </w:pPr>
      <w:r>
        <w:t>4. Aantal juridische ouders</w:t>
      </w:r>
      <w:r>
        <w:tab/>
      </w:r>
      <w:r w:rsidR="00E87D3E">
        <w:fldChar w:fldCharType="begin"/>
      </w:r>
      <w:r>
        <w:instrText xml:space="preserve"> PAGEREF _Toc449936803 \h </w:instrText>
      </w:r>
      <w:r w:rsidR="00E87D3E">
        <w:fldChar w:fldCharType="separate"/>
      </w:r>
      <w:r>
        <w:t>71</w:t>
      </w:r>
      <w:r w:rsidR="00E87D3E">
        <w:fldChar w:fldCharType="end"/>
      </w:r>
    </w:p>
    <w:p w:rsidR="00B40D64" w:rsidRDefault="00B40D64">
      <w:pPr>
        <w:pStyle w:val="TOC5"/>
        <w:rPr>
          <w:rFonts w:asciiTheme="minorHAnsi" w:eastAsiaTheme="minorEastAsia" w:hAnsiTheme="minorHAnsi" w:cstheme="minorBidi"/>
          <w:sz w:val="22"/>
          <w:szCs w:val="22"/>
          <w:lang w:eastAsia="nl-BE"/>
        </w:rPr>
      </w:pPr>
      <w:r>
        <w:t>B. Voorstel de lege ferenda afstammingsloos gezag</w:t>
      </w:r>
      <w:r>
        <w:tab/>
      </w:r>
      <w:r w:rsidR="00E87D3E">
        <w:fldChar w:fldCharType="begin"/>
      </w:r>
      <w:r>
        <w:instrText xml:space="preserve"> PAGEREF _Toc449936804 \h </w:instrText>
      </w:r>
      <w:r w:rsidR="00E87D3E">
        <w:fldChar w:fldCharType="separate"/>
      </w:r>
      <w:r>
        <w:t>71</w:t>
      </w:r>
      <w:r w:rsidR="00E87D3E">
        <w:fldChar w:fldCharType="end"/>
      </w:r>
    </w:p>
    <w:p w:rsidR="00B40D64" w:rsidRDefault="00B40D64">
      <w:pPr>
        <w:pStyle w:val="TOC6"/>
        <w:rPr>
          <w:rFonts w:asciiTheme="minorHAnsi" w:eastAsiaTheme="minorEastAsia" w:hAnsiTheme="minorHAnsi" w:cstheme="minorBidi"/>
          <w:sz w:val="22"/>
          <w:szCs w:val="22"/>
          <w:lang w:eastAsia="nl-BE"/>
        </w:rPr>
      </w:pPr>
      <w:r>
        <w:t>1. Totstandkoming afstammingsloos gezag</w:t>
      </w:r>
      <w:r>
        <w:tab/>
      </w:r>
      <w:r w:rsidR="00E87D3E">
        <w:fldChar w:fldCharType="begin"/>
      </w:r>
      <w:r>
        <w:instrText xml:space="preserve"> PAGEREF _Toc449936805 \h </w:instrText>
      </w:r>
      <w:r w:rsidR="00E87D3E">
        <w:fldChar w:fldCharType="separate"/>
      </w:r>
      <w:r>
        <w:t>71</w:t>
      </w:r>
      <w:r w:rsidR="00E87D3E">
        <w:fldChar w:fldCharType="end"/>
      </w:r>
    </w:p>
    <w:p w:rsidR="00B40D64" w:rsidRDefault="00B40D64">
      <w:pPr>
        <w:pStyle w:val="TOC6"/>
        <w:rPr>
          <w:rFonts w:asciiTheme="minorHAnsi" w:eastAsiaTheme="minorEastAsia" w:hAnsiTheme="minorHAnsi" w:cstheme="minorBidi"/>
          <w:sz w:val="22"/>
          <w:szCs w:val="22"/>
          <w:lang w:eastAsia="nl-BE"/>
        </w:rPr>
      </w:pPr>
      <w:r>
        <w:t>2. Bestaan naast huidige afstammingsregels</w:t>
      </w:r>
      <w:r>
        <w:tab/>
      </w:r>
      <w:r w:rsidR="00E87D3E">
        <w:fldChar w:fldCharType="begin"/>
      </w:r>
      <w:r>
        <w:instrText xml:space="preserve"> PAGEREF _Toc449936806 \h </w:instrText>
      </w:r>
      <w:r w:rsidR="00E87D3E">
        <w:fldChar w:fldCharType="separate"/>
      </w:r>
      <w:r>
        <w:t>72</w:t>
      </w:r>
      <w:r w:rsidR="00E87D3E">
        <w:fldChar w:fldCharType="end"/>
      </w:r>
    </w:p>
    <w:p w:rsidR="00B40D64" w:rsidRDefault="00B40D64">
      <w:pPr>
        <w:pStyle w:val="TOC6"/>
        <w:rPr>
          <w:rFonts w:asciiTheme="minorHAnsi" w:eastAsiaTheme="minorEastAsia" w:hAnsiTheme="minorHAnsi" w:cstheme="minorBidi"/>
          <w:sz w:val="22"/>
          <w:szCs w:val="22"/>
          <w:lang w:eastAsia="nl-BE"/>
        </w:rPr>
      </w:pPr>
      <w:r w:rsidRPr="006178E2">
        <w:rPr>
          <w:lang w:val="nl-NL"/>
        </w:rPr>
        <w:t>3. Ouderlijk gezag</w:t>
      </w:r>
      <w:r>
        <w:tab/>
      </w:r>
      <w:r w:rsidR="00E87D3E">
        <w:fldChar w:fldCharType="begin"/>
      </w:r>
      <w:r>
        <w:instrText xml:space="preserve"> PAGEREF _Toc449936807 \h </w:instrText>
      </w:r>
      <w:r w:rsidR="00E87D3E">
        <w:fldChar w:fldCharType="separate"/>
      </w:r>
      <w:r>
        <w:t>72</w:t>
      </w:r>
      <w:r w:rsidR="00E87D3E">
        <w:fldChar w:fldCharType="end"/>
      </w:r>
    </w:p>
    <w:p w:rsidR="00B40D64" w:rsidRDefault="00B40D64">
      <w:pPr>
        <w:pStyle w:val="TOC4"/>
        <w:rPr>
          <w:rFonts w:asciiTheme="minorHAnsi" w:eastAsiaTheme="minorEastAsia" w:hAnsiTheme="minorHAnsi" w:cstheme="minorBidi"/>
          <w:i w:val="0"/>
          <w:iCs w:val="0"/>
          <w:sz w:val="22"/>
          <w:szCs w:val="22"/>
          <w:lang w:eastAsia="nl-BE"/>
        </w:rPr>
      </w:pPr>
      <w:r>
        <w:t>§4. Meerouderschap vs. afstammingsloos gezag</w:t>
      </w:r>
      <w:r>
        <w:tab/>
      </w:r>
      <w:r w:rsidR="00E87D3E">
        <w:fldChar w:fldCharType="begin"/>
      </w:r>
      <w:r>
        <w:instrText xml:space="preserve"> PAGEREF _Toc449936808 \h </w:instrText>
      </w:r>
      <w:r w:rsidR="00E87D3E">
        <w:fldChar w:fldCharType="separate"/>
      </w:r>
      <w:r>
        <w:t>73</w:t>
      </w:r>
      <w:r w:rsidR="00E87D3E">
        <w:fldChar w:fldCharType="end"/>
      </w:r>
    </w:p>
    <w:p w:rsidR="00B40D64" w:rsidRDefault="00B40D64">
      <w:pPr>
        <w:pStyle w:val="TOC1"/>
        <w:rPr>
          <w:rFonts w:asciiTheme="minorHAnsi" w:eastAsiaTheme="minorEastAsia" w:hAnsiTheme="minorHAnsi" w:cstheme="minorBidi"/>
          <w:b w:val="0"/>
          <w:bCs w:val="0"/>
          <w:caps w:val="0"/>
          <w:sz w:val="22"/>
          <w:szCs w:val="22"/>
          <w:lang w:eastAsia="nl-BE"/>
        </w:rPr>
      </w:pPr>
      <w:r>
        <w:t>Besluit</w:t>
      </w:r>
      <w:r>
        <w:tab/>
      </w:r>
      <w:r w:rsidR="00E87D3E">
        <w:fldChar w:fldCharType="begin"/>
      </w:r>
      <w:r>
        <w:instrText xml:space="preserve"> PAGEREF _Toc449936809 \h </w:instrText>
      </w:r>
      <w:r w:rsidR="00E87D3E">
        <w:fldChar w:fldCharType="separate"/>
      </w:r>
      <w:r>
        <w:t>75</w:t>
      </w:r>
      <w:r w:rsidR="00E87D3E">
        <w:fldChar w:fldCharType="end"/>
      </w:r>
    </w:p>
    <w:p w:rsidR="00B40D64" w:rsidRDefault="00B40D64">
      <w:pPr>
        <w:pStyle w:val="TOC1"/>
        <w:rPr>
          <w:rFonts w:asciiTheme="minorHAnsi" w:eastAsiaTheme="minorEastAsia" w:hAnsiTheme="minorHAnsi" w:cstheme="minorBidi"/>
          <w:b w:val="0"/>
          <w:bCs w:val="0"/>
          <w:caps w:val="0"/>
          <w:sz w:val="22"/>
          <w:szCs w:val="22"/>
          <w:lang w:eastAsia="nl-BE"/>
        </w:rPr>
      </w:pPr>
      <w:r>
        <w:t>Bibliografie</w:t>
      </w:r>
      <w:r>
        <w:tab/>
      </w:r>
      <w:r w:rsidR="00E87D3E">
        <w:fldChar w:fldCharType="begin"/>
      </w:r>
      <w:r>
        <w:instrText xml:space="preserve"> PAGEREF _Toc449936810 \h </w:instrText>
      </w:r>
      <w:r w:rsidR="00E87D3E">
        <w:fldChar w:fldCharType="separate"/>
      </w:r>
      <w:r>
        <w:t>77</w:t>
      </w:r>
      <w:r w:rsidR="00E87D3E">
        <w:fldChar w:fldCharType="end"/>
      </w:r>
    </w:p>
    <w:p w:rsidR="00B40D64" w:rsidRDefault="00B40D64">
      <w:pPr>
        <w:pStyle w:val="TOC2"/>
        <w:rPr>
          <w:rFonts w:asciiTheme="minorHAnsi" w:eastAsiaTheme="minorEastAsia" w:hAnsiTheme="minorHAnsi" w:cstheme="minorBidi"/>
          <w:b w:val="0"/>
          <w:bCs w:val="0"/>
          <w:caps w:val="0"/>
          <w:sz w:val="22"/>
          <w:szCs w:val="22"/>
          <w:lang w:eastAsia="nl-BE"/>
        </w:rPr>
      </w:pPr>
      <w:r>
        <w:lastRenderedPageBreak/>
        <w:t>Wetgeving</w:t>
      </w:r>
      <w:r>
        <w:tab/>
      </w:r>
      <w:r w:rsidR="00E87D3E">
        <w:fldChar w:fldCharType="begin"/>
      </w:r>
      <w:r>
        <w:instrText xml:space="preserve"> PAGEREF _Toc449936811 \h </w:instrText>
      </w:r>
      <w:r w:rsidR="00E87D3E">
        <w:fldChar w:fldCharType="separate"/>
      </w:r>
      <w:r>
        <w:t>77</w:t>
      </w:r>
      <w:r w:rsidR="00E87D3E">
        <w:fldChar w:fldCharType="end"/>
      </w:r>
    </w:p>
    <w:p w:rsidR="00B40D64" w:rsidRDefault="00B40D64">
      <w:pPr>
        <w:pStyle w:val="TOC2"/>
        <w:rPr>
          <w:rFonts w:asciiTheme="minorHAnsi" w:eastAsiaTheme="minorEastAsia" w:hAnsiTheme="minorHAnsi" w:cstheme="minorBidi"/>
          <w:b w:val="0"/>
          <w:bCs w:val="0"/>
          <w:caps w:val="0"/>
          <w:sz w:val="22"/>
          <w:szCs w:val="22"/>
          <w:lang w:eastAsia="nl-BE"/>
        </w:rPr>
      </w:pPr>
      <w:r>
        <w:t>Rechtspraak</w:t>
      </w:r>
      <w:r>
        <w:tab/>
      </w:r>
      <w:r w:rsidR="00E87D3E">
        <w:fldChar w:fldCharType="begin"/>
      </w:r>
      <w:r>
        <w:instrText xml:space="preserve"> PAGEREF _Toc449936812 \h </w:instrText>
      </w:r>
      <w:r w:rsidR="00E87D3E">
        <w:fldChar w:fldCharType="separate"/>
      </w:r>
      <w:r>
        <w:t>78</w:t>
      </w:r>
      <w:r w:rsidR="00E87D3E">
        <w:fldChar w:fldCharType="end"/>
      </w:r>
    </w:p>
    <w:p w:rsidR="00B40D64" w:rsidRDefault="00B40D64">
      <w:pPr>
        <w:pStyle w:val="TOC2"/>
        <w:rPr>
          <w:rFonts w:asciiTheme="minorHAnsi" w:eastAsiaTheme="minorEastAsia" w:hAnsiTheme="minorHAnsi" w:cstheme="minorBidi"/>
          <w:b w:val="0"/>
          <w:bCs w:val="0"/>
          <w:caps w:val="0"/>
          <w:sz w:val="22"/>
          <w:szCs w:val="22"/>
          <w:lang w:eastAsia="nl-BE"/>
        </w:rPr>
      </w:pPr>
      <w:r>
        <w:t>Rechtsleer</w:t>
      </w:r>
      <w:r>
        <w:tab/>
      </w:r>
      <w:r w:rsidR="00E87D3E">
        <w:fldChar w:fldCharType="begin"/>
      </w:r>
      <w:r>
        <w:instrText xml:space="preserve"> PAGEREF _Toc449936813 \h </w:instrText>
      </w:r>
      <w:r w:rsidR="00E87D3E">
        <w:fldChar w:fldCharType="separate"/>
      </w:r>
      <w:r>
        <w:t>79</w:t>
      </w:r>
      <w:r w:rsidR="00E87D3E">
        <w:fldChar w:fldCharType="end"/>
      </w:r>
    </w:p>
    <w:p w:rsidR="000C0BD2" w:rsidRPr="00753CDD" w:rsidRDefault="00E87D3E" w:rsidP="00753CDD">
      <w:pPr>
        <w:pStyle w:val="TOC2"/>
        <w:rPr>
          <w:rFonts w:asciiTheme="minorHAnsi" w:eastAsiaTheme="minorEastAsia" w:hAnsiTheme="minorHAnsi" w:cstheme="minorBidi"/>
          <w:b w:val="0"/>
          <w:bCs w:val="0"/>
          <w:caps w:val="0"/>
          <w:sz w:val="22"/>
          <w:szCs w:val="22"/>
          <w:lang w:eastAsia="nl-BE"/>
        </w:rPr>
      </w:pPr>
      <w:r>
        <w:fldChar w:fldCharType="end"/>
      </w:r>
    </w:p>
    <w:p w:rsidR="000C0BD2" w:rsidRDefault="000C0BD2">
      <w:pPr>
        <w:jc w:val="left"/>
      </w:pPr>
    </w:p>
    <w:p w:rsidR="000C0BD2" w:rsidRDefault="000C0BD2" w:rsidP="00746471">
      <w:pPr>
        <w:pStyle w:val="Heading1"/>
        <w:spacing w:line="360" w:lineRule="auto"/>
        <w:jc w:val="both"/>
      </w:pPr>
      <w:r>
        <w:br w:type="page"/>
      </w:r>
      <w:bookmarkStart w:id="9" w:name="_Toc449936696"/>
      <w:r w:rsidR="00894BA6">
        <w:lastRenderedPageBreak/>
        <w:t>Lijst afkortingen</w:t>
      </w:r>
      <w:bookmarkEnd w:id="9"/>
    </w:p>
    <w:p w:rsidR="00313BAF" w:rsidRDefault="00313BAF" w:rsidP="00313BAF">
      <w:pPr>
        <w:pStyle w:val="Randnummer"/>
        <w:spacing w:line="360" w:lineRule="auto"/>
        <w:ind w:left="0" w:firstLine="0"/>
      </w:pPr>
      <w:r w:rsidRPr="002F3171">
        <w:rPr>
          <w:i/>
        </w:rPr>
        <w:t>BW.:</w:t>
      </w:r>
      <w:r>
        <w:t xml:space="preserve"> Burgerlijk Wetboek</w:t>
      </w:r>
    </w:p>
    <w:p w:rsidR="002F3171" w:rsidRDefault="002F3171" w:rsidP="00313BAF">
      <w:pPr>
        <w:pStyle w:val="Randnummer"/>
        <w:spacing w:line="360" w:lineRule="auto"/>
        <w:ind w:left="0" w:firstLine="0"/>
      </w:pPr>
      <w:r w:rsidRPr="002F3171">
        <w:rPr>
          <w:i/>
        </w:rPr>
        <w:t>CA</w:t>
      </w:r>
      <w:r>
        <w:t>.: Children Act 16 November 1989.</w:t>
      </w:r>
    </w:p>
    <w:p w:rsidR="002F3171" w:rsidRDefault="00313BAF" w:rsidP="002F3171">
      <w:pPr>
        <w:pStyle w:val="Randnummer"/>
        <w:spacing w:line="360" w:lineRule="auto"/>
        <w:ind w:left="0" w:firstLine="0"/>
      </w:pPr>
      <w:r w:rsidRPr="002F3171">
        <w:rPr>
          <w:i/>
        </w:rPr>
        <w:t>EHRM</w:t>
      </w:r>
      <w:r>
        <w:t>: Europees Hof v</w:t>
      </w:r>
      <w:r w:rsidR="002F3171">
        <w:t>oor</w:t>
      </w:r>
      <w:r>
        <w:t xml:space="preserve"> de Rechten va</w:t>
      </w:r>
      <w:r w:rsidR="002F3171">
        <w:t>n de Mens</w:t>
      </w:r>
    </w:p>
    <w:p w:rsidR="00313BAF" w:rsidRDefault="00313BAF" w:rsidP="00313BAF">
      <w:pPr>
        <w:pStyle w:val="Randnummer"/>
        <w:spacing w:line="360" w:lineRule="auto"/>
        <w:ind w:left="0" w:firstLine="0"/>
      </w:pPr>
      <w:r w:rsidRPr="002F3171">
        <w:rPr>
          <w:i/>
        </w:rPr>
        <w:t>EVRM:</w:t>
      </w:r>
      <w:r>
        <w:t xml:space="preserve"> </w:t>
      </w:r>
      <w:r w:rsidR="00746D53">
        <w:t xml:space="preserve">Europees </w:t>
      </w:r>
      <w:r w:rsidR="002F3171" w:rsidRPr="008F6472">
        <w:t>Verdrag</w:t>
      </w:r>
      <w:r w:rsidR="00746D53">
        <w:t xml:space="preserve"> tot bescherming van de rechten van de m</w:t>
      </w:r>
      <w:r w:rsidR="002F3171" w:rsidRPr="008F6472">
        <w:t>e</w:t>
      </w:r>
      <w:r w:rsidR="00746D53">
        <w:t>ns en de fundamentele v</w:t>
      </w:r>
      <w:r w:rsidR="002F3171" w:rsidRPr="008F6472">
        <w:t xml:space="preserve">rijheden, </w:t>
      </w:r>
      <w:r w:rsidR="002F3171" w:rsidRPr="008F6472">
        <w:rPr>
          <w:i/>
        </w:rPr>
        <w:t>B.S.</w:t>
      </w:r>
      <w:r w:rsidR="002F3171" w:rsidRPr="008F6472">
        <w:t xml:space="preserve"> 19 augustus 1955.</w:t>
      </w:r>
    </w:p>
    <w:p w:rsidR="002F3171" w:rsidRPr="002F3171" w:rsidRDefault="002F3171" w:rsidP="00313BAF">
      <w:pPr>
        <w:pStyle w:val="Randnummer"/>
        <w:spacing w:line="360" w:lineRule="auto"/>
        <w:ind w:left="0" w:firstLine="0"/>
        <w:rPr>
          <w:lang w:val="en-US"/>
        </w:rPr>
      </w:pPr>
      <w:r w:rsidRPr="002F3171">
        <w:rPr>
          <w:i/>
          <w:lang w:val="en-US"/>
        </w:rPr>
        <w:t>FLA</w:t>
      </w:r>
      <w:r>
        <w:rPr>
          <w:i/>
          <w:lang w:val="en-US"/>
        </w:rPr>
        <w:t>.</w:t>
      </w:r>
      <w:r w:rsidRPr="002F3171">
        <w:rPr>
          <w:i/>
          <w:lang w:val="en-US"/>
        </w:rPr>
        <w:t>:</w:t>
      </w:r>
      <w:r w:rsidRPr="002F3171">
        <w:rPr>
          <w:lang w:val="en-US"/>
        </w:rPr>
        <w:t xml:space="preserve"> Family Law Act 23 November 2011.</w:t>
      </w:r>
    </w:p>
    <w:p w:rsidR="002F3171" w:rsidRPr="002F3171" w:rsidRDefault="002F3171" w:rsidP="00313BAF">
      <w:pPr>
        <w:pStyle w:val="Randnummer"/>
        <w:spacing w:line="360" w:lineRule="auto"/>
        <w:ind w:left="0" w:firstLine="0"/>
        <w:rPr>
          <w:lang w:val="en-US"/>
        </w:rPr>
      </w:pPr>
      <w:r w:rsidRPr="002F3171">
        <w:rPr>
          <w:i/>
          <w:lang w:val="en-US"/>
        </w:rPr>
        <w:t>HFEA</w:t>
      </w:r>
      <w:r w:rsidRPr="002F3171">
        <w:rPr>
          <w:lang w:val="en-US"/>
        </w:rPr>
        <w:t>: Human Fertilisation and Embrology Act 13 November 2008</w:t>
      </w:r>
    </w:p>
    <w:p w:rsidR="00313BAF" w:rsidRDefault="00313BAF" w:rsidP="00313BAF">
      <w:pPr>
        <w:pStyle w:val="Randnummer"/>
        <w:spacing w:line="360" w:lineRule="auto"/>
        <w:ind w:left="0" w:firstLine="0"/>
      </w:pPr>
      <w:r w:rsidRPr="002F3171">
        <w:rPr>
          <w:i/>
        </w:rPr>
        <w:t>MBV-Wet</w:t>
      </w:r>
      <w:r>
        <w:t xml:space="preserve">: </w:t>
      </w:r>
      <w:r w:rsidR="002F3171">
        <w:t xml:space="preserve">Wet </w:t>
      </w:r>
      <w:r w:rsidR="00544CAD">
        <w:t xml:space="preserve">van </w:t>
      </w:r>
      <w:r w:rsidR="002F3171">
        <w:t>6 juli 2007 betreffende de medisch begeleide voortplanting en de bestemming van de overtallige embryo</w:t>
      </w:r>
      <w:r w:rsidR="00544CAD">
        <w:t>’</w:t>
      </w:r>
      <w:r w:rsidR="002F3171">
        <w:t>s en</w:t>
      </w:r>
      <w:r w:rsidR="00544CAD">
        <w:t xml:space="preserve"> de</w:t>
      </w:r>
      <w:r w:rsidR="002F3171">
        <w:t xml:space="preserve"> gameten, </w:t>
      </w:r>
      <w:r w:rsidR="002F3171" w:rsidRPr="002F3171">
        <w:rPr>
          <w:i/>
        </w:rPr>
        <w:t>B.S.</w:t>
      </w:r>
      <w:r w:rsidR="002F3171">
        <w:t xml:space="preserve"> 17 juli 2007.</w:t>
      </w:r>
    </w:p>
    <w:p w:rsidR="00313BAF" w:rsidRDefault="00313BAF" w:rsidP="00313BAF">
      <w:pPr>
        <w:pStyle w:val="Randnummer"/>
        <w:spacing w:line="360" w:lineRule="auto"/>
        <w:ind w:left="0" w:firstLine="0"/>
      </w:pPr>
      <w:r w:rsidRPr="002F3171">
        <w:rPr>
          <w:i/>
        </w:rPr>
        <w:t>Wjb</w:t>
      </w:r>
      <w:r>
        <w:t xml:space="preserve">.: Wet van 8 april 1965 betreffende de jeugdbescherming, het ten laste nemen van minderjarigen die een als misdrijf omschreven feit hebben gepleegd en het herstel van de door dit feit veroorzaakte schade, </w:t>
      </w:r>
      <w:r w:rsidRPr="00313BAF">
        <w:rPr>
          <w:i/>
        </w:rPr>
        <w:t>B.S.</w:t>
      </w:r>
      <w:r>
        <w:t xml:space="preserve"> 1 september 1966.</w:t>
      </w:r>
    </w:p>
    <w:p w:rsidR="00807D9B" w:rsidRPr="00807D9B" w:rsidRDefault="000A7521" w:rsidP="00313BAF">
      <w:pPr>
        <w:pStyle w:val="Randnummer"/>
        <w:spacing w:line="360" w:lineRule="auto"/>
        <w:ind w:left="0" w:firstLine="0"/>
      </w:pPr>
      <w:r>
        <w:br w:type="page"/>
      </w:r>
    </w:p>
    <w:p w:rsidR="000C0BD2" w:rsidRPr="006D2DC2" w:rsidRDefault="000C0BD2" w:rsidP="00746471">
      <w:pPr>
        <w:pStyle w:val="Heading1"/>
        <w:spacing w:line="360" w:lineRule="auto"/>
        <w:jc w:val="both"/>
      </w:pPr>
      <w:bookmarkStart w:id="10" w:name="_Toc449936697"/>
      <w:bookmarkStart w:id="11" w:name="_Toc407256973"/>
      <w:r>
        <w:lastRenderedPageBreak/>
        <w:t>ONDERZOEKSVRAGEN- EN METHODE</w:t>
      </w:r>
      <w:bookmarkEnd w:id="10"/>
    </w:p>
    <w:p w:rsidR="000C0BD2" w:rsidRPr="00753CDD" w:rsidRDefault="000C0BD2" w:rsidP="00A74A3B">
      <w:pPr>
        <w:pStyle w:val="Randnummer"/>
        <w:spacing w:line="360" w:lineRule="auto"/>
        <w:ind w:left="0" w:firstLine="0"/>
        <w:rPr>
          <w:b/>
          <w:bCs/>
        </w:rPr>
      </w:pPr>
      <w:r w:rsidRPr="00753CDD">
        <w:t>De hoofdonderzoeksvraag is de vr</w:t>
      </w:r>
      <w:r w:rsidR="00D17F7A">
        <w:t>aag of de wetgever tegemoet dient te</w:t>
      </w:r>
      <w:r w:rsidRPr="00753CDD">
        <w:t xml:space="preserve"> komen aan de maatschappelijke veranderingen en de feitelijke gezagsrelaties die ontstaan tussen </w:t>
      </w:r>
      <w:r w:rsidR="00FB2BF3" w:rsidRPr="00753CDD">
        <w:t xml:space="preserve">het </w:t>
      </w:r>
      <w:r w:rsidRPr="00753CDD">
        <w:t xml:space="preserve">kind en </w:t>
      </w:r>
      <w:r w:rsidR="00FB2BF3" w:rsidRPr="00753CDD">
        <w:t xml:space="preserve">de </w:t>
      </w:r>
      <w:r w:rsidRPr="00753CDD">
        <w:t xml:space="preserve">niet-juridische ouder </w:t>
      </w:r>
      <w:r w:rsidR="00FB2BF3" w:rsidRPr="00753CDD">
        <w:t xml:space="preserve">moet </w:t>
      </w:r>
      <w:r w:rsidRPr="00753CDD">
        <w:t>erkennen?</w:t>
      </w:r>
    </w:p>
    <w:p w:rsidR="000C0BD2" w:rsidRPr="00753CDD" w:rsidRDefault="000C0BD2" w:rsidP="00A74A3B">
      <w:pPr>
        <w:pStyle w:val="Randnummer"/>
        <w:spacing w:line="360" w:lineRule="auto"/>
        <w:ind w:left="0" w:firstLine="0"/>
        <w:rPr>
          <w:b/>
          <w:bCs/>
        </w:rPr>
      </w:pPr>
      <w:r w:rsidRPr="00753CDD">
        <w:t xml:space="preserve">Vervolgens stel ik de vraag of meerouderschap en </w:t>
      </w:r>
      <w:r w:rsidR="00013CF8">
        <w:t xml:space="preserve">afstammingsloos gezag mogelijke </w:t>
      </w:r>
      <w:r w:rsidRPr="00753CDD">
        <w:t>oplossingen</w:t>
      </w:r>
      <w:r w:rsidR="00FB2BF3" w:rsidRPr="00753CDD">
        <w:t xml:space="preserve"> zijn</w:t>
      </w:r>
      <w:r w:rsidRPr="00753CDD">
        <w:t xml:space="preserve"> om de feitelijke gezagsrelaties te beschermen en hoe</w:t>
      </w:r>
      <w:r w:rsidR="001E3BDE" w:rsidRPr="00753CDD">
        <w:t xml:space="preserve"> meerouderschap en </w:t>
      </w:r>
      <w:r w:rsidRPr="00753CDD">
        <w:t xml:space="preserve">afstammingsloos gezag georganiseerd </w:t>
      </w:r>
      <w:r w:rsidR="00FB2BF3" w:rsidRPr="00753CDD">
        <w:t>moet worden.</w:t>
      </w:r>
    </w:p>
    <w:p w:rsidR="000C0BD2" w:rsidRPr="00753CDD" w:rsidRDefault="000C0BD2" w:rsidP="00A74A3B">
      <w:pPr>
        <w:pStyle w:val="Randnummer"/>
        <w:spacing w:line="360" w:lineRule="auto"/>
        <w:ind w:left="0" w:firstLine="0"/>
      </w:pPr>
      <w:r w:rsidRPr="00753CDD">
        <w:t>Door middel van een literatuurstudie op basis van wetgeving, rechtspraak, rechtsleer en parlementaire voorbereidingen ga ik onderzoeken of het gebrek aan wettelijke bescherming van feitelijke gezagsrelaties als een probleem wordt gezien en zo ja, wat de mogelijke oplossingen zijn om aan dit probleem tegemoet te komen.</w:t>
      </w:r>
    </w:p>
    <w:p w:rsidR="000C0BD2" w:rsidRPr="00753CDD" w:rsidRDefault="000C0BD2" w:rsidP="00A74A3B">
      <w:pPr>
        <w:pStyle w:val="Randnummer"/>
        <w:spacing w:line="360" w:lineRule="auto"/>
        <w:ind w:left="0" w:firstLine="0"/>
      </w:pPr>
      <w:r w:rsidRPr="00753CDD">
        <w:t xml:space="preserve">Voor het beantwoorden van de onderzoeksvraag ga ik ook aan rechtsvergelijking doen. Het specifieke </w:t>
      </w:r>
      <w:r w:rsidR="00772650" w:rsidRPr="00753CDD">
        <w:t>probleem is dat in het Belgisch</w:t>
      </w:r>
      <w:r w:rsidRPr="00753CDD">
        <w:t xml:space="preserve"> recht feitelijke opvoedingsrelaties geen wettelijke bescherming hebben. De niet-juridische ouder die mee instaat voor de opvoeding van </w:t>
      </w:r>
      <w:r w:rsidR="00772650" w:rsidRPr="00753CDD">
        <w:t>het kind, heeft in het Belgisch</w:t>
      </w:r>
      <w:r w:rsidRPr="00753CDD">
        <w:t xml:space="preserve"> recht een zwakke positie. Ik ga onderzoeken hoe andere</w:t>
      </w:r>
      <w:r w:rsidR="00FB2BF3" w:rsidRPr="00753CDD">
        <w:t xml:space="preserve"> rechtsstelsels hiermee omgaan. </w:t>
      </w:r>
      <w:r w:rsidRPr="00753CDD">
        <w:t>De rechtsstelsels waarmee wordt vergeleken zijn Engeland en Canada.</w:t>
      </w:r>
    </w:p>
    <w:p w:rsidR="000A7521" w:rsidRPr="00753CDD" w:rsidRDefault="007513E0" w:rsidP="00723161">
      <w:pPr>
        <w:pStyle w:val="Randnummer"/>
        <w:spacing w:line="360" w:lineRule="auto"/>
        <w:ind w:left="0" w:firstLine="0"/>
      </w:pPr>
      <w:r w:rsidRPr="00753CDD">
        <w:t xml:space="preserve">In Engeland bestaat </w:t>
      </w:r>
      <w:r w:rsidR="000C0BD2" w:rsidRPr="00753CDD">
        <w:t>afstammingsloos gez</w:t>
      </w:r>
      <w:r w:rsidR="00FB2BF3" w:rsidRPr="00753CDD">
        <w:t>ag al. Het ouderlijk gezag is</w:t>
      </w:r>
      <w:r w:rsidR="000C0BD2" w:rsidRPr="00753CDD">
        <w:t xml:space="preserve"> geen gevolg van de afstammingsband. Bovendien </w:t>
      </w:r>
      <w:r w:rsidRPr="00753CDD">
        <w:t>is het mogelijk dat het ouderlijk gezag toekomt</w:t>
      </w:r>
      <w:r w:rsidR="002B2B0F" w:rsidRPr="00753CDD">
        <w:t xml:space="preserve"> aan meer dan twee personen.</w:t>
      </w:r>
      <w:r w:rsidRPr="00753CDD">
        <w:t xml:space="preserve"> Dit is meeroudergezag.</w:t>
      </w:r>
      <w:r w:rsidR="002B2B0F" w:rsidRPr="00753CDD">
        <w:t xml:space="preserve"> </w:t>
      </w:r>
      <w:r w:rsidR="00823D5D" w:rsidRPr="00753CDD">
        <w:t>Rechtsvergelijking met Canada is bijzonder interessant omdat meerouderschap daar reed</w:t>
      </w:r>
      <w:r w:rsidRPr="00753CDD">
        <w:t xml:space="preserve">s bestaat. In Canada is het </w:t>
      </w:r>
      <w:r w:rsidR="00823D5D" w:rsidRPr="00753CDD">
        <w:t>mogelijk om meer dan t</w:t>
      </w:r>
      <w:r w:rsidR="00723161" w:rsidRPr="00753CDD">
        <w:t>wee juridische ouders te hebben.</w:t>
      </w:r>
    </w:p>
    <w:p w:rsidR="00E3362C" w:rsidRPr="00723161" w:rsidRDefault="00E3362C" w:rsidP="00723161">
      <w:pPr>
        <w:pStyle w:val="Randnummer"/>
        <w:spacing w:line="360" w:lineRule="auto"/>
        <w:ind w:left="0" w:firstLine="0"/>
        <w:sectPr w:rsidR="00E3362C" w:rsidRPr="00723161" w:rsidSect="000A7521">
          <w:footerReference w:type="even" r:id="rId13"/>
          <w:footerReference w:type="default" r:id="rId14"/>
          <w:headerReference w:type="first" r:id="rId15"/>
          <w:footerReference w:type="first" r:id="rId16"/>
          <w:pgSz w:w="11900" w:h="16840"/>
          <w:pgMar w:top="1440" w:right="1440" w:bottom="1440" w:left="1440" w:header="708" w:footer="708" w:gutter="0"/>
          <w:pgNumType w:fmt="lowerRoman" w:start="1"/>
          <w:cols w:space="708"/>
          <w:titlePg/>
          <w:docGrid w:linePitch="360"/>
        </w:sectPr>
      </w:pPr>
    </w:p>
    <w:p w:rsidR="000C0BD2" w:rsidRDefault="000C0BD2" w:rsidP="00746471">
      <w:pPr>
        <w:pStyle w:val="Heading1"/>
        <w:spacing w:line="360" w:lineRule="auto"/>
        <w:jc w:val="both"/>
      </w:pPr>
      <w:bookmarkStart w:id="12" w:name="_Toc449936698"/>
      <w:r w:rsidRPr="00E575ED">
        <w:lastRenderedPageBreak/>
        <w:t>INLEIDING</w:t>
      </w:r>
      <w:bookmarkEnd w:id="11"/>
      <w:bookmarkEnd w:id="12"/>
    </w:p>
    <w:p w:rsidR="003B4EF2" w:rsidRPr="00F764AF" w:rsidRDefault="00E87D3E" w:rsidP="003B4EF2">
      <w:pPr>
        <w:pStyle w:val="Randnummer"/>
        <w:spacing w:line="360" w:lineRule="auto"/>
        <w:ind w:left="0" w:firstLine="0"/>
      </w:pPr>
      <w:r w:rsidRPr="00F764AF">
        <w:rPr>
          <w:b/>
          <w:bCs/>
        </w:rPr>
        <w:fldChar w:fldCharType="begin"/>
      </w:r>
      <w:r w:rsidR="003B4EF2" w:rsidRPr="00F764AF">
        <w:rPr>
          <w:b/>
          <w:bCs/>
        </w:rPr>
        <w:instrText xml:space="preserve"> AUTONUMLGL  </w:instrText>
      </w:r>
      <w:r w:rsidRPr="00F764AF">
        <w:rPr>
          <w:b/>
          <w:bCs/>
        </w:rPr>
        <w:fldChar w:fldCharType="end"/>
      </w:r>
      <w:r w:rsidR="00B92375" w:rsidRPr="00F764AF">
        <w:rPr>
          <w:b/>
          <w:bCs/>
        </w:rPr>
        <w:t xml:space="preserve"> </w:t>
      </w:r>
      <w:r w:rsidR="00753CDD" w:rsidRPr="00F764AF">
        <w:t>Wetenschappelijke vooruitgang en evoluerende maatschappelijke waarden en normen hebben nieuwe gezinsvormen mogelijk gemaakt.</w:t>
      </w:r>
      <w:r w:rsidR="00753CDD" w:rsidRPr="00F764AF">
        <w:rPr>
          <w:rStyle w:val="FootnoteReference"/>
        </w:rPr>
        <w:footnoteReference w:id="1"/>
      </w:r>
      <w:r w:rsidR="00753CDD" w:rsidRPr="00F764AF">
        <w:t xml:space="preserve"> </w:t>
      </w:r>
      <w:r w:rsidR="00F764AF" w:rsidRPr="00F764AF">
        <w:t>Het</w:t>
      </w:r>
      <w:r w:rsidR="003B4EF2" w:rsidRPr="00F764AF">
        <w:t xml:space="preserve"> traditionele gezin met een moeder en vader </w:t>
      </w:r>
      <w:r w:rsidR="00F764AF" w:rsidRPr="00F764AF">
        <w:t xml:space="preserve">is </w:t>
      </w:r>
      <w:r w:rsidR="003B4EF2" w:rsidRPr="00F764AF">
        <w:t>ni</w:t>
      </w:r>
      <w:r w:rsidR="00F764AF" w:rsidRPr="00F764AF">
        <w:t>et meer de enige mogelijkheid</w:t>
      </w:r>
      <w:r w:rsidR="003B4EF2" w:rsidRPr="00F764AF">
        <w:t>.</w:t>
      </w:r>
      <w:r w:rsidR="003B4EF2" w:rsidRPr="00F764AF">
        <w:rPr>
          <w:rStyle w:val="FootnoteReference"/>
        </w:rPr>
        <w:footnoteReference w:id="2"/>
      </w:r>
      <w:r w:rsidR="00B92375" w:rsidRPr="00F764AF">
        <w:t xml:space="preserve"> De huidige maatschappij wordt gekenmerkt door een overvloed aan gezinsvormen.</w:t>
      </w:r>
      <w:r w:rsidR="00B92375" w:rsidRPr="00F764AF">
        <w:rPr>
          <w:rStyle w:val="FootnoteReference"/>
        </w:rPr>
        <w:footnoteReference w:id="3"/>
      </w:r>
    </w:p>
    <w:p w:rsidR="00723161" w:rsidRPr="00F764AF" w:rsidRDefault="00686D89" w:rsidP="004F4E9F">
      <w:pPr>
        <w:pStyle w:val="Randnummer"/>
        <w:spacing w:line="360" w:lineRule="auto"/>
        <w:ind w:left="0" w:firstLine="0"/>
      </w:pPr>
      <w:bookmarkStart w:id="13" w:name="_GoBack"/>
      <w:bookmarkEnd w:id="13"/>
      <w:r w:rsidRPr="00F764AF">
        <w:t>Deze nieuwe gezinsvormen zijn vaak</w:t>
      </w:r>
      <w:r w:rsidR="00FB2BF3" w:rsidRPr="00F764AF">
        <w:t xml:space="preserve"> meeroudergezinnen waar</w:t>
      </w:r>
      <w:r w:rsidR="003B4EF2" w:rsidRPr="00F764AF">
        <w:t xml:space="preserve"> meerdere personen instaan voor de opvoeding van het kind.</w:t>
      </w:r>
      <w:r w:rsidR="003B4EF2" w:rsidRPr="00F764AF">
        <w:rPr>
          <w:rStyle w:val="FootnoteReference"/>
        </w:rPr>
        <w:footnoteReference w:id="4"/>
      </w:r>
      <w:r w:rsidR="003B4EF2" w:rsidRPr="00F764AF">
        <w:t xml:space="preserve"> Deze meeroudergezinnen kunnen zowel intentione</w:t>
      </w:r>
      <w:r w:rsidR="00AF6A55" w:rsidRPr="00F764AF">
        <w:t xml:space="preserve">el als niet-intentioneel zijn. </w:t>
      </w:r>
      <w:r w:rsidR="003B4EF2" w:rsidRPr="00F764AF">
        <w:t>In de intenti</w:t>
      </w:r>
      <w:r w:rsidR="00FB2BF3" w:rsidRPr="00F764AF">
        <w:t>onele meeroudergezinnen wordt</w:t>
      </w:r>
      <w:r w:rsidR="003B4EF2" w:rsidRPr="00F764AF">
        <w:t xml:space="preserve"> voor </w:t>
      </w:r>
      <w:r w:rsidR="00306D75" w:rsidRPr="00F764AF">
        <w:t xml:space="preserve">de verwekking afgesproken dat </w:t>
      </w:r>
      <w:r w:rsidR="003B4EF2" w:rsidRPr="00F764AF">
        <w:t>meer dan twee personen betrokken zijn bij de verwekking en opvoeding van het kind.</w:t>
      </w:r>
      <w:r w:rsidR="003B4EF2" w:rsidRPr="00F764AF">
        <w:rPr>
          <w:rStyle w:val="FootnoteReference"/>
        </w:rPr>
        <w:footnoteReference w:id="5"/>
      </w:r>
      <w:r w:rsidR="003B4EF2" w:rsidRPr="00F764AF">
        <w:t xml:space="preserve"> </w:t>
      </w:r>
      <w:r w:rsidR="00AF6A55" w:rsidRPr="00F764AF">
        <w:t>In deze masterproef is het</w:t>
      </w:r>
      <w:r w:rsidR="00B92375" w:rsidRPr="00F764AF">
        <w:t xml:space="preserve"> typevoorbeeld van een intentioneel </w:t>
      </w:r>
      <w:r w:rsidR="00AF6A55" w:rsidRPr="00F764AF">
        <w:t xml:space="preserve">meeroudergezin </w:t>
      </w:r>
      <w:r w:rsidRPr="00F764AF">
        <w:t>het gezin waar een</w:t>
      </w:r>
      <w:r w:rsidR="00B92375" w:rsidRPr="00F764AF">
        <w:t xml:space="preserve"> lesbisch </w:t>
      </w:r>
      <w:r w:rsidRPr="00F764AF">
        <w:t xml:space="preserve">koppel met behulp van </w:t>
      </w:r>
      <w:r w:rsidR="00B92375" w:rsidRPr="00F764AF">
        <w:t xml:space="preserve">een bekende donor een kind krijgt. </w:t>
      </w:r>
      <w:r w:rsidR="003B4EF2" w:rsidRPr="00F764AF">
        <w:t>Er is een biologische niet-juridische ouder</w:t>
      </w:r>
      <w:r w:rsidR="00B92375" w:rsidRPr="00F764AF">
        <w:t>, de donor,</w:t>
      </w:r>
      <w:r w:rsidR="003B4EF2" w:rsidRPr="00F764AF">
        <w:t xml:space="preserve"> die mee instaat voor de opvoeding van het kind.</w:t>
      </w:r>
      <w:r w:rsidR="003B4EF2" w:rsidRPr="00F764AF">
        <w:rPr>
          <w:rStyle w:val="FootnoteReference"/>
        </w:rPr>
        <w:footnoteReference w:id="6"/>
      </w:r>
      <w:r w:rsidR="003B4EF2" w:rsidRPr="00F764AF">
        <w:t xml:space="preserve"> In niet-intentionele meeroudergezinnen</w:t>
      </w:r>
      <w:r w:rsidR="00B92375" w:rsidRPr="00F764AF">
        <w:t xml:space="preserve"> </w:t>
      </w:r>
      <w:r w:rsidR="007D6FD0" w:rsidRPr="00F764AF">
        <w:t xml:space="preserve">was het voor de geboorte van het kind niet de </w:t>
      </w:r>
      <w:r w:rsidR="007D6FD0" w:rsidRPr="00F764AF">
        <w:lastRenderedPageBreak/>
        <w:t>bedoeling dat een niet-juridische ouder mee zou instaan voor de opvoeding van het kind.</w:t>
      </w:r>
      <w:r w:rsidR="007D6FD0" w:rsidRPr="00F764AF">
        <w:rPr>
          <w:rStyle w:val="FootnoteReference"/>
        </w:rPr>
        <w:footnoteReference w:id="7"/>
      </w:r>
      <w:r w:rsidR="007D6FD0" w:rsidRPr="00F764AF">
        <w:t xml:space="preserve"> </w:t>
      </w:r>
      <w:r w:rsidR="00AF6A55" w:rsidRPr="00F764AF">
        <w:t>In deze masterproef</w:t>
      </w:r>
      <w:r w:rsidR="007D6FD0" w:rsidRPr="00F764AF">
        <w:t xml:space="preserve"> </w:t>
      </w:r>
      <w:r w:rsidR="00AF6A55" w:rsidRPr="00F764AF">
        <w:t xml:space="preserve">is het </w:t>
      </w:r>
      <w:r w:rsidR="007D6FD0" w:rsidRPr="00F764AF">
        <w:t>typev</w:t>
      </w:r>
      <w:r w:rsidR="00B92375" w:rsidRPr="00F764AF">
        <w:t>oorbeeld van een niet-i</w:t>
      </w:r>
      <w:r w:rsidR="00AF6A55" w:rsidRPr="00F764AF">
        <w:t>ntentioneel meeroudergezin</w:t>
      </w:r>
      <w:r w:rsidR="00B92375" w:rsidRPr="00F764AF">
        <w:t xml:space="preserve"> het gezin waarbij </w:t>
      </w:r>
      <w:r w:rsidR="003B4EF2" w:rsidRPr="00F764AF">
        <w:t xml:space="preserve">de nieuwe partner van </w:t>
      </w:r>
      <w:r w:rsidR="007D6FD0" w:rsidRPr="00F764AF">
        <w:t>één van de juridische ouders</w:t>
      </w:r>
      <w:r w:rsidR="003B4EF2" w:rsidRPr="00F764AF">
        <w:t xml:space="preserve"> mee instaat voor de opvoeding van het kind.</w:t>
      </w:r>
      <w:r w:rsidR="003B4EF2" w:rsidRPr="00F764AF">
        <w:rPr>
          <w:rStyle w:val="FootnoteReference"/>
        </w:rPr>
        <w:footnoteReference w:id="8"/>
      </w:r>
      <w:r w:rsidR="00E3362C" w:rsidRPr="00F764AF">
        <w:t xml:space="preserve"> In de meeroudergezinnen ontstaan gezagsrelaties tussen niet-juridische ouders en het kind. Deze gezagsrelaties genieten geen wettelijke bes</w:t>
      </w:r>
      <w:r w:rsidR="00F764AF" w:rsidRPr="00F764AF">
        <w:t xml:space="preserve">cherming, ook al staat de niet-juridische ouder </w:t>
      </w:r>
      <w:r w:rsidR="00E3362C" w:rsidRPr="00F764AF">
        <w:t>reeds jaren in voor de opvoeding van het kind.</w:t>
      </w:r>
    </w:p>
    <w:p w:rsidR="00E3362C" w:rsidRPr="00F764AF" w:rsidRDefault="00E87D3E" w:rsidP="004F4E9F">
      <w:pPr>
        <w:pStyle w:val="Randnummer"/>
        <w:spacing w:line="360" w:lineRule="auto"/>
        <w:ind w:left="0" w:firstLine="0"/>
      </w:pPr>
      <w:r w:rsidRPr="00F764AF">
        <w:rPr>
          <w:b/>
          <w:bCs/>
        </w:rPr>
        <w:fldChar w:fldCharType="begin"/>
      </w:r>
      <w:r w:rsidR="009C6927" w:rsidRPr="00F764AF">
        <w:rPr>
          <w:b/>
          <w:bCs/>
        </w:rPr>
        <w:instrText xml:space="preserve"> AUTONUMLGL  </w:instrText>
      </w:r>
      <w:r w:rsidRPr="00F764AF">
        <w:rPr>
          <w:b/>
          <w:bCs/>
        </w:rPr>
        <w:fldChar w:fldCharType="end"/>
      </w:r>
      <w:r w:rsidR="009C6927" w:rsidRPr="00F764AF">
        <w:rPr>
          <w:b/>
          <w:bCs/>
        </w:rPr>
        <w:t xml:space="preserve"> </w:t>
      </w:r>
      <w:r w:rsidR="00E3362C" w:rsidRPr="00F764AF">
        <w:t>In deze masterproef wordt onderzo</w:t>
      </w:r>
      <w:r w:rsidR="00D17F7A">
        <w:t>cht of de wetgever tegemoet dient te</w:t>
      </w:r>
      <w:r w:rsidR="00E3362C" w:rsidRPr="00F764AF">
        <w:t xml:space="preserve"> komen aan de maatschappelijke veranderingen en de gezagsrelaties wettelijk moet erkennen. Vervolgens wordt onderzocht of meerouderschap en afstammingsloos gezag mogelijke oplossingen zijn voor de bescherming van deze gezagsrelaties.</w:t>
      </w:r>
      <w:r w:rsidR="002E16CD" w:rsidRPr="00F764AF">
        <w:t xml:space="preserve"> </w:t>
      </w:r>
    </w:p>
    <w:p w:rsidR="002E16CD" w:rsidRPr="00F764AF" w:rsidRDefault="00034FDB" w:rsidP="004F4E9F">
      <w:pPr>
        <w:pStyle w:val="Randnummer"/>
        <w:spacing w:line="360" w:lineRule="auto"/>
        <w:ind w:left="0" w:firstLine="0"/>
      </w:pPr>
      <w:r w:rsidRPr="00F764AF">
        <w:rPr>
          <w:bCs/>
        </w:rPr>
        <w:t xml:space="preserve">Het is maatschappelijk relevant om te onderzoeken of deze meeroudergezinnen wettelijk omkaderd dienen te worden. </w:t>
      </w:r>
      <w:r w:rsidR="002E16CD" w:rsidRPr="00F764AF">
        <w:rPr>
          <w:bCs/>
        </w:rPr>
        <w:t>Gelet op de medische ontwikkelingen die steeds meer mogelijk maken,</w:t>
      </w:r>
      <w:r w:rsidRPr="00F764AF">
        <w:rPr>
          <w:bCs/>
        </w:rPr>
        <w:t xml:space="preserve"> bestaat de kans dat </w:t>
      </w:r>
      <w:r w:rsidR="002E16CD" w:rsidRPr="00F764AF">
        <w:rPr>
          <w:bCs/>
        </w:rPr>
        <w:t>het aantal gezinnen waar meer dan twee personen instaan voor de opvoeding van het k</w:t>
      </w:r>
      <w:r w:rsidR="00305787">
        <w:rPr>
          <w:bCs/>
        </w:rPr>
        <w:t xml:space="preserve">ind </w:t>
      </w:r>
      <w:r w:rsidR="00305787" w:rsidRPr="00590A60">
        <w:rPr>
          <w:bCs/>
        </w:rPr>
        <w:t>blijft</w:t>
      </w:r>
      <w:r w:rsidR="002E16CD" w:rsidRPr="00590A60">
        <w:rPr>
          <w:bCs/>
        </w:rPr>
        <w:t xml:space="preserve"> toenemen</w:t>
      </w:r>
      <w:r w:rsidR="002E16CD" w:rsidRPr="00F764AF">
        <w:rPr>
          <w:bCs/>
        </w:rPr>
        <w:t>.</w:t>
      </w:r>
    </w:p>
    <w:p w:rsidR="00636BB5" w:rsidRPr="00F764AF" w:rsidRDefault="00E87D3E" w:rsidP="00636BB5">
      <w:pPr>
        <w:pStyle w:val="Randnummer"/>
        <w:spacing w:line="360" w:lineRule="auto"/>
        <w:ind w:left="0" w:firstLine="0"/>
      </w:pPr>
      <w:r w:rsidRPr="00F764AF">
        <w:rPr>
          <w:b/>
          <w:bCs/>
        </w:rPr>
        <w:fldChar w:fldCharType="begin"/>
      </w:r>
      <w:r w:rsidR="00636BB5" w:rsidRPr="00F764AF">
        <w:rPr>
          <w:b/>
          <w:bCs/>
        </w:rPr>
        <w:instrText xml:space="preserve"> AUTONUMLGL  </w:instrText>
      </w:r>
      <w:r w:rsidRPr="00F764AF">
        <w:rPr>
          <w:b/>
          <w:bCs/>
        </w:rPr>
        <w:fldChar w:fldCharType="end"/>
      </w:r>
      <w:r w:rsidR="00636BB5" w:rsidRPr="00F764AF">
        <w:rPr>
          <w:b/>
          <w:bCs/>
        </w:rPr>
        <w:t xml:space="preserve"> </w:t>
      </w:r>
      <w:r w:rsidR="00AA1202" w:rsidRPr="00F764AF">
        <w:t>In deel I wordt het</w:t>
      </w:r>
      <w:r w:rsidR="0017175E" w:rsidRPr="00F764AF">
        <w:t xml:space="preserve"> huidig</w:t>
      </w:r>
      <w:r w:rsidR="00EA2AD0" w:rsidRPr="00F764AF">
        <w:t>e</w:t>
      </w:r>
      <w:r w:rsidR="00772650" w:rsidRPr="00F764AF">
        <w:t xml:space="preserve"> Belgisch</w:t>
      </w:r>
      <w:r w:rsidR="00EA2AD0" w:rsidRPr="00F764AF">
        <w:t>e</w:t>
      </w:r>
      <w:r w:rsidR="00636BB5" w:rsidRPr="00F764AF">
        <w:t xml:space="preserve"> afstammingsrecht besproken. Er wordt bestudeerd wie</w:t>
      </w:r>
      <w:r w:rsidR="00034FDB" w:rsidRPr="00F764AF">
        <w:t xml:space="preserve"> onder het huidige recht juridisch</w:t>
      </w:r>
      <w:r w:rsidR="0017175E" w:rsidRPr="00F764AF">
        <w:t>e ouder</w:t>
      </w:r>
      <w:r w:rsidR="00034FDB" w:rsidRPr="00F764AF">
        <w:t xml:space="preserve"> is</w:t>
      </w:r>
      <w:r w:rsidR="004C5ED6">
        <w:t xml:space="preserve"> en wat de rechtsgevolgen zijn van het juridisch ouderschap. </w:t>
      </w:r>
      <w:r w:rsidR="00572081">
        <w:t>Vervolgens wordt één</w:t>
      </w:r>
      <w:r w:rsidR="004C5ED6">
        <w:t xml:space="preserve"> van de gevolge</w:t>
      </w:r>
      <w:r w:rsidR="00572081">
        <w:t>n van</w:t>
      </w:r>
      <w:r w:rsidR="00305787">
        <w:t xml:space="preserve"> het</w:t>
      </w:r>
      <w:r w:rsidR="00572081">
        <w:t xml:space="preserve"> juridisch ouderschap </w:t>
      </w:r>
      <w:r w:rsidR="004C5ED6">
        <w:t>uitvoerig besproken, namelijk</w:t>
      </w:r>
      <w:r w:rsidR="00636BB5" w:rsidRPr="00F764AF">
        <w:t xml:space="preserve"> het ouderlijk gezag.</w:t>
      </w:r>
      <w:r w:rsidR="00572081">
        <w:t xml:space="preserve"> Er wordt bestudeerd wat het ouderlijk gezag inh</w:t>
      </w:r>
      <w:r w:rsidR="00572081" w:rsidRPr="00590A60">
        <w:t>oud</w:t>
      </w:r>
      <w:r w:rsidR="00590A60" w:rsidRPr="00590A60">
        <w:t>t</w:t>
      </w:r>
      <w:r w:rsidR="00636BB5" w:rsidRPr="00F764AF">
        <w:t xml:space="preserve"> </w:t>
      </w:r>
      <w:r w:rsidR="00572081">
        <w:t xml:space="preserve">en </w:t>
      </w:r>
      <w:r w:rsidR="00636BB5" w:rsidRPr="00F764AF">
        <w:t>wie titularis is van de bevoegdheden van het o</w:t>
      </w:r>
      <w:r w:rsidR="00CD7CB9">
        <w:t>uderlijk gezag. Ten slotte worden de rechten van niet-juridische ouders besproken.</w:t>
      </w:r>
      <w:r w:rsidR="00572081">
        <w:t xml:space="preserve"> </w:t>
      </w:r>
      <w:r w:rsidR="00305787">
        <w:t xml:space="preserve">In dit kader wordt het recht op persoonlijk contact, </w:t>
      </w:r>
      <w:r w:rsidR="00CD7CB9">
        <w:t xml:space="preserve">de </w:t>
      </w:r>
      <w:r w:rsidR="00305787">
        <w:t xml:space="preserve">pleegvoogdij en </w:t>
      </w:r>
      <w:r w:rsidR="00CD7CB9">
        <w:t xml:space="preserve">de </w:t>
      </w:r>
      <w:r w:rsidR="00305787">
        <w:t>pleegzorg besproken.</w:t>
      </w:r>
    </w:p>
    <w:p w:rsidR="007D6FD0" w:rsidRPr="00F764AF" w:rsidRDefault="00636BB5" w:rsidP="00306D75">
      <w:pPr>
        <w:pStyle w:val="Randnummer"/>
        <w:spacing w:line="360" w:lineRule="auto"/>
        <w:ind w:left="0" w:firstLine="0"/>
      </w:pPr>
      <w:r w:rsidRPr="00F764AF">
        <w:t xml:space="preserve">In deel II wordt </w:t>
      </w:r>
      <w:r w:rsidR="009D0D95" w:rsidRPr="00F764AF">
        <w:t xml:space="preserve">eerst </w:t>
      </w:r>
      <w:r w:rsidRPr="00F764AF">
        <w:t>onderzocht of er tekortk</w:t>
      </w:r>
      <w:r w:rsidR="0017175E" w:rsidRPr="00F764AF">
        <w:t>omingen in het huidig</w:t>
      </w:r>
      <w:r w:rsidR="00EA2AD0" w:rsidRPr="00F764AF">
        <w:t>e</w:t>
      </w:r>
      <w:r w:rsidR="00772650" w:rsidRPr="00F764AF">
        <w:t xml:space="preserve"> Belgisch</w:t>
      </w:r>
      <w:r w:rsidR="00EA2AD0" w:rsidRPr="00F764AF">
        <w:t>e</w:t>
      </w:r>
      <w:r w:rsidRPr="00F764AF">
        <w:t xml:space="preserve"> afstammingsrecht bestaan en zo ja, welke problemen </w:t>
      </w:r>
      <w:r w:rsidR="007B126F" w:rsidRPr="00F764AF">
        <w:t>deze tekortkomingen geven voor niet-juridische ouders</w:t>
      </w:r>
      <w:r w:rsidRPr="00F764AF">
        <w:t xml:space="preserve"> die mee instaan voor de opvoeding van een kind. </w:t>
      </w:r>
      <w:r w:rsidR="00572081">
        <w:t xml:space="preserve">Er wordt onderzocht of er een kloof bestaat tussen het recht en de realiteit. </w:t>
      </w:r>
      <w:r w:rsidR="00305787">
        <w:t>Vervolgens wordt aan rechtsvergelijking ge</w:t>
      </w:r>
      <w:r w:rsidR="00CD7CB9">
        <w:t>daan met Canada en Engeland om tot oplossingen te komen</w:t>
      </w:r>
      <w:r w:rsidR="00305787">
        <w:t xml:space="preserve"> voor de mogelijke </w:t>
      </w:r>
      <w:r w:rsidR="00305787">
        <w:lastRenderedPageBreak/>
        <w:t>tekor</w:t>
      </w:r>
      <w:r w:rsidR="00CD7CB9">
        <w:t>t</w:t>
      </w:r>
      <w:r w:rsidR="00305787">
        <w:t xml:space="preserve">komingen. </w:t>
      </w:r>
      <w:r w:rsidRPr="00F764AF">
        <w:t>Di</w:t>
      </w:r>
      <w:r w:rsidR="001753EC" w:rsidRPr="00F764AF">
        <w:t>t rechtsvergelijkend onderzoek leidt tot twee mogelijk oplossingen</w:t>
      </w:r>
      <w:r w:rsidR="009D0D95" w:rsidRPr="00F764AF">
        <w:t xml:space="preserve">: </w:t>
      </w:r>
      <w:r w:rsidR="001753EC" w:rsidRPr="00F764AF">
        <w:t xml:space="preserve">meerouderschap en afstammingsloos gezag. </w:t>
      </w:r>
      <w:r w:rsidR="00CC387A">
        <w:t>Vervolgens</w:t>
      </w:r>
      <w:r w:rsidR="001753EC" w:rsidRPr="00F764AF">
        <w:t xml:space="preserve"> worden meeroudersc</w:t>
      </w:r>
      <w:r w:rsidR="00B23125" w:rsidRPr="00F764AF">
        <w:t>hap en afstammingsloos gezag geë</w:t>
      </w:r>
      <w:r w:rsidR="001753EC" w:rsidRPr="00F764AF">
        <w:t>valueerd</w:t>
      </w:r>
      <w:r w:rsidR="003443A7">
        <w:t xml:space="preserve">. Er </w:t>
      </w:r>
      <w:r w:rsidR="000E58B7">
        <w:t>wordt afgesloten met een eigen voorstel tot invoering van meerouderschap evenals een eigen voorstel tot invoering van afstammingsloos gezag in België.</w:t>
      </w:r>
    </w:p>
    <w:p w:rsidR="00E3362C" w:rsidRPr="00F764AF" w:rsidRDefault="00E87D3E" w:rsidP="00E3362C">
      <w:pPr>
        <w:pStyle w:val="Randnummer"/>
        <w:spacing w:line="360" w:lineRule="auto"/>
        <w:ind w:left="0" w:firstLine="0"/>
      </w:pPr>
      <w:r w:rsidRPr="00F764AF">
        <w:rPr>
          <w:b/>
          <w:bCs/>
        </w:rPr>
        <w:fldChar w:fldCharType="begin"/>
      </w:r>
      <w:r w:rsidR="00E3362C" w:rsidRPr="00F764AF">
        <w:rPr>
          <w:b/>
          <w:bCs/>
        </w:rPr>
        <w:instrText xml:space="preserve"> AUTONUMLGL  </w:instrText>
      </w:r>
      <w:r w:rsidRPr="00F764AF">
        <w:rPr>
          <w:b/>
          <w:bCs/>
        </w:rPr>
        <w:fldChar w:fldCharType="end"/>
      </w:r>
      <w:r w:rsidR="00E3362C" w:rsidRPr="00F764AF">
        <w:rPr>
          <w:b/>
          <w:bCs/>
        </w:rPr>
        <w:t xml:space="preserve"> </w:t>
      </w:r>
      <w:r w:rsidR="00E3362C" w:rsidRPr="00F764AF">
        <w:t xml:space="preserve">In deze masterproef </w:t>
      </w:r>
      <w:r w:rsidR="00695880" w:rsidRPr="00F764AF">
        <w:t xml:space="preserve">wordt soms </w:t>
      </w:r>
      <w:r w:rsidR="00E3362C" w:rsidRPr="00F764AF">
        <w:t>de term “zorgouder” gebruikt. De zorgouder is de niet-juridische ouder die mee instaat voor de opvoeding van het kind. Tussen deze zorgouder en het kind kunnen feitelijke gezagsrelaties on</w:t>
      </w:r>
      <w:r w:rsidR="00F764AF" w:rsidRPr="00F764AF">
        <w:t>tstaan.</w:t>
      </w:r>
    </w:p>
    <w:p w:rsidR="000A7521" w:rsidRDefault="000A7521">
      <w:pPr>
        <w:jc w:val="left"/>
      </w:pPr>
      <w:r>
        <w:br w:type="page"/>
      </w:r>
    </w:p>
    <w:p w:rsidR="000C0BD2" w:rsidRPr="0024149B" w:rsidRDefault="00723161" w:rsidP="00746471">
      <w:pPr>
        <w:pStyle w:val="Heading1"/>
        <w:spacing w:line="360" w:lineRule="auto"/>
        <w:jc w:val="both"/>
      </w:pPr>
      <w:bookmarkStart w:id="14" w:name="_Toc449936699"/>
      <w:r w:rsidRPr="0024149B">
        <w:lastRenderedPageBreak/>
        <w:t xml:space="preserve">DEEL I: </w:t>
      </w:r>
      <w:r w:rsidR="000C0BD2" w:rsidRPr="0024149B">
        <w:t>Het huidige afstammingsrecht</w:t>
      </w:r>
      <w:bookmarkEnd w:id="14"/>
    </w:p>
    <w:p w:rsidR="000C0BD2" w:rsidRPr="0024149B" w:rsidRDefault="00E87D3E" w:rsidP="00A74A3B">
      <w:pPr>
        <w:pStyle w:val="Randnummer"/>
        <w:spacing w:line="360" w:lineRule="auto"/>
        <w:ind w:left="0" w:firstLine="0"/>
      </w:pPr>
      <w:r w:rsidRPr="0024149B">
        <w:rPr>
          <w:b/>
          <w:bCs/>
        </w:rPr>
        <w:fldChar w:fldCharType="begin"/>
      </w:r>
      <w:r w:rsidR="00306D75" w:rsidRPr="0024149B">
        <w:rPr>
          <w:b/>
          <w:bCs/>
        </w:rPr>
        <w:instrText xml:space="preserve"> AUTONUMLGL  </w:instrText>
      </w:r>
      <w:r w:rsidRPr="0024149B">
        <w:rPr>
          <w:b/>
          <w:bCs/>
        </w:rPr>
        <w:fldChar w:fldCharType="end"/>
      </w:r>
      <w:r w:rsidR="00A74A3B" w:rsidRPr="0024149B">
        <w:rPr>
          <w:b/>
          <w:bCs/>
        </w:rPr>
        <w:t xml:space="preserve"> </w:t>
      </w:r>
      <w:r w:rsidR="000C0BD2" w:rsidRPr="0024149B">
        <w:t>In dit deel wordt het bestaande Belgisch</w:t>
      </w:r>
      <w:r w:rsidR="00D37789" w:rsidRPr="0024149B">
        <w:t>e</w:t>
      </w:r>
      <w:r w:rsidR="000C0BD2" w:rsidRPr="0024149B">
        <w:t xml:space="preserve"> afstammingsrecht grondig bestudeerd. Wie is </w:t>
      </w:r>
      <w:r w:rsidR="0017175E" w:rsidRPr="0024149B">
        <w:t>juridisch gezien ouder van het kind</w:t>
      </w:r>
      <w:r w:rsidR="000C0BD2" w:rsidRPr="0024149B">
        <w:t>? Welke prerogatieven en plichten he</w:t>
      </w:r>
      <w:r w:rsidR="00FB2BF3" w:rsidRPr="0024149B">
        <w:t>bben de juridische ouder</w:t>
      </w:r>
      <w:r w:rsidR="007D6FD0" w:rsidRPr="0024149B">
        <w:t>s en is</w:t>
      </w:r>
      <w:r w:rsidR="0017175E" w:rsidRPr="0024149B">
        <w:t xml:space="preserve"> in het huidig</w:t>
      </w:r>
      <w:r w:rsidR="00EA2AD0" w:rsidRPr="0024149B">
        <w:t>e</w:t>
      </w:r>
      <w:r w:rsidR="000C0BD2" w:rsidRPr="0024149B">
        <w:t xml:space="preserve"> recht plaats voor niet-juridische ouders? </w:t>
      </w:r>
    </w:p>
    <w:p w:rsidR="000C0BD2" w:rsidRPr="0024149B" w:rsidRDefault="000C0BD2" w:rsidP="00746471">
      <w:pPr>
        <w:pStyle w:val="Heading2"/>
        <w:numPr>
          <w:ilvl w:val="1"/>
          <w:numId w:val="6"/>
        </w:numPr>
        <w:spacing w:line="360" w:lineRule="auto"/>
        <w:ind w:left="0"/>
        <w:jc w:val="both"/>
      </w:pPr>
      <w:bookmarkStart w:id="15" w:name="_Toc449936700"/>
      <w:r w:rsidRPr="0024149B">
        <w:t>Juridische ouders</w:t>
      </w:r>
      <w:bookmarkEnd w:id="15"/>
    </w:p>
    <w:p w:rsidR="000C0BD2" w:rsidRPr="0024149B" w:rsidRDefault="000C0BD2" w:rsidP="00746471">
      <w:pPr>
        <w:pStyle w:val="Heading3"/>
        <w:numPr>
          <w:ilvl w:val="2"/>
          <w:numId w:val="6"/>
        </w:numPr>
        <w:tabs>
          <w:tab w:val="left" w:pos="3828"/>
        </w:tabs>
        <w:spacing w:line="360" w:lineRule="auto"/>
        <w:jc w:val="both"/>
      </w:pPr>
      <w:bookmarkStart w:id="16" w:name="_Toc449936701"/>
      <w:r w:rsidRPr="0024149B">
        <w:t>Juridisch ouderschap</w:t>
      </w:r>
      <w:bookmarkEnd w:id="16"/>
    </w:p>
    <w:p w:rsidR="000C0BD2" w:rsidRPr="0024149B" w:rsidRDefault="000C0BD2" w:rsidP="00746471">
      <w:pPr>
        <w:pStyle w:val="Heading4"/>
        <w:numPr>
          <w:ilvl w:val="3"/>
          <w:numId w:val="6"/>
        </w:numPr>
        <w:spacing w:line="360" w:lineRule="auto"/>
        <w:jc w:val="both"/>
      </w:pPr>
      <w:bookmarkStart w:id="17" w:name="_Toc449936702"/>
      <w:r w:rsidRPr="0024149B">
        <w:t>Duiding begrip</w:t>
      </w:r>
      <w:bookmarkEnd w:id="17"/>
    </w:p>
    <w:p w:rsidR="007D6FD0" w:rsidRPr="0024149B" w:rsidRDefault="00E87D3E" w:rsidP="00A74A3B">
      <w:pPr>
        <w:pStyle w:val="Randnummer"/>
        <w:spacing w:line="360" w:lineRule="auto"/>
        <w:ind w:left="0" w:firstLine="0"/>
      </w:pPr>
      <w:r w:rsidRPr="0024149B">
        <w:rPr>
          <w:b/>
          <w:bCs/>
        </w:rPr>
        <w:fldChar w:fldCharType="begin"/>
      </w:r>
      <w:r w:rsidR="00306D75" w:rsidRPr="0024149B">
        <w:rPr>
          <w:b/>
          <w:bCs/>
        </w:rPr>
        <w:instrText xml:space="preserve"> AUTONUMLGL  </w:instrText>
      </w:r>
      <w:r w:rsidRPr="0024149B">
        <w:rPr>
          <w:b/>
          <w:bCs/>
        </w:rPr>
        <w:fldChar w:fldCharType="end"/>
      </w:r>
      <w:r w:rsidR="00306D75" w:rsidRPr="0024149B">
        <w:rPr>
          <w:b/>
          <w:bCs/>
        </w:rPr>
        <w:t xml:space="preserve"> </w:t>
      </w:r>
      <w:r w:rsidR="000C0BD2" w:rsidRPr="0024149B">
        <w:t>De juridische ouders zijn diegene van wie de afstammingsband op een door de wet erkende wijze is gevestigd.</w:t>
      </w:r>
      <w:r w:rsidR="000C0BD2" w:rsidRPr="0024149B">
        <w:rPr>
          <w:rStyle w:val="FootnoteReference"/>
        </w:rPr>
        <w:footnoteReference w:id="9"/>
      </w:r>
      <w:r w:rsidR="000C0BD2" w:rsidRPr="0024149B">
        <w:t xml:space="preserve"> De afstammingsband kan oorspronkelijk of adoptief zijn.</w:t>
      </w:r>
      <w:r w:rsidR="000C0BD2" w:rsidRPr="0024149B">
        <w:rPr>
          <w:rStyle w:val="FootnoteReference"/>
        </w:rPr>
        <w:footnoteReference w:id="10"/>
      </w:r>
      <w:r w:rsidR="000C0BD2" w:rsidRPr="0024149B">
        <w:t xml:space="preserve"> </w:t>
      </w:r>
    </w:p>
    <w:p w:rsidR="000C0BD2" w:rsidRPr="0024149B" w:rsidRDefault="000C0BD2" w:rsidP="00A74A3B">
      <w:pPr>
        <w:pStyle w:val="Randnummer"/>
        <w:spacing w:line="360" w:lineRule="auto"/>
        <w:ind w:left="0" w:firstLine="0"/>
      </w:pPr>
      <w:r w:rsidRPr="0024149B">
        <w:t xml:space="preserve">Voor de vestiging van de </w:t>
      </w:r>
      <w:r w:rsidR="00D37789" w:rsidRPr="0024149B">
        <w:t>oorspronkelijke afstammingsband</w:t>
      </w:r>
      <w:r w:rsidRPr="0024149B">
        <w:t xml:space="preserve"> heeft de wetgever autonome regels bepaald.</w:t>
      </w:r>
      <w:r w:rsidRPr="0024149B">
        <w:rPr>
          <w:rStyle w:val="FootnoteReference"/>
        </w:rPr>
        <w:footnoteReference w:id="11"/>
      </w:r>
      <w:r w:rsidR="005206E0" w:rsidRPr="0024149B">
        <w:t xml:space="preserve"> De wetgever wilde</w:t>
      </w:r>
      <w:r w:rsidRPr="0024149B">
        <w:t xml:space="preserve"> met de oorspronkelijke afstamming de biologische werk</w:t>
      </w:r>
      <w:r w:rsidR="005206E0" w:rsidRPr="0024149B">
        <w:t>elijkheid zoveel</w:t>
      </w:r>
      <w:r w:rsidRPr="0024149B">
        <w:t xml:space="preserve"> mogelijk weerspiegelen.</w:t>
      </w:r>
      <w:r w:rsidRPr="0024149B">
        <w:rPr>
          <w:rStyle w:val="FootnoteReference"/>
        </w:rPr>
        <w:footnoteReference w:id="12"/>
      </w:r>
      <w:r w:rsidRPr="0024149B">
        <w:t xml:space="preserve"> De biologische band is echter niet de enige g</w:t>
      </w:r>
      <w:r w:rsidR="0024149B" w:rsidRPr="0024149B">
        <w:t>rondslag voor het vestigen van e</w:t>
      </w:r>
      <w:r w:rsidRPr="0024149B">
        <w:t>e</w:t>
      </w:r>
      <w:r w:rsidR="0024149B" w:rsidRPr="0024149B">
        <w:t>n</w:t>
      </w:r>
      <w:r w:rsidRPr="0024149B">
        <w:t xml:space="preserve"> afstammingsband.</w:t>
      </w:r>
      <w:r w:rsidRPr="0024149B">
        <w:rPr>
          <w:rStyle w:val="FootnoteReference"/>
        </w:rPr>
        <w:footnoteReference w:id="13"/>
      </w:r>
      <w:r w:rsidRPr="0024149B">
        <w:t xml:space="preserve"> Er wordt daarnaast ook rekening gehouden met de sociale werkelijkheid en de intentie.</w:t>
      </w:r>
      <w:r w:rsidRPr="0024149B">
        <w:rPr>
          <w:rStyle w:val="FootnoteReference"/>
        </w:rPr>
        <w:footnoteReference w:id="14"/>
      </w:r>
      <w:r w:rsidRPr="0024149B">
        <w:t xml:space="preserve"> Dit wordt verder besproken bij de oorspronkelijke afstamming.</w:t>
      </w:r>
    </w:p>
    <w:p w:rsidR="00A74A3B" w:rsidRPr="0024149B" w:rsidRDefault="00E87D3E" w:rsidP="00A74A3B">
      <w:pPr>
        <w:pStyle w:val="Randnummer"/>
        <w:spacing w:line="360" w:lineRule="auto"/>
        <w:ind w:left="0" w:firstLine="0"/>
      </w:pPr>
      <w:r w:rsidRPr="0024149B">
        <w:rPr>
          <w:b/>
          <w:bCs/>
        </w:rPr>
        <w:lastRenderedPageBreak/>
        <w:fldChar w:fldCharType="begin"/>
      </w:r>
      <w:r w:rsidR="00A74A3B" w:rsidRPr="0024149B">
        <w:rPr>
          <w:b/>
          <w:bCs/>
        </w:rPr>
        <w:instrText xml:space="preserve"> AUTONUMLGL  </w:instrText>
      </w:r>
      <w:r w:rsidRPr="0024149B">
        <w:rPr>
          <w:b/>
          <w:bCs/>
        </w:rPr>
        <w:fldChar w:fldCharType="end"/>
      </w:r>
      <w:r w:rsidR="00A74A3B" w:rsidRPr="0024149B">
        <w:rPr>
          <w:b/>
          <w:bCs/>
        </w:rPr>
        <w:t xml:space="preserve"> </w:t>
      </w:r>
      <w:r w:rsidR="00772650" w:rsidRPr="0024149B">
        <w:t>In het Belgisch</w:t>
      </w:r>
      <w:r w:rsidR="000C0BD2" w:rsidRPr="0024149B">
        <w:t xml:space="preserve"> recht is het aantal juridische ouders beperkt tot maximaal twee personen.</w:t>
      </w:r>
      <w:r w:rsidR="000C0BD2" w:rsidRPr="0024149B">
        <w:rPr>
          <w:rStyle w:val="FootnoteReference"/>
        </w:rPr>
        <w:footnoteReference w:id="15"/>
      </w:r>
      <w:r w:rsidR="000C0BD2" w:rsidRPr="0024149B">
        <w:t xml:space="preserve"> Indien het gaat om een o</w:t>
      </w:r>
      <w:r w:rsidR="00753130" w:rsidRPr="0024149B">
        <w:t xml:space="preserve">orspronkelijke afstammingsband </w:t>
      </w:r>
      <w:r w:rsidR="000C0BD2" w:rsidRPr="0024149B">
        <w:t>zijn de juridische ouders ofwel een man en een vrouw, ofwel twee vrouwen. De mog</w:t>
      </w:r>
      <w:r w:rsidR="005206E0" w:rsidRPr="0024149B">
        <w:t>elijkheid voor een lesbisch koppel</w:t>
      </w:r>
      <w:r w:rsidR="000C0BD2" w:rsidRPr="0024149B">
        <w:t xml:space="preserve"> om een afstammingsband te vesti</w:t>
      </w:r>
      <w:r w:rsidR="00753130" w:rsidRPr="0024149B">
        <w:t>gen zonder de omweg van adoptie</w:t>
      </w:r>
      <w:r w:rsidR="0024149B" w:rsidRPr="0024149B">
        <w:t>,</w:t>
      </w:r>
      <w:r w:rsidR="000C0BD2" w:rsidRPr="0024149B">
        <w:t xml:space="preserve"> bestaat sinds de wet van 5 mei 2014 houdende de vaststelling van de afstamming van de meemoeder.</w:t>
      </w:r>
      <w:r w:rsidR="000C0BD2" w:rsidRPr="0024149B">
        <w:rPr>
          <w:rStyle w:val="FootnoteReference"/>
        </w:rPr>
        <w:footnoteReference w:id="16"/>
      </w:r>
      <w:r w:rsidR="00EB41A5" w:rsidRPr="0024149B">
        <w:t xml:space="preserve"> Deze wet geeft</w:t>
      </w:r>
      <w:r w:rsidR="000C0BD2" w:rsidRPr="0024149B">
        <w:t xml:space="preserve"> een oorspronkelijk afstammingsrecht aan de meemoeder.</w:t>
      </w:r>
      <w:r w:rsidR="000C0BD2" w:rsidRPr="0024149B">
        <w:rPr>
          <w:rStyle w:val="FootnoteReference"/>
        </w:rPr>
        <w:footnoteReference w:id="17"/>
      </w:r>
      <w:r w:rsidR="000C0BD2" w:rsidRPr="0024149B">
        <w:t xml:space="preserve"> </w:t>
      </w:r>
      <w:r w:rsidR="00EB41A5" w:rsidRPr="0024149B">
        <w:t>Er bestaat nog geen ge</w:t>
      </w:r>
      <w:r w:rsidR="000C0BD2" w:rsidRPr="0024149B">
        <w:t xml:space="preserve">lijkaardige wet voor een homokoppel. Indien beide mannen juridisch ouder willen zijn van het kind, </w:t>
      </w:r>
      <w:r w:rsidR="00EB41A5" w:rsidRPr="0024149B">
        <w:t>dienen</w:t>
      </w:r>
      <w:r w:rsidR="000C0BD2" w:rsidRPr="0024149B">
        <w:t xml:space="preserve"> ze zich </w:t>
      </w:r>
      <w:r w:rsidR="00EB41A5" w:rsidRPr="0024149B">
        <w:t xml:space="preserve">te </w:t>
      </w:r>
      <w:r w:rsidR="000C0BD2" w:rsidRPr="0024149B">
        <w:t>beroepen op adoptie.</w:t>
      </w:r>
      <w:r w:rsidR="000C0BD2" w:rsidRPr="0024149B">
        <w:rPr>
          <w:rStyle w:val="FootnoteReference"/>
        </w:rPr>
        <w:footnoteReference w:id="18"/>
      </w:r>
    </w:p>
    <w:p w:rsidR="000C0BD2" w:rsidRPr="0024149B" w:rsidRDefault="000C0BD2" w:rsidP="00A74A3B">
      <w:pPr>
        <w:pStyle w:val="Randnummer"/>
        <w:spacing w:line="360" w:lineRule="auto"/>
        <w:ind w:left="0" w:firstLine="0"/>
      </w:pPr>
      <w:r w:rsidRPr="0024149B">
        <w:t>Indien het gaat om een adoptieve afstamming kunnen de juridische ouders zowel een man en een vrouw, twee vrouwen als twee mannen zijn. Sinds de wet van 18 mei 2006 tot wijziging van een aantal bepalingen van het Burgerlijk Wetboek teneinde de adoptie door personen van hetzelfde geslacht mogelijk te maken, staat adop</w:t>
      </w:r>
      <w:r w:rsidR="00E43867" w:rsidRPr="0024149B">
        <w:t>tie ook open voor personen van hetzelfde</w:t>
      </w:r>
      <w:r w:rsidRPr="0024149B">
        <w:t xml:space="preserve"> geslacht.</w:t>
      </w:r>
      <w:r w:rsidRPr="0024149B">
        <w:rPr>
          <w:rStyle w:val="FootnoteReference"/>
        </w:rPr>
        <w:footnoteReference w:id="19"/>
      </w:r>
      <w:r w:rsidRPr="0024149B">
        <w:t xml:space="preserve"> </w:t>
      </w:r>
    </w:p>
    <w:p w:rsidR="000C0BD2" w:rsidRPr="005B1D95" w:rsidRDefault="000C0BD2" w:rsidP="00746471">
      <w:pPr>
        <w:pStyle w:val="Heading5"/>
        <w:numPr>
          <w:ilvl w:val="4"/>
          <w:numId w:val="6"/>
        </w:numPr>
        <w:spacing w:line="360" w:lineRule="auto"/>
        <w:jc w:val="both"/>
      </w:pPr>
      <w:bookmarkStart w:id="18" w:name="_Toc449936703"/>
      <w:r>
        <w:lastRenderedPageBreak/>
        <w:t>Oorspronkelijke afstamming</w:t>
      </w:r>
      <w:bookmarkEnd w:id="18"/>
    </w:p>
    <w:p w:rsidR="00807D9B" w:rsidRPr="0024149B" w:rsidRDefault="00E87D3E" w:rsidP="009A462F">
      <w:pPr>
        <w:pStyle w:val="Randnummer"/>
        <w:spacing w:line="360" w:lineRule="auto"/>
        <w:ind w:left="0" w:firstLine="0"/>
        <w:rPr>
          <w:b/>
          <w:bCs/>
        </w:rPr>
      </w:pPr>
      <w:r w:rsidRPr="004B0040">
        <w:rPr>
          <w:rFonts w:asciiTheme="majorHAnsi" w:hAnsiTheme="majorHAnsi"/>
          <w:b/>
          <w:bCs/>
        </w:rPr>
        <w:fldChar w:fldCharType="begin"/>
      </w:r>
      <w:r w:rsidR="009A462F" w:rsidRPr="004B0040">
        <w:rPr>
          <w:rFonts w:asciiTheme="majorHAnsi" w:hAnsiTheme="majorHAnsi"/>
          <w:b/>
          <w:bCs/>
        </w:rPr>
        <w:instrText xml:space="preserve"> AUTONUMLGL  </w:instrText>
      </w:r>
      <w:r w:rsidRPr="004B0040">
        <w:rPr>
          <w:rFonts w:asciiTheme="majorHAnsi" w:hAnsiTheme="majorHAnsi"/>
          <w:b/>
          <w:bCs/>
        </w:rPr>
        <w:fldChar w:fldCharType="end"/>
      </w:r>
      <w:r w:rsidR="009A462F">
        <w:rPr>
          <w:rFonts w:asciiTheme="majorHAnsi" w:hAnsiTheme="majorHAnsi"/>
          <w:b/>
          <w:bCs/>
        </w:rPr>
        <w:t xml:space="preserve"> </w:t>
      </w:r>
      <w:r w:rsidR="000C0BD2" w:rsidRPr="005B1D95">
        <w:t xml:space="preserve">Zowel langs vaderszijde als langs moederszijde </w:t>
      </w:r>
      <w:r w:rsidR="00E43867">
        <w:t>bestaan</w:t>
      </w:r>
      <w:r w:rsidR="000C0BD2" w:rsidRPr="005B1D95">
        <w:t xml:space="preserve"> drie wettelijke </w:t>
      </w:r>
      <w:r w:rsidR="00753130">
        <w:t>wijze</w:t>
      </w:r>
      <w:r w:rsidR="005206E0">
        <w:t>n</w:t>
      </w:r>
      <w:r w:rsidR="000C0BD2" w:rsidRPr="005B1D95">
        <w:t xml:space="preserve"> om de oorspronkelijke afstamming te vestigen.</w:t>
      </w:r>
      <w:r w:rsidR="000C0BD2" w:rsidRPr="005B1D95">
        <w:rPr>
          <w:rStyle w:val="FootnoteReference"/>
        </w:rPr>
        <w:footnoteReference w:id="20"/>
      </w:r>
      <w:r w:rsidR="000C0BD2" w:rsidRPr="005B1D95">
        <w:t xml:space="preserve"> Langs moederszijde is dit vi</w:t>
      </w:r>
      <w:r w:rsidR="005206E0">
        <w:t>a de algemene regel “Mater semp</w:t>
      </w:r>
      <w:r w:rsidR="000C0BD2" w:rsidRPr="005B1D95">
        <w:t xml:space="preserve">er certa est”, via erkenning of via gerechtelijk onderzoek naar het </w:t>
      </w:r>
      <w:r w:rsidR="000C0BD2" w:rsidRPr="0024149B">
        <w:t>moederschap.</w:t>
      </w:r>
      <w:r w:rsidR="000C0BD2" w:rsidRPr="0024149B">
        <w:rPr>
          <w:rStyle w:val="FootnoteReference"/>
        </w:rPr>
        <w:footnoteReference w:id="21"/>
      </w:r>
      <w:r w:rsidR="000C0BD2" w:rsidRPr="0024149B">
        <w:t xml:space="preserve"> Langs vaderszijde is dit via de algemene vaderschapsr</w:t>
      </w:r>
      <w:r w:rsidR="00753130" w:rsidRPr="0024149B">
        <w:t>egel binnen het huwelijk, via</w:t>
      </w:r>
      <w:r w:rsidR="000C0BD2" w:rsidRPr="0024149B">
        <w:t xml:space="preserve"> erkenning of via gerechtelijk onderzoek naar het vaderschap.</w:t>
      </w:r>
      <w:r w:rsidR="000C0BD2" w:rsidRPr="0024149B">
        <w:rPr>
          <w:rStyle w:val="FootnoteReference"/>
        </w:rPr>
        <w:footnoteReference w:id="22"/>
      </w:r>
      <w:r w:rsidR="00E31F52" w:rsidRPr="0024149B">
        <w:t xml:space="preserve"> </w:t>
      </w:r>
    </w:p>
    <w:p w:rsidR="000C0BD2" w:rsidRPr="0024149B" w:rsidRDefault="00753130" w:rsidP="009A462F">
      <w:pPr>
        <w:pStyle w:val="Randnummer"/>
        <w:spacing w:line="360" w:lineRule="auto"/>
        <w:ind w:left="0" w:firstLine="0"/>
        <w:rPr>
          <w:b/>
          <w:bCs/>
        </w:rPr>
      </w:pPr>
      <w:r w:rsidRPr="0024149B">
        <w:t>De drie wettelijke wijz</w:t>
      </w:r>
      <w:r w:rsidR="005206E0" w:rsidRPr="0024149B">
        <w:t>en</w:t>
      </w:r>
      <w:r w:rsidR="00E31F52" w:rsidRPr="0024149B">
        <w:t xml:space="preserve"> om de oorspronkelijke afstammingsband langs vaderszijde te vestigen, zijn sinds de wet houdende de vaststelling van de afstamming van de meemoe</w:t>
      </w:r>
      <w:r w:rsidRPr="0024149B">
        <w:t>der ook van toepassing op</w:t>
      </w:r>
      <w:r w:rsidR="00E31F52" w:rsidRPr="0024149B">
        <w:t xml:space="preserve"> de meemoeder.</w:t>
      </w:r>
      <w:r w:rsidR="00E31F52" w:rsidRPr="0024149B">
        <w:rPr>
          <w:rStyle w:val="FootnoteReference"/>
        </w:rPr>
        <w:footnoteReference w:id="23"/>
      </w:r>
      <w:r w:rsidR="00E31F52" w:rsidRPr="0024149B">
        <w:t xml:space="preserve"> </w:t>
      </w:r>
      <w:r w:rsidR="005206E0" w:rsidRPr="0024149B">
        <w:t>Tijdens het huwelijk geldt</w:t>
      </w:r>
      <w:r w:rsidR="002A1989" w:rsidRPr="0024149B">
        <w:t xml:space="preserve"> een vermoeden van meemoederschap.</w:t>
      </w:r>
      <w:r w:rsidR="002A1989" w:rsidRPr="0024149B">
        <w:rPr>
          <w:rStyle w:val="FootnoteReference"/>
        </w:rPr>
        <w:footnoteReference w:id="24"/>
      </w:r>
      <w:r w:rsidR="002A1989" w:rsidRPr="0024149B">
        <w:t xml:space="preserve"> Daarnaast kan de afstamming langs </w:t>
      </w:r>
      <w:r w:rsidR="00E43867" w:rsidRPr="0024149B">
        <w:t>meemoederszijde</w:t>
      </w:r>
      <w:r w:rsidRPr="0024149B">
        <w:t xml:space="preserve"> gevestigd worden via</w:t>
      </w:r>
      <w:r w:rsidR="002A1989" w:rsidRPr="0024149B">
        <w:t xml:space="preserve"> erkenning of </w:t>
      </w:r>
      <w:r w:rsidR="005206E0" w:rsidRPr="0024149B">
        <w:t xml:space="preserve">via </w:t>
      </w:r>
      <w:r w:rsidR="002A1989" w:rsidRPr="0024149B">
        <w:t>gerechtelijk onderzoek naar het meemoederschap.</w:t>
      </w:r>
      <w:r w:rsidR="002A1989" w:rsidRPr="0024149B">
        <w:rPr>
          <w:rStyle w:val="FootnoteReference"/>
        </w:rPr>
        <w:footnoteReference w:id="25"/>
      </w:r>
    </w:p>
    <w:p w:rsidR="00807D9B" w:rsidRPr="0024149B" w:rsidRDefault="00E87D3E" w:rsidP="009A462F">
      <w:pPr>
        <w:pStyle w:val="Randnummer"/>
        <w:spacing w:line="360" w:lineRule="auto"/>
        <w:ind w:left="0" w:firstLine="0"/>
      </w:pPr>
      <w:r w:rsidRPr="0024149B">
        <w:rPr>
          <w:b/>
          <w:bCs/>
        </w:rPr>
        <w:fldChar w:fldCharType="begin"/>
      </w:r>
      <w:r w:rsidR="009A462F" w:rsidRPr="0024149B">
        <w:rPr>
          <w:b/>
          <w:bCs/>
        </w:rPr>
        <w:instrText xml:space="preserve"> AUTONUMLGL  </w:instrText>
      </w:r>
      <w:r w:rsidRPr="0024149B">
        <w:rPr>
          <w:b/>
          <w:bCs/>
        </w:rPr>
        <w:fldChar w:fldCharType="end"/>
      </w:r>
      <w:r w:rsidR="0024149B">
        <w:rPr>
          <w:b/>
          <w:bCs/>
        </w:rPr>
        <w:t xml:space="preserve"> </w:t>
      </w:r>
      <w:r w:rsidR="005206E0" w:rsidRPr="0024149B">
        <w:t>Zoals reeds vermeld</w:t>
      </w:r>
      <w:r w:rsidR="00EB41A5" w:rsidRPr="0024149B">
        <w:t>,</w:t>
      </w:r>
      <w:r w:rsidR="005206E0" w:rsidRPr="0024149B">
        <w:t xml:space="preserve"> wilde</w:t>
      </w:r>
      <w:r w:rsidR="000C0BD2" w:rsidRPr="0024149B">
        <w:t xml:space="preserve"> de wetgever met de juridische afstamming de biologische werkelijkheid zoveel mogelijk weerspiegelen. Om dit doel te verwezenlijken</w:t>
      </w:r>
      <w:r w:rsidR="005206E0" w:rsidRPr="0024149B">
        <w:t>,</w:t>
      </w:r>
      <w:r w:rsidR="000C0BD2" w:rsidRPr="0024149B">
        <w:t xml:space="preserve"> is de standaard grondslag van de oorspronkelijke afstamming de biologische band.</w:t>
      </w:r>
      <w:r w:rsidR="000C0BD2" w:rsidRPr="0024149B">
        <w:rPr>
          <w:rStyle w:val="FootnoteReference"/>
        </w:rPr>
        <w:footnoteReference w:id="26"/>
      </w:r>
      <w:r w:rsidR="000C0BD2" w:rsidRPr="0024149B">
        <w:t xml:space="preserve"> </w:t>
      </w:r>
    </w:p>
    <w:p w:rsidR="009A462F" w:rsidRPr="0024149B" w:rsidRDefault="000C0BD2" w:rsidP="009A462F">
      <w:pPr>
        <w:pStyle w:val="Randnummer"/>
        <w:spacing w:line="360" w:lineRule="auto"/>
        <w:ind w:left="0" w:firstLine="0"/>
      </w:pPr>
      <w:r w:rsidRPr="0024149B">
        <w:t xml:space="preserve">De wetgever </w:t>
      </w:r>
      <w:r w:rsidR="00E43867" w:rsidRPr="0024149B">
        <w:t>beseft</w:t>
      </w:r>
      <w:r w:rsidRPr="0024149B">
        <w:t xml:space="preserve"> dat er verschillende belangen zijn die tegen </w:t>
      </w:r>
      <w:r w:rsidR="00753130" w:rsidRPr="0024149B">
        <w:t xml:space="preserve">elkaar moeten worden afgewogen </w:t>
      </w:r>
      <w:r w:rsidR="0024149B" w:rsidRPr="0024149B">
        <w:t>en dat het daarom niet altijd</w:t>
      </w:r>
      <w:r w:rsidRPr="0024149B">
        <w:t xml:space="preserve"> wenselijk is om de biologische band als grondslag te nemen.</w:t>
      </w:r>
      <w:r w:rsidRPr="0024149B">
        <w:rPr>
          <w:rStyle w:val="FootnoteReference"/>
        </w:rPr>
        <w:footnoteReference w:id="27"/>
      </w:r>
      <w:r w:rsidRPr="0024149B">
        <w:t xml:space="preserve"> Het is om die reden dat naast de biologische band ook plaats is voor de sociale band en de intentie als grondslagen voor de afstamming.</w:t>
      </w:r>
      <w:r w:rsidRPr="0024149B">
        <w:rPr>
          <w:rStyle w:val="FootnoteReference"/>
        </w:rPr>
        <w:footnoteReference w:id="28"/>
      </w:r>
      <w:r w:rsidRPr="0024149B">
        <w:t xml:space="preserve"> Met sociale band wordt het bezit van </w:t>
      </w:r>
      <w:r w:rsidRPr="0024149B">
        <w:lastRenderedPageBreak/>
        <w:t>staat bedoeld.</w:t>
      </w:r>
      <w:r w:rsidRPr="0024149B">
        <w:rPr>
          <w:rStyle w:val="FootnoteReference"/>
        </w:rPr>
        <w:footnoteReference w:id="29"/>
      </w:r>
      <w:r w:rsidRPr="0024149B">
        <w:t xml:space="preserve"> Met intentie wordt het intentioneel ouderscha</w:t>
      </w:r>
      <w:r w:rsidR="00753130" w:rsidRPr="0024149B">
        <w:t>p bedoeld</w:t>
      </w:r>
      <w:r w:rsidR="004A2790" w:rsidRPr="0024149B">
        <w:t>.</w:t>
      </w:r>
      <w:r w:rsidR="004A2790" w:rsidRPr="0024149B">
        <w:rPr>
          <w:rStyle w:val="FootnoteReference"/>
        </w:rPr>
        <w:footnoteReference w:id="30"/>
      </w:r>
      <w:r w:rsidR="004A2790" w:rsidRPr="0024149B">
        <w:t xml:space="preserve"> Dit kent</w:t>
      </w:r>
      <w:r w:rsidR="00753130" w:rsidRPr="0024149B">
        <w:t xml:space="preserve"> vier vormen, </w:t>
      </w:r>
      <w:r w:rsidR="004A2790" w:rsidRPr="0024149B">
        <w:t>meer bepaald</w:t>
      </w:r>
      <w:r w:rsidRPr="0024149B">
        <w:t xml:space="preserve"> wensouders, wensvader, meemoederscha</w:t>
      </w:r>
      <w:r w:rsidR="002A1989" w:rsidRPr="0024149B">
        <w:t>p en de leugenachtige erkenning:</w:t>
      </w:r>
      <w:r w:rsidRPr="0024149B">
        <w:rPr>
          <w:rStyle w:val="FootnoteReference"/>
        </w:rPr>
        <w:footnoteReference w:id="31"/>
      </w:r>
    </w:p>
    <w:p w:rsidR="009A462F" w:rsidRDefault="002A1989" w:rsidP="009A462F">
      <w:pPr>
        <w:pStyle w:val="Randnummer"/>
        <w:spacing w:line="360" w:lineRule="auto"/>
        <w:ind w:left="0" w:firstLine="0"/>
      </w:pPr>
      <w:r w:rsidRPr="00AD3812">
        <w:t xml:space="preserve">- </w:t>
      </w:r>
      <w:r w:rsidR="00203A79" w:rsidRPr="00AD3812">
        <w:t>De wensouder is</w:t>
      </w:r>
      <w:r w:rsidR="00350943">
        <w:t xml:space="preserve"> elke persoon </w:t>
      </w:r>
      <w:r w:rsidR="000C0BD2" w:rsidRPr="00AD3812">
        <w:t>die heeft besloten om ouder te worden door middel van medisch begeleide voortplanting, ongeacht of dit met zijn eigen gamet</w:t>
      </w:r>
      <w:r w:rsidR="00E43867">
        <w:t>en of embryo’s gebeurt of niet;</w:t>
      </w:r>
      <w:r w:rsidR="00203A79">
        <w:rPr>
          <w:rStyle w:val="FootnoteReference"/>
        </w:rPr>
        <w:footnoteReference w:id="32"/>
      </w:r>
    </w:p>
    <w:p w:rsidR="00807D9B" w:rsidRDefault="002A1989" w:rsidP="009A462F">
      <w:pPr>
        <w:pStyle w:val="Randnummer"/>
        <w:spacing w:line="360" w:lineRule="auto"/>
        <w:ind w:left="0" w:firstLine="0"/>
      </w:pPr>
      <w:r w:rsidRPr="00AD3812">
        <w:t xml:space="preserve">- </w:t>
      </w:r>
      <w:r w:rsidR="00E43867">
        <w:t>d</w:t>
      </w:r>
      <w:r w:rsidR="000C0BD2" w:rsidRPr="00AD3812">
        <w:t>e wensvader is de echtgenoot van de moeder die toestemming gaf tot</w:t>
      </w:r>
      <w:r w:rsidR="00350943">
        <w:t xml:space="preserve"> kunstmatige inseminatie of </w:t>
      </w:r>
      <w:r w:rsidR="000C0BD2" w:rsidRPr="00AD3812">
        <w:t>een andere daad di</w:t>
      </w:r>
      <w:r w:rsidR="00E43867">
        <w:t>e de voortplanting tot doel had;</w:t>
      </w:r>
      <w:r w:rsidR="000C0BD2">
        <w:rPr>
          <w:rStyle w:val="FootnoteReference"/>
        </w:rPr>
        <w:footnoteReference w:id="33"/>
      </w:r>
    </w:p>
    <w:p w:rsidR="009A462F" w:rsidRDefault="002A1989" w:rsidP="009A462F">
      <w:pPr>
        <w:pStyle w:val="Randnummer"/>
        <w:spacing w:line="360" w:lineRule="auto"/>
        <w:ind w:left="0" w:firstLine="0"/>
      </w:pPr>
      <w:r w:rsidRPr="00AD3812">
        <w:t xml:space="preserve">- </w:t>
      </w:r>
      <w:r w:rsidR="00E43867">
        <w:t>s</w:t>
      </w:r>
      <w:r w:rsidR="000C0BD2" w:rsidRPr="00AD3812">
        <w:t>inds de wet van 5 mei 2014 houdende de vaststelling van de afstamming van de meemoeder, zijn de afstammin</w:t>
      </w:r>
      <w:r w:rsidR="00350943">
        <w:t>g</w:t>
      </w:r>
      <w:r w:rsidR="000C0BD2" w:rsidRPr="00AD3812">
        <w:t>sregels voor een lesbisch koppel dezelfde als voor een heterokoppel.</w:t>
      </w:r>
      <w:r w:rsidR="000C0BD2">
        <w:rPr>
          <w:rStyle w:val="FootnoteReference"/>
        </w:rPr>
        <w:footnoteReference w:id="34"/>
      </w:r>
      <w:r w:rsidR="000C0BD2" w:rsidRPr="00AD3812">
        <w:t xml:space="preserve"> Bij meemoederschap wordt een tweede afstammingsband gevestigd tussen de vrouwelijke partner (meemoeder) van de</w:t>
      </w:r>
      <w:r w:rsidR="00E43867">
        <w:t xml:space="preserve"> biologische moeder en het kind;</w:t>
      </w:r>
      <w:r w:rsidR="000C0BD2">
        <w:rPr>
          <w:rStyle w:val="FootnoteReference"/>
        </w:rPr>
        <w:footnoteReference w:id="35"/>
      </w:r>
    </w:p>
    <w:p w:rsidR="000C0BD2" w:rsidRPr="00AD3812" w:rsidRDefault="00E43867" w:rsidP="009A462F">
      <w:pPr>
        <w:pStyle w:val="Randnummer"/>
        <w:spacing w:line="360" w:lineRule="auto"/>
        <w:ind w:left="0" w:firstLine="0"/>
      </w:pPr>
      <w:r>
        <w:t>- i</w:t>
      </w:r>
      <w:r w:rsidR="002A1989" w:rsidRPr="00AD3812">
        <w:t>ntention</w:t>
      </w:r>
      <w:r w:rsidR="0024149B">
        <w:t>eel ouderschap kent tot slot</w:t>
      </w:r>
      <w:r w:rsidR="002A1989" w:rsidRPr="00AD3812">
        <w:t xml:space="preserve"> uitwerking bij de leugenachtig</w:t>
      </w:r>
      <w:r w:rsidR="00EB41A5">
        <w:t>e erkenning. Het ouderschap kan</w:t>
      </w:r>
      <w:r w:rsidR="002A1989" w:rsidRPr="00AD3812">
        <w:t xml:space="preserve"> tot stand </w:t>
      </w:r>
      <w:r w:rsidR="00EB41A5">
        <w:t xml:space="preserve">komen </w:t>
      </w:r>
      <w:r w:rsidR="002A1989" w:rsidRPr="00AD3812">
        <w:t xml:space="preserve">door middel van een verklaring van de erkenner, vader, moeder of meemoeder ten aanzien van het erkende kind. </w:t>
      </w:r>
      <w:r w:rsidR="000C0BD2" w:rsidRPr="00AD3812">
        <w:t>Er wordt niet nagegaan of er een grondslag voor de afstamming is.</w:t>
      </w:r>
      <w:r w:rsidR="000C0BD2">
        <w:rPr>
          <w:rStyle w:val="FootnoteReference"/>
        </w:rPr>
        <w:footnoteReference w:id="36"/>
      </w:r>
      <w:r w:rsidR="000C0BD2" w:rsidRPr="00AD3812">
        <w:t xml:space="preserve"> Bijgevolg kan deze e</w:t>
      </w:r>
      <w:r w:rsidR="00EB41A5">
        <w:t>rkenning leugenachtig zijn.</w:t>
      </w:r>
      <w:r w:rsidR="000C0BD2" w:rsidRPr="00AD3812">
        <w:t xml:space="preserve"> </w:t>
      </w:r>
    </w:p>
    <w:p w:rsidR="000C0BD2" w:rsidRPr="00607919" w:rsidRDefault="000C0BD2" w:rsidP="0039127C">
      <w:pPr>
        <w:pStyle w:val="Randnummer"/>
        <w:spacing w:line="360" w:lineRule="auto"/>
        <w:ind w:left="0" w:firstLine="0"/>
      </w:pPr>
      <w:r w:rsidRPr="00607919">
        <w:t>In deze gevallen gaat de sociale band respectievelijk intentie voor op de biologische waarheid.</w:t>
      </w:r>
      <w:r>
        <w:t xml:space="preserve"> De juridische ouders zijn in deze gevallen dus niet de biologische ouders.</w:t>
      </w:r>
      <w:r w:rsidRPr="00607919">
        <w:t xml:space="preserve"> Ook in deze gevallen </w:t>
      </w:r>
      <w:r w:rsidR="00EB41A5">
        <w:t>zijn er</w:t>
      </w:r>
      <w:r w:rsidRPr="00607919">
        <w:t xml:space="preserve"> maxi</w:t>
      </w:r>
      <w:r w:rsidR="00EB41A5">
        <w:t>maal twee juridische ouders</w:t>
      </w:r>
      <w:r w:rsidRPr="00607919">
        <w:t>.</w:t>
      </w:r>
      <w:r w:rsidRPr="005B1D95">
        <w:rPr>
          <w:rStyle w:val="FootnoteReference"/>
        </w:rPr>
        <w:footnoteReference w:id="37"/>
      </w:r>
    </w:p>
    <w:p w:rsidR="000C0BD2" w:rsidRDefault="000C0BD2" w:rsidP="00746471">
      <w:pPr>
        <w:pStyle w:val="Heading5"/>
        <w:numPr>
          <w:ilvl w:val="4"/>
          <w:numId w:val="6"/>
        </w:numPr>
        <w:spacing w:line="360" w:lineRule="auto"/>
        <w:jc w:val="both"/>
      </w:pPr>
      <w:bookmarkStart w:id="19" w:name="_Toc449936704"/>
      <w:r>
        <w:lastRenderedPageBreak/>
        <w:t>Adoptieve afstamming</w:t>
      </w:r>
      <w:bookmarkEnd w:id="19"/>
    </w:p>
    <w:p w:rsidR="00AD3812" w:rsidRPr="00AD3812" w:rsidRDefault="00AD3812" w:rsidP="00746471">
      <w:pPr>
        <w:pStyle w:val="Heading6"/>
        <w:numPr>
          <w:ilvl w:val="5"/>
          <w:numId w:val="6"/>
        </w:numPr>
        <w:spacing w:line="360" w:lineRule="auto"/>
        <w:jc w:val="both"/>
      </w:pPr>
      <w:bookmarkStart w:id="20" w:name="_Toc449936705"/>
      <w:r>
        <w:t>Algemeen</w:t>
      </w:r>
      <w:bookmarkEnd w:id="20"/>
    </w:p>
    <w:p w:rsidR="000C0BD2" w:rsidRPr="000F6DBB" w:rsidRDefault="00E87D3E" w:rsidP="000F6DBB">
      <w:pPr>
        <w:pStyle w:val="Randnummer"/>
        <w:spacing w:line="360" w:lineRule="auto"/>
        <w:ind w:left="0" w:firstLine="0"/>
      </w:pPr>
      <w:r w:rsidRPr="000F6DBB">
        <w:rPr>
          <w:b/>
          <w:bCs/>
        </w:rPr>
        <w:fldChar w:fldCharType="begin"/>
      </w:r>
      <w:r w:rsidR="009A462F" w:rsidRPr="000F6DBB">
        <w:rPr>
          <w:b/>
          <w:bCs/>
        </w:rPr>
        <w:instrText xml:space="preserve"> AUTONUMLGL  </w:instrText>
      </w:r>
      <w:r w:rsidRPr="000F6DBB">
        <w:rPr>
          <w:b/>
          <w:bCs/>
        </w:rPr>
        <w:fldChar w:fldCharType="end"/>
      </w:r>
      <w:r w:rsidR="009A462F" w:rsidRPr="000F6DBB">
        <w:rPr>
          <w:b/>
          <w:bCs/>
        </w:rPr>
        <w:t xml:space="preserve"> </w:t>
      </w:r>
      <w:r w:rsidR="000C0BD2" w:rsidRPr="000F6DBB">
        <w:t>Adoptie</w:t>
      </w:r>
      <w:r w:rsidR="00350943" w:rsidRPr="000F6DBB">
        <w:t xml:space="preserve"> is een rechtsfiguur waarbij </w:t>
      </w:r>
      <w:r w:rsidR="000C0BD2" w:rsidRPr="000F6DBB">
        <w:t>een afstammingsband tussen adoptant en adoptiekind ontstaat door middel van een rechterlijke uitspraak.</w:t>
      </w:r>
      <w:r w:rsidR="000C0BD2" w:rsidRPr="000F6DBB">
        <w:rPr>
          <w:rStyle w:val="FootnoteReference"/>
        </w:rPr>
        <w:footnoteReference w:id="38"/>
      </w:r>
      <w:r w:rsidR="000C0BD2" w:rsidRPr="000F6DBB">
        <w:t xml:space="preserve"> De beperking van twee juridische ouders blijft behouden bij adoptie, de adoptanten nemen het ouderschap over van de oorspronkelijke ouders.</w:t>
      </w:r>
      <w:r w:rsidR="000C0BD2" w:rsidRPr="000F6DBB">
        <w:rPr>
          <w:rStyle w:val="FootnoteReference"/>
        </w:rPr>
        <w:footnoteReference w:id="39"/>
      </w:r>
      <w:r w:rsidR="000C0BD2" w:rsidRPr="000F6DBB">
        <w:t xml:space="preserve"> </w:t>
      </w:r>
    </w:p>
    <w:p w:rsidR="000C0BD2" w:rsidRPr="000F6DBB" w:rsidRDefault="00E87D3E" w:rsidP="000F6DBB">
      <w:pPr>
        <w:pStyle w:val="Randnummer"/>
        <w:spacing w:line="360" w:lineRule="auto"/>
        <w:ind w:left="0" w:firstLine="0"/>
      </w:pPr>
      <w:r w:rsidRPr="000F6DBB">
        <w:rPr>
          <w:b/>
          <w:bCs/>
        </w:rPr>
        <w:fldChar w:fldCharType="begin"/>
      </w:r>
      <w:r w:rsidR="009A462F" w:rsidRPr="000F6DBB">
        <w:rPr>
          <w:b/>
          <w:bCs/>
        </w:rPr>
        <w:instrText xml:space="preserve"> AUTONUMLGL  </w:instrText>
      </w:r>
      <w:r w:rsidRPr="000F6DBB">
        <w:rPr>
          <w:b/>
          <w:bCs/>
        </w:rPr>
        <w:fldChar w:fldCharType="end"/>
      </w:r>
      <w:r w:rsidR="009A462F" w:rsidRPr="000F6DBB">
        <w:rPr>
          <w:b/>
          <w:bCs/>
        </w:rPr>
        <w:t xml:space="preserve"> </w:t>
      </w:r>
      <w:r w:rsidR="00772650" w:rsidRPr="000F6DBB">
        <w:t>Het Belgisch</w:t>
      </w:r>
      <w:r w:rsidR="000C0BD2" w:rsidRPr="000F6DBB">
        <w:t xml:space="preserve"> recht kent twee soorten adoptie, namelijk volle en gewone adoptie.</w:t>
      </w:r>
      <w:r w:rsidR="000C0BD2" w:rsidRPr="000F6DBB">
        <w:rPr>
          <w:rStyle w:val="FootnoteReference"/>
        </w:rPr>
        <w:footnoteReference w:id="40"/>
      </w:r>
      <w:r w:rsidR="00827D6C" w:rsidRPr="000F6DBB">
        <w:t xml:space="preserve"> </w:t>
      </w:r>
      <w:r w:rsidR="000C0BD2" w:rsidRPr="000F6DBB">
        <w:t>Door volle adoptie wordt het geadopteerde kind volledig gelijkgeschakeld met het kind dat geboren is uit de adoptant.</w:t>
      </w:r>
      <w:r w:rsidR="000C0BD2" w:rsidRPr="000F6DBB">
        <w:rPr>
          <w:rStyle w:val="FootnoteReference"/>
        </w:rPr>
        <w:footnoteReference w:id="41"/>
      </w:r>
      <w:r w:rsidR="000C0BD2" w:rsidRPr="000F6DBB">
        <w:t xml:space="preserve"> Het geadopteerde kind heeft dezelfde rechten en plichten als het kind dat geboren is uit de adoptant en de banden met de oorspronkelijke familie van het geado</w:t>
      </w:r>
      <w:r w:rsidR="000F6DBB" w:rsidRPr="000F6DBB">
        <w:t>pteerde kind worden volledig door</w:t>
      </w:r>
      <w:r w:rsidR="000C0BD2" w:rsidRPr="000F6DBB">
        <w:t>broken.</w:t>
      </w:r>
      <w:r w:rsidR="000C0BD2" w:rsidRPr="000F6DBB">
        <w:rPr>
          <w:rStyle w:val="FootnoteReference"/>
        </w:rPr>
        <w:footnoteReference w:id="42"/>
      </w:r>
    </w:p>
    <w:p w:rsidR="000C0BD2" w:rsidRPr="000F6DBB" w:rsidRDefault="000C0BD2" w:rsidP="000F6DBB">
      <w:pPr>
        <w:pStyle w:val="Randnummer"/>
        <w:spacing w:line="360" w:lineRule="auto"/>
        <w:ind w:left="0" w:firstLine="0"/>
      </w:pPr>
      <w:r w:rsidRPr="000F6DBB">
        <w:t>Ook door gewone adoptie wordt het geadopteerde kind volledig gelijkgeschakeld met het kind dat geboren is uit de adoptant.</w:t>
      </w:r>
      <w:r w:rsidRPr="000F6DBB">
        <w:rPr>
          <w:rStyle w:val="FootnoteReference"/>
        </w:rPr>
        <w:footnoteReference w:id="43"/>
      </w:r>
      <w:r w:rsidRPr="000F6DBB">
        <w:t xml:space="preserve"> Deze gelijkschakeling </w:t>
      </w:r>
      <w:r w:rsidR="00350943" w:rsidRPr="000F6DBB">
        <w:t>bestaat</w:t>
      </w:r>
      <w:r w:rsidRPr="000F6DBB">
        <w:t xml:space="preserve"> echter alleen in de verhouding adoptant - adoptiekind.</w:t>
      </w:r>
      <w:r w:rsidRPr="000F6DBB">
        <w:rPr>
          <w:rStyle w:val="FootnoteReference"/>
        </w:rPr>
        <w:footnoteReference w:id="44"/>
      </w:r>
      <w:r w:rsidRPr="000F6DBB">
        <w:t xml:space="preserve"> De verwantschapsband met de oorspronkelijke familie van het </w:t>
      </w:r>
      <w:r w:rsidR="000F6DBB" w:rsidRPr="000F6DBB">
        <w:t>geadopteerde kind wordt niet door</w:t>
      </w:r>
      <w:r w:rsidRPr="000F6DBB">
        <w:t>broken.</w:t>
      </w:r>
      <w:r w:rsidRPr="000F6DBB">
        <w:rPr>
          <w:rStyle w:val="FootnoteReference"/>
        </w:rPr>
        <w:footnoteReference w:id="45"/>
      </w:r>
      <w:r w:rsidRPr="000F6DBB">
        <w:t xml:space="preserve"> </w:t>
      </w:r>
    </w:p>
    <w:p w:rsidR="00DF0256" w:rsidRPr="000F6DBB" w:rsidRDefault="00DF0256" w:rsidP="00746471">
      <w:pPr>
        <w:pStyle w:val="Heading6"/>
        <w:numPr>
          <w:ilvl w:val="5"/>
          <w:numId w:val="6"/>
        </w:numPr>
        <w:spacing w:line="360" w:lineRule="auto"/>
        <w:jc w:val="both"/>
      </w:pPr>
      <w:bookmarkStart w:id="21" w:name="_Toc449936706"/>
      <w:r w:rsidRPr="000F6DBB">
        <w:lastRenderedPageBreak/>
        <w:t>Bijzonderheden ingeval van stiefouder- en partneradoptie</w:t>
      </w:r>
      <w:bookmarkEnd w:id="21"/>
    </w:p>
    <w:p w:rsidR="00B85D70" w:rsidRPr="000F6DBB" w:rsidRDefault="00B85D70" w:rsidP="00746471">
      <w:pPr>
        <w:pStyle w:val="Heading8"/>
        <w:numPr>
          <w:ilvl w:val="7"/>
          <w:numId w:val="6"/>
        </w:numPr>
        <w:spacing w:line="360" w:lineRule="auto"/>
        <w:jc w:val="both"/>
      </w:pPr>
      <w:bookmarkStart w:id="22" w:name="_Toc449936707"/>
      <w:r w:rsidRPr="000F6DBB">
        <w:t>Duiding begrip</w:t>
      </w:r>
      <w:bookmarkEnd w:id="22"/>
    </w:p>
    <w:p w:rsidR="006638C9" w:rsidRPr="000F6DBB" w:rsidRDefault="00E87D3E" w:rsidP="000F6DBB">
      <w:pPr>
        <w:pStyle w:val="Randnummer"/>
        <w:spacing w:line="360" w:lineRule="auto"/>
        <w:ind w:left="0" w:firstLine="0"/>
      </w:pPr>
      <w:r w:rsidRPr="000F6DBB">
        <w:rPr>
          <w:b/>
          <w:bCs/>
        </w:rPr>
        <w:fldChar w:fldCharType="begin"/>
      </w:r>
      <w:r w:rsidR="009A462F" w:rsidRPr="000F6DBB">
        <w:rPr>
          <w:b/>
          <w:bCs/>
        </w:rPr>
        <w:instrText xml:space="preserve"> AUTONUMLGL  </w:instrText>
      </w:r>
      <w:r w:rsidRPr="000F6DBB">
        <w:rPr>
          <w:b/>
          <w:bCs/>
        </w:rPr>
        <w:fldChar w:fldCharType="end"/>
      </w:r>
      <w:r w:rsidR="009A462F" w:rsidRPr="000F6DBB">
        <w:rPr>
          <w:b/>
          <w:bCs/>
        </w:rPr>
        <w:t xml:space="preserve"> </w:t>
      </w:r>
      <w:r w:rsidR="006638C9" w:rsidRPr="000F6DBB">
        <w:t>Stiefouderadoptie is een vorm van eenouderadoptie. Eenouderadoptie is de adoptie van een kind door slechts één persoon.</w:t>
      </w:r>
      <w:r w:rsidR="006638C9" w:rsidRPr="000F6DBB">
        <w:rPr>
          <w:rStyle w:val="FootnoteReference"/>
        </w:rPr>
        <w:footnoteReference w:id="46"/>
      </w:r>
      <w:r w:rsidR="006638C9" w:rsidRPr="000F6DBB">
        <w:t xml:space="preserve"> Een echtgenoot, een wettelijk </w:t>
      </w:r>
      <w:r w:rsidR="00EA2AD0" w:rsidRPr="000F6DBB">
        <w:t xml:space="preserve">samenwonende partner </w:t>
      </w:r>
      <w:r w:rsidR="006638C9" w:rsidRPr="000F6DBB">
        <w:t xml:space="preserve">of </w:t>
      </w:r>
      <w:r w:rsidR="00EA2AD0" w:rsidRPr="000F6DBB">
        <w:t xml:space="preserve">een </w:t>
      </w:r>
      <w:r w:rsidR="006638C9" w:rsidRPr="000F6DBB">
        <w:t>feitelijk samenwonende partner kan overgaan tot volle of ge</w:t>
      </w:r>
      <w:r w:rsidR="00EA2AD0" w:rsidRPr="000F6DBB">
        <w:t>wone adoptie van het kind van zijn</w:t>
      </w:r>
      <w:r w:rsidR="006638C9" w:rsidRPr="000F6DBB">
        <w:t xml:space="preserve"> echtgenoot/partner.</w:t>
      </w:r>
      <w:r w:rsidR="006638C9" w:rsidRPr="000F6DBB">
        <w:rPr>
          <w:rStyle w:val="FootnoteReference"/>
        </w:rPr>
        <w:footnoteReference w:id="47"/>
      </w:r>
      <w:r w:rsidR="006638C9" w:rsidRPr="000F6DBB">
        <w:t xml:space="preserve"> </w:t>
      </w:r>
    </w:p>
    <w:p w:rsidR="00B85D70" w:rsidRPr="000F6DBB" w:rsidRDefault="00B85D70" w:rsidP="00746471">
      <w:pPr>
        <w:pStyle w:val="Heading8"/>
        <w:numPr>
          <w:ilvl w:val="7"/>
          <w:numId w:val="6"/>
        </w:numPr>
        <w:spacing w:line="360" w:lineRule="auto"/>
        <w:jc w:val="both"/>
      </w:pPr>
      <w:bookmarkStart w:id="23" w:name="_Toc449936708"/>
      <w:r w:rsidRPr="000F6DBB">
        <w:t>Volle en gewone stiefouder- en partner</w:t>
      </w:r>
      <w:r w:rsidR="003C6E6B" w:rsidRPr="000F6DBB">
        <w:t>a</w:t>
      </w:r>
      <w:r w:rsidRPr="000F6DBB">
        <w:t>doptie</w:t>
      </w:r>
      <w:bookmarkEnd w:id="23"/>
    </w:p>
    <w:p w:rsidR="006638C9" w:rsidRPr="000F6DBB" w:rsidRDefault="00E87D3E" w:rsidP="000F6DBB">
      <w:pPr>
        <w:pStyle w:val="Randnummer"/>
        <w:spacing w:line="360" w:lineRule="auto"/>
        <w:ind w:left="0" w:firstLine="0"/>
      </w:pPr>
      <w:r w:rsidRPr="000F6DBB">
        <w:rPr>
          <w:b/>
          <w:bCs/>
        </w:rPr>
        <w:fldChar w:fldCharType="begin"/>
      </w:r>
      <w:r w:rsidR="009A462F" w:rsidRPr="000F6DBB">
        <w:rPr>
          <w:b/>
          <w:bCs/>
        </w:rPr>
        <w:instrText xml:space="preserve"> AUTONUMLGL  </w:instrText>
      </w:r>
      <w:r w:rsidRPr="000F6DBB">
        <w:rPr>
          <w:b/>
          <w:bCs/>
        </w:rPr>
        <w:fldChar w:fldCharType="end"/>
      </w:r>
      <w:r w:rsidR="009A462F" w:rsidRPr="000F6DBB">
        <w:rPr>
          <w:b/>
          <w:bCs/>
        </w:rPr>
        <w:t xml:space="preserve"> </w:t>
      </w:r>
      <w:r w:rsidR="00350943" w:rsidRPr="000F6DBB">
        <w:t>Zoals reeds</w:t>
      </w:r>
      <w:r w:rsidR="00EB41A5" w:rsidRPr="000F6DBB">
        <w:t xml:space="preserve"> vermeld</w:t>
      </w:r>
      <w:r w:rsidR="00FA4347" w:rsidRPr="000F6DBB">
        <w:t>,</w:t>
      </w:r>
      <w:r w:rsidR="00EB41A5" w:rsidRPr="000F6DBB">
        <w:t xml:space="preserve"> </w:t>
      </w:r>
      <w:r w:rsidR="006638C9" w:rsidRPr="000F6DBB">
        <w:t>wordt het geadopteerde kind door volle adoptie volledig gelijkgeschakeld met het kind dat geboren is uit de adoptant.</w:t>
      </w:r>
      <w:r w:rsidR="006638C9" w:rsidRPr="000F6DBB">
        <w:rPr>
          <w:rStyle w:val="FootnoteReference"/>
        </w:rPr>
        <w:footnoteReference w:id="48"/>
      </w:r>
      <w:r w:rsidR="006638C9" w:rsidRPr="000F6DBB">
        <w:t xml:space="preserve"> De banden met de oorspronkelijke familie van het g</w:t>
      </w:r>
      <w:r w:rsidR="00EB41A5" w:rsidRPr="000F6DBB">
        <w:t>eadopteerde kind worden</w:t>
      </w:r>
      <w:r w:rsidR="000F6DBB" w:rsidRPr="000F6DBB">
        <w:t xml:space="preserve"> door</w:t>
      </w:r>
      <w:r w:rsidR="006638C9" w:rsidRPr="000F6DBB">
        <w:t>broken.</w:t>
      </w:r>
      <w:r w:rsidR="006638C9" w:rsidRPr="000F6DBB">
        <w:rPr>
          <w:rStyle w:val="FootnoteReference"/>
        </w:rPr>
        <w:footnoteReference w:id="49"/>
      </w:r>
    </w:p>
    <w:p w:rsidR="00EB41A5" w:rsidRPr="000F6DBB" w:rsidRDefault="006638C9" w:rsidP="000F6DBB">
      <w:pPr>
        <w:pStyle w:val="Randnummer"/>
        <w:spacing w:line="360" w:lineRule="auto"/>
        <w:ind w:left="0" w:firstLine="0"/>
      </w:pPr>
      <w:r w:rsidRPr="000F6DBB">
        <w:t>Stiefouder- en partneradoptie vormen hierop een uitzondering. Artikel 356-1, lid 3 BW. bepaalt dat ingeval van volle adoptie de banden met de oorspronkelijke familie van de echtgenoot respectievelijk</w:t>
      </w:r>
      <w:r w:rsidR="000F6DBB" w:rsidRPr="000F6DBB">
        <w:t xml:space="preserve"> partner van de adoptant niet doo</w:t>
      </w:r>
      <w:r w:rsidRPr="000F6DBB">
        <w:t>rbroken worden.</w:t>
      </w:r>
      <w:r w:rsidRPr="000F6DBB">
        <w:rPr>
          <w:rStyle w:val="FootnoteReference"/>
        </w:rPr>
        <w:footnoteReference w:id="50"/>
      </w:r>
      <w:r w:rsidRPr="000F6DBB">
        <w:t xml:space="preserve"> Het zijn alleen de banden met de familie van de oorspronkelijke ouder die de echtgenoot of partner van de adoptant is, die behouden blijven. De banden met de</w:t>
      </w:r>
      <w:r w:rsidR="001C4FEC" w:rsidRPr="000F6DBB">
        <w:t xml:space="preserve"> familie van de </w:t>
      </w:r>
      <w:r w:rsidRPr="000F6DBB">
        <w:t>juridische ouder die niet de e</w:t>
      </w:r>
      <w:r w:rsidR="000F6DBB" w:rsidRPr="000F6DBB">
        <w:t>chtgenoot/partner is, worden door</w:t>
      </w:r>
      <w:r w:rsidRPr="000F6DBB">
        <w:t>broken.</w:t>
      </w:r>
      <w:r w:rsidRPr="000F6DBB">
        <w:rPr>
          <w:rStyle w:val="FootnoteReference"/>
        </w:rPr>
        <w:footnoteReference w:id="51"/>
      </w:r>
    </w:p>
    <w:p w:rsidR="00B85D70" w:rsidRPr="000F6DBB" w:rsidRDefault="006638C9" w:rsidP="000F6DBB">
      <w:pPr>
        <w:pStyle w:val="Randnummer"/>
        <w:spacing w:line="360" w:lineRule="auto"/>
        <w:ind w:left="0" w:firstLine="0"/>
      </w:pPr>
      <w:r w:rsidRPr="000F6DBB">
        <w:rPr>
          <w:i/>
          <w:iCs/>
        </w:rPr>
        <w:t>voorbeeld:</w:t>
      </w:r>
      <w:r w:rsidRPr="000F6DBB">
        <w:t xml:space="preserve"> Een kind is geboren uit Mevrouw X en Meneer Y. Mevrouw X huwt een t</w:t>
      </w:r>
      <w:r w:rsidR="00350943" w:rsidRPr="000F6DBB">
        <w:t xml:space="preserve">weede keer met Meneer Z. Meneer </w:t>
      </w:r>
      <w:r w:rsidRPr="000F6DBB">
        <w:t>Z besluit het kind te adopteren.</w:t>
      </w:r>
      <w:r w:rsidR="00350943" w:rsidRPr="000F6DBB">
        <w:t xml:space="preserve"> Meneer Y stemt hiermee in.</w:t>
      </w:r>
      <w:r w:rsidRPr="000F6DBB">
        <w:t xml:space="preserve"> Het gaat om een volle adoptie. De verwantschapsband tussen het kind en Mevrouw X (en haar familie) blijft behouden. De verwantschapsband tussen het kind en Meneer Y (en zi</w:t>
      </w:r>
      <w:r w:rsidR="000F6DBB" w:rsidRPr="000F6DBB">
        <w:t>jn familie) wordt door</w:t>
      </w:r>
      <w:r w:rsidR="00B85D70" w:rsidRPr="000F6DBB">
        <w:t>broken.</w:t>
      </w:r>
    </w:p>
    <w:p w:rsidR="006638C9" w:rsidRPr="000F6DBB" w:rsidRDefault="006638C9" w:rsidP="000F6DBB">
      <w:pPr>
        <w:pStyle w:val="Randnummer"/>
        <w:spacing w:line="360" w:lineRule="auto"/>
        <w:ind w:left="0" w:firstLine="0"/>
      </w:pPr>
      <w:r w:rsidRPr="000F6DBB">
        <w:lastRenderedPageBreak/>
        <w:t>De ratio achter de volle stiefouderadoptie is dat het geadopteerde kind juridisch twee afstammingsbanden van verschillende aard geniet, namelijk de oorspronkelijke afstammingsband ten aanzien van de oorspronkelijke ouder en de adoptieve afstammingsband ten aanzien van de echtgenoot/partner die het kind adopteert.</w:t>
      </w:r>
      <w:r w:rsidRPr="000F6DBB">
        <w:rPr>
          <w:rStyle w:val="FootnoteReference"/>
        </w:rPr>
        <w:footnoteReference w:id="52"/>
      </w:r>
      <w:r w:rsidR="00851ABE" w:rsidRPr="000F6DBB">
        <w:t xml:space="preserve"> </w:t>
      </w:r>
    </w:p>
    <w:p w:rsidR="006638C9" w:rsidRPr="000F6DBB" w:rsidRDefault="00E87D3E" w:rsidP="000F6DBB">
      <w:pPr>
        <w:pStyle w:val="Randnummer"/>
        <w:spacing w:line="360" w:lineRule="auto"/>
        <w:ind w:left="0" w:firstLine="0"/>
      </w:pPr>
      <w:r w:rsidRPr="000F6DBB">
        <w:rPr>
          <w:b/>
          <w:bCs/>
        </w:rPr>
        <w:fldChar w:fldCharType="begin"/>
      </w:r>
      <w:r w:rsidR="009A462F" w:rsidRPr="000F6DBB">
        <w:rPr>
          <w:b/>
          <w:bCs/>
        </w:rPr>
        <w:instrText xml:space="preserve"> AUTONUMLGL  </w:instrText>
      </w:r>
      <w:r w:rsidRPr="000F6DBB">
        <w:rPr>
          <w:b/>
          <w:bCs/>
        </w:rPr>
        <w:fldChar w:fldCharType="end"/>
      </w:r>
      <w:r w:rsidR="009A462F" w:rsidRPr="000F6DBB">
        <w:rPr>
          <w:b/>
          <w:bCs/>
        </w:rPr>
        <w:t xml:space="preserve"> </w:t>
      </w:r>
      <w:r w:rsidR="006638C9" w:rsidRPr="000F6DBB">
        <w:t>Zoals</w:t>
      </w:r>
      <w:r w:rsidR="00350943" w:rsidRPr="000F6DBB">
        <w:t xml:space="preserve"> reeds</w:t>
      </w:r>
      <w:r w:rsidR="006638C9" w:rsidRPr="000F6DBB">
        <w:t xml:space="preserve"> vermeld, blijft de verwantschapsband met de oorspronkelijke familie bij gewone adoptie behouden.</w:t>
      </w:r>
      <w:r w:rsidR="006638C9" w:rsidRPr="000F6DBB">
        <w:rPr>
          <w:rStyle w:val="FootnoteReference"/>
        </w:rPr>
        <w:footnoteReference w:id="53"/>
      </w:r>
      <w:r w:rsidR="006638C9" w:rsidRPr="000F6DBB">
        <w:t xml:space="preserve"> Bij partner- en stiefouderadoptie verdient gewone adoptie daarom soms de voorkeur. Op deze manier worden de banden met de andere juridische ouder van het kind, die niet de echtgenoot/partner van de adoptant is, </w:t>
      </w:r>
      <w:r w:rsidR="000F6DBB" w:rsidRPr="000F6DBB">
        <w:t>niet door</w:t>
      </w:r>
      <w:r w:rsidR="006638C9" w:rsidRPr="000F6DBB">
        <w:t>broken.</w:t>
      </w:r>
      <w:r w:rsidR="006638C9" w:rsidRPr="000F6DBB">
        <w:rPr>
          <w:rStyle w:val="FootnoteReference"/>
        </w:rPr>
        <w:footnoteReference w:id="54"/>
      </w:r>
    </w:p>
    <w:p w:rsidR="006A1D7E" w:rsidRPr="006A1D7E" w:rsidRDefault="006A1D7E" w:rsidP="00746471">
      <w:pPr>
        <w:pStyle w:val="Heading6"/>
        <w:numPr>
          <w:ilvl w:val="5"/>
          <w:numId w:val="6"/>
        </w:numPr>
        <w:spacing w:line="360" w:lineRule="auto"/>
        <w:jc w:val="both"/>
      </w:pPr>
      <w:bookmarkStart w:id="24" w:name="_Toc449936709"/>
      <w:r>
        <w:t>Nadeel van adop</w:t>
      </w:r>
      <w:r w:rsidR="00590A60">
        <w:t>tie: vetorecht van</w:t>
      </w:r>
      <w:r>
        <w:t xml:space="preserve"> juridische ouders</w:t>
      </w:r>
      <w:bookmarkEnd w:id="24"/>
    </w:p>
    <w:p w:rsidR="006A1D7E" w:rsidRPr="00800C73" w:rsidRDefault="006A1D7E" w:rsidP="00746471">
      <w:pPr>
        <w:pStyle w:val="Heading8"/>
        <w:numPr>
          <w:ilvl w:val="7"/>
          <w:numId w:val="6"/>
        </w:numPr>
        <w:spacing w:line="360" w:lineRule="auto"/>
        <w:jc w:val="both"/>
      </w:pPr>
      <w:bookmarkStart w:id="25" w:name="_Toc449936710"/>
      <w:r>
        <w:t>Gemoduleerd vetorecht</w:t>
      </w:r>
      <w:bookmarkEnd w:id="25"/>
    </w:p>
    <w:p w:rsidR="006A1D7E" w:rsidRPr="00573C0F" w:rsidRDefault="00E87D3E" w:rsidP="009A462F">
      <w:pPr>
        <w:pStyle w:val="Randnummer"/>
        <w:spacing w:line="360" w:lineRule="auto"/>
        <w:ind w:left="0" w:firstLine="0"/>
      </w:pPr>
      <w:r w:rsidRPr="00573C0F">
        <w:rPr>
          <w:b/>
          <w:bCs/>
        </w:rPr>
        <w:fldChar w:fldCharType="begin"/>
      </w:r>
      <w:r w:rsidR="009A462F" w:rsidRPr="00573C0F">
        <w:rPr>
          <w:b/>
          <w:bCs/>
        </w:rPr>
        <w:instrText xml:space="preserve"> AUTONUMLGL  </w:instrText>
      </w:r>
      <w:r w:rsidRPr="00573C0F">
        <w:rPr>
          <w:b/>
          <w:bCs/>
        </w:rPr>
        <w:fldChar w:fldCharType="end"/>
      </w:r>
      <w:r w:rsidR="009A462F" w:rsidRPr="00573C0F">
        <w:rPr>
          <w:b/>
          <w:bCs/>
        </w:rPr>
        <w:t xml:space="preserve"> </w:t>
      </w:r>
      <w:r w:rsidR="006A1D7E" w:rsidRPr="00573C0F">
        <w:t xml:space="preserve">Er is </w:t>
      </w:r>
      <w:r w:rsidR="000F6DBB" w:rsidRPr="00573C0F">
        <w:t xml:space="preserve">een voorwaarde die </w:t>
      </w:r>
      <w:r w:rsidR="006A1D7E" w:rsidRPr="00573C0F">
        <w:t>adoptie bemoeilijkt. Indien het kind nog een juridische ouder</w:t>
      </w:r>
      <w:r w:rsidR="00535C26" w:rsidRPr="00573C0F">
        <w:t>(s)</w:t>
      </w:r>
      <w:r w:rsidR="006A1D7E" w:rsidRPr="00573C0F">
        <w:t xml:space="preserve"> heeft, moeten de rechten van deze ouder</w:t>
      </w:r>
      <w:r w:rsidR="00EB41A5" w:rsidRPr="00573C0F">
        <w:t>(s)</w:t>
      </w:r>
      <w:r w:rsidR="006A1D7E" w:rsidRPr="00573C0F">
        <w:t xml:space="preserve"> voldoende beschermd worden.</w:t>
      </w:r>
      <w:r w:rsidR="006A1D7E" w:rsidRPr="00573C0F">
        <w:rPr>
          <w:rStyle w:val="FootnoteReference"/>
        </w:rPr>
        <w:footnoteReference w:id="55"/>
      </w:r>
      <w:r w:rsidR="006A1D7E" w:rsidRPr="00573C0F">
        <w:t xml:space="preserve"> Om deze reden voorziet artikel 348-3 BW. in de ouderlijke toestemming. De juridische ouders moeten toestemming geven met de adoptie van hun kind</w:t>
      </w:r>
      <w:r w:rsidR="00E91F08" w:rsidRPr="00573C0F">
        <w:t>.</w:t>
      </w:r>
      <w:r w:rsidR="006A1D7E" w:rsidRPr="00573C0F">
        <w:t xml:space="preserve"> </w:t>
      </w:r>
      <w:r w:rsidR="00E91F08" w:rsidRPr="00573C0F">
        <w:t>Ze</w:t>
      </w:r>
      <w:r w:rsidR="000F6DBB" w:rsidRPr="00573C0F">
        <w:t xml:space="preserve"> hebben </w:t>
      </w:r>
      <w:r w:rsidR="006A1D7E" w:rsidRPr="00573C0F">
        <w:t>een vetorecht tegen de adoptie.</w:t>
      </w:r>
      <w:r w:rsidR="006A1D7E" w:rsidRPr="00573C0F">
        <w:rPr>
          <w:rStyle w:val="FootnoteReference"/>
        </w:rPr>
        <w:footnoteReference w:id="56"/>
      </w:r>
      <w:r w:rsidR="006A1D7E" w:rsidRPr="00573C0F">
        <w:t xml:space="preserve"> Het gaat om een gemoduleerd vetorecht, geen absoluut vetorecht.</w:t>
      </w:r>
      <w:r w:rsidR="006A1D7E" w:rsidRPr="00573C0F">
        <w:rPr>
          <w:rStyle w:val="FootnoteReference"/>
        </w:rPr>
        <w:footnoteReference w:id="57"/>
      </w:r>
      <w:r w:rsidR="006A1D7E" w:rsidRPr="00573C0F">
        <w:t xml:space="preserve"> De rechter </w:t>
      </w:r>
      <w:r w:rsidR="00EB41A5" w:rsidRPr="00573C0F">
        <w:t xml:space="preserve">kan </w:t>
      </w:r>
      <w:r w:rsidR="006A1D7E" w:rsidRPr="00573C0F">
        <w:t>in bepaalde omstandigheden de weigering</w:t>
      </w:r>
      <w:r w:rsidR="00E91F08" w:rsidRPr="00573C0F">
        <w:t xml:space="preserve"> van toestemming</w:t>
      </w:r>
      <w:r w:rsidR="00535C26" w:rsidRPr="00573C0F">
        <w:t xml:space="preserve"> van de ouders naast zich neerl</w:t>
      </w:r>
      <w:r w:rsidR="006A1D7E" w:rsidRPr="00573C0F">
        <w:t>eggen.</w:t>
      </w:r>
      <w:r w:rsidR="006A1D7E" w:rsidRPr="00573C0F">
        <w:rPr>
          <w:rStyle w:val="FootnoteReference"/>
        </w:rPr>
        <w:footnoteReference w:id="58"/>
      </w:r>
      <w:r w:rsidR="006A1D7E" w:rsidRPr="00573C0F">
        <w:t xml:space="preserve"> De rechter kan de </w:t>
      </w:r>
      <w:r w:rsidR="00535C26" w:rsidRPr="00573C0F">
        <w:t xml:space="preserve">adoptie </w:t>
      </w:r>
      <w:r w:rsidR="006A1D7E" w:rsidRPr="00573C0F">
        <w:t>bij weigering van toestemming van de juridische ouders toch uitspreken na een grondig maatschappelijk onderzoek</w:t>
      </w:r>
      <w:r w:rsidR="00535C26" w:rsidRPr="00573C0F">
        <w:t>.</w:t>
      </w:r>
      <w:r w:rsidR="00535C26" w:rsidRPr="00573C0F">
        <w:rPr>
          <w:rStyle w:val="FootnoteReference"/>
        </w:rPr>
        <w:footnoteReference w:id="59"/>
      </w:r>
      <w:r w:rsidR="00535C26" w:rsidRPr="00573C0F">
        <w:t xml:space="preserve"> Uit dit maatschappelijk </w:t>
      </w:r>
      <w:r w:rsidR="00535C26" w:rsidRPr="00573C0F">
        <w:lastRenderedPageBreak/>
        <w:t xml:space="preserve">onderzoek </w:t>
      </w:r>
      <w:r w:rsidR="006A1D7E" w:rsidRPr="00573C0F">
        <w:t>blijkt dat de weigerende persoon zich niet om het kind heeft bekommerd of de veiligheid of zedelijkheid van het kind in gevaar heeft gebracht.</w:t>
      </w:r>
      <w:r w:rsidR="006A1D7E" w:rsidRPr="00573C0F">
        <w:rPr>
          <w:rStyle w:val="FootnoteReference"/>
        </w:rPr>
        <w:footnoteReference w:id="60"/>
      </w:r>
      <w:r w:rsidR="006A1D7E" w:rsidRPr="00573C0F">
        <w:t xml:space="preserve"> </w:t>
      </w:r>
    </w:p>
    <w:p w:rsidR="006A1D7E" w:rsidRDefault="006A1D7E" w:rsidP="00746471">
      <w:pPr>
        <w:pStyle w:val="Heading8"/>
        <w:numPr>
          <w:ilvl w:val="7"/>
          <w:numId w:val="6"/>
        </w:numPr>
        <w:spacing w:line="360" w:lineRule="auto"/>
        <w:jc w:val="both"/>
      </w:pPr>
      <w:bookmarkStart w:id="26" w:name="_Toc449936711"/>
      <w:r>
        <w:t>Uitholling van het vetorecht door het Grondwettelijk Hof</w:t>
      </w:r>
      <w:bookmarkEnd w:id="26"/>
    </w:p>
    <w:p w:rsidR="006A1D7E" w:rsidRPr="00573C0F" w:rsidRDefault="00E87D3E" w:rsidP="009A462F">
      <w:pPr>
        <w:pStyle w:val="Randnummer"/>
        <w:spacing w:line="360" w:lineRule="auto"/>
        <w:ind w:left="0" w:firstLine="0"/>
      </w:pPr>
      <w:r w:rsidRPr="00573C0F">
        <w:rPr>
          <w:b/>
          <w:bCs/>
        </w:rPr>
        <w:fldChar w:fldCharType="begin"/>
      </w:r>
      <w:r w:rsidR="009A462F" w:rsidRPr="00573C0F">
        <w:rPr>
          <w:b/>
          <w:bCs/>
        </w:rPr>
        <w:instrText xml:space="preserve"> AUTONUMLGL  </w:instrText>
      </w:r>
      <w:r w:rsidRPr="00573C0F">
        <w:rPr>
          <w:b/>
          <w:bCs/>
        </w:rPr>
        <w:fldChar w:fldCharType="end"/>
      </w:r>
      <w:r w:rsidR="009A462F" w:rsidRPr="00573C0F">
        <w:rPr>
          <w:b/>
          <w:bCs/>
        </w:rPr>
        <w:t xml:space="preserve"> </w:t>
      </w:r>
      <w:r w:rsidR="006A1D7E" w:rsidRPr="00573C0F">
        <w:t>Het vetorecht van de juridische ouders is door twee recente arresten van het Grondwettelijk Hof verder uitgehold. In het arrest nr. 93/2012 heeft het Grondwettelijk Hof beslist dat de artikelen 348-3 en 348-11 BW. een schending van artikelen 10, 11, 22 en 22</w:t>
      </w:r>
      <w:r w:rsidR="006A1D7E" w:rsidRPr="00573C0F">
        <w:rPr>
          <w:i/>
          <w:iCs/>
        </w:rPr>
        <w:t xml:space="preserve">bis </w:t>
      </w:r>
      <w:r w:rsidR="006A1D7E" w:rsidRPr="00573C0F">
        <w:t>GW. inhouden, in zoverre de rechter slechts in beperkte omstandigheden de weigering van toestemming voor volle adoptie van de juridische moeder naast zich neer kan leggen en dus aan de rechter geen mogelijkheid laat om rekening te houden met het belang van het kind om het onverantwoorde karakter van de weigering te beoordelen.</w:t>
      </w:r>
      <w:r w:rsidR="006A1D7E" w:rsidRPr="00573C0F">
        <w:rPr>
          <w:rStyle w:val="FootnoteReference"/>
        </w:rPr>
        <w:footnoteReference w:id="61"/>
      </w:r>
      <w:r w:rsidR="00535C26" w:rsidRPr="00573C0F">
        <w:t xml:space="preserve"> </w:t>
      </w:r>
      <w:r w:rsidR="006A1D7E" w:rsidRPr="00573C0F">
        <w:t>In het arrest nr. 94/2015 heeft het Grondwettelijk Hof beslist dat ook ingeval van weigering van toestemming door de juridische moeder tot gewone adoptie, de beperkte omstandigheden die de rechter toelaten de weigering naast zich neer te leggen een schending van de artikelen 22 en 22</w:t>
      </w:r>
      <w:r w:rsidR="006A1D7E" w:rsidRPr="00573C0F">
        <w:rPr>
          <w:i/>
          <w:iCs/>
        </w:rPr>
        <w:t xml:space="preserve">bis </w:t>
      </w:r>
      <w:r w:rsidR="006A1D7E" w:rsidRPr="00573C0F">
        <w:t>GW. inhouden.</w:t>
      </w:r>
      <w:r w:rsidR="006A1D7E" w:rsidRPr="00573C0F">
        <w:rPr>
          <w:rStyle w:val="FootnoteReference"/>
        </w:rPr>
        <w:footnoteReference w:id="62"/>
      </w:r>
    </w:p>
    <w:p w:rsidR="006A1D7E" w:rsidRPr="00573C0F" w:rsidRDefault="00E87D3E" w:rsidP="009A462F">
      <w:pPr>
        <w:pStyle w:val="Randnummer"/>
        <w:spacing w:line="360" w:lineRule="auto"/>
        <w:ind w:left="0" w:firstLine="0"/>
      </w:pPr>
      <w:r w:rsidRPr="00573C0F">
        <w:rPr>
          <w:b/>
          <w:bCs/>
        </w:rPr>
        <w:fldChar w:fldCharType="begin"/>
      </w:r>
      <w:r w:rsidR="009A462F" w:rsidRPr="00573C0F">
        <w:rPr>
          <w:b/>
          <w:bCs/>
        </w:rPr>
        <w:instrText xml:space="preserve"> AUTONUMLGL  </w:instrText>
      </w:r>
      <w:r w:rsidRPr="00573C0F">
        <w:rPr>
          <w:b/>
          <w:bCs/>
        </w:rPr>
        <w:fldChar w:fldCharType="end"/>
      </w:r>
      <w:r w:rsidR="009A462F" w:rsidRPr="00573C0F">
        <w:rPr>
          <w:b/>
          <w:bCs/>
        </w:rPr>
        <w:t xml:space="preserve"> </w:t>
      </w:r>
      <w:r w:rsidR="006A1D7E" w:rsidRPr="00573C0F">
        <w:t>In beide gevallen gaat het over e</w:t>
      </w:r>
      <w:r w:rsidR="00535C26" w:rsidRPr="00573C0F">
        <w:t>e</w:t>
      </w:r>
      <w:r w:rsidR="006A1D7E" w:rsidRPr="00573C0F">
        <w:t xml:space="preserve">n lesbisch koppel dat een mee-ouderschapsproject heeft opgestart. Als gevolg van dit mee-ouderschapsproject zet een van de twee vrouwen een kind op de wereld door middel van medisch begeleide voortplanting. De partner van de “geboortemoeder” heeft haar toestemming gegeven </w:t>
      </w:r>
      <w:r w:rsidR="00535C26" w:rsidRPr="00573C0F">
        <w:t>voor</w:t>
      </w:r>
      <w:r w:rsidR="006A1D7E" w:rsidRPr="00573C0F">
        <w:t xml:space="preserve"> de medisch begeleide voortplanting. Beide vrouwen hebben het kind samen opgevoed. Tussen</w:t>
      </w:r>
      <w:r w:rsidR="00535C26" w:rsidRPr="00573C0F">
        <w:t xml:space="preserve"> het kind en de adoptant bestaat</w:t>
      </w:r>
      <w:r w:rsidR="006A1D7E" w:rsidRPr="00573C0F">
        <w:t xml:space="preserve"> een daadwerkelijke familiale band. In beide gevallen </w:t>
      </w:r>
      <w:r w:rsidR="00EB41A5" w:rsidRPr="00573C0F">
        <w:t>komt een einde aan</w:t>
      </w:r>
      <w:r w:rsidR="006A1D7E" w:rsidRPr="00573C0F">
        <w:t xml:space="preserve"> de relatie t</w:t>
      </w:r>
      <w:r w:rsidR="00EB41A5" w:rsidRPr="00573C0F">
        <w:t xml:space="preserve">ussen de twee vrouwen </w:t>
      </w:r>
      <w:r w:rsidR="006A1D7E" w:rsidRPr="00573C0F">
        <w:t xml:space="preserve">en weigert de oorspronkelijke moeder haar toestemming te geven </w:t>
      </w:r>
      <w:r w:rsidR="00535C26" w:rsidRPr="00573C0F">
        <w:t>voor</w:t>
      </w:r>
      <w:r w:rsidR="006A1D7E" w:rsidRPr="00573C0F">
        <w:t xml:space="preserve"> de</w:t>
      </w:r>
      <w:r w:rsidR="00C946BF" w:rsidRPr="00573C0F">
        <w:t xml:space="preserve"> volle</w:t>
      </w:r>
      <w:r w:rsidR="006A1D7E" w:rsidRPr="00573C0F">
        <w:t xml:space="preserve"> respectievelijk </w:t>
      </w:r>
      <w:r w:rsidR="00C946BF" w:rsidRPr="00573C0F">
        <w:t>gewone</w:t>
      </w:r>
      <w:r w:rsidR="006A1D7E" w:rsidRPr="00573C0F">
        <w:t xml:space="preserve"> adoptie van het kind door haar ex-partner.</w:t>
      </w:r>
      <w:r w:rsidR="006A1D7E" w:rsidRPr="00573C0F">
        <w:rPr>
          <w:rStyle w:val="FootnoteReference"/>
        </w:rPr>
        <w:footnoteReference w:id="63"/>
      </w:r>
    </w:p>
    <w:p w:rsidR="006A1D7E" w:rsidRPr="00573C0F" w:rsidRDefault="00E87D3E" w:rsidP="009A462F">
      <w:pPr>
        <w:pStyle w:val="Randnummer"/>
        <w:spacing w:line="360" w:lineRule="auto"/>
        <w:ind w:left="0" w:firstLine="0"/>
      </w:pPr>
      <w:r w:rsidRPr="00573C0F">
        <w:rPr>
          <w:b/>
          <w:bCs/>
        </w:rPr>
        <w:fldChar w:fldCharType="begin"/>
      </w:r>
      <w:r w:rsidR="009A462F" w:rsidRPr="00573C0F">
        <w:rPr>
          <w:b/>
          <w:bCs/>
        </w:rPr>
        <w:instrText xml:space="preserve"> AUTONUMLGL  </w:instrText>
      </w:r>
      <w:r w:rsidRPr="00573C0F">
        <w:rPr>
          <w:b/>
          <w:bCs/>
        </w:rPr>
        <w:fldChar w:fldCharType="end"/>
      </w:r>
      <w:r w:rsidR="009A462F" w:rsidRPr="00573C0F">
        <w:rPr>
          <w:b/>
          <w:bCs/>
        </w:rPr>
        <w:t xml:space="preserve"> </w:t>
      </w:r>
      <w:r w:rsidR="006A1D7E" w:rsidRPr="00573C0F">
        <w:t>In de arresten nr. 93/2012 en nr. 94/2015 heeft het Grondwettelijk Hof beslist dat de artikelen 348-3 en 348-11 BW. een schending inhouden van de artikelen 10, 11, 22 en 22</w:t>
      </w:r>
      <w:r w:rsidR="006A1D7E" w:rsidRPr="00573C0F">
        <w:rPr>
          <w:i/>
          <w:iCs/>
        </w:rPr>
        <w:t>bis</w:t>
      </w:r>
      <w:r w:rsidR="006A1D7E" w:rsidRPr="00573C0F">
        <w:t xml:space="preserve"> GW. respectievelijk van de artikelen 22 en 22</w:t>
      </w:r>
      <w:r w:rsidR="006A1D7E" w:rsidRPr="00573C0F">
        <w:rPr>
          <w:i/>
          <w:iCs/>
        </w:rPr>
        <w:t>bis</w:t>
      </w:r>
      <w:r w:rsidR="006A1D7E" w:rsidRPr="00573C0F">
        <w:t xml:space="preserve"> GW. Het Grondwettelijk Hof oordeelt dat het </w:t>
      </w:r>
      <w:r w:rsidR="00C946BF" w:rsidRPr="00573C0F">
        <w:t xml:space="preserve">mogelijke </w:t>
      </w:r>
      <w:r w:rsidR="006A1D7E" w:rsidRPr="00573C0F">
        <w:t xml:space="preserve">belang van het kind om het voordeel van een dubbele </w:t>
      </w:r>
      <w:r w:rsidR="00C946BF" w:rsidRPr="00573C0F">
        <w:t xml:space="preserve">juridische </w:t>
      </w:r>
      <w:r w:rsidR="006A1D7E" w:rsidRPr="00573C0F">
        <w:lastRenderedPageBreak/>
        <w:t>afstammingsband te genieten, het in beginsel haalt op het recht van de moeder om te weigeren in de toestemming tot adoptie.</w:t>
      </w:r>
      <w:r w:rsidR="006A1D7E" w:rsidRPr="00573C0F">
        <w:rPr>
          <w:rStyle w:val="FootnoteReference"/>
        </w:rPr>
        <w:footnoteReference w:id="64"/>
      </w:r>
      <w:r w:rsidR="006A1D7E" w:rsidRPr="00573C0F">
        <w:t xml:space="preserve"> </w:t>
      </w:r>
    </w:p>
    <w:p w:rsidR="006A1D7E" w:rsidRPr="00573C0F" w:rsidRDefault="00C946BF" w:rsidP="009A462F">
      <w:pPr>
        <w:pStyle w:val="Randnummer"/>
        <w:spacing w:line="360" w:lineRule="auto"/>
        <w:ind w:left="0" w:firstLine="0"/>
      </w:pPr>
      <w:r w:rsidRPr="00573C0F">
        <w:t xml:space="preserve">Zowel ingeval van volle </w:t>
      </w:r>
      <w:r w:rsidR="006A1D7E" w:rsidRPr="00573C0F">
        <w:t>adop</w:t>
      </w:r>
      <w:r w:rsidRPr="00573C0F">
        <w:t>tie als in geval van gewone</w:t>
      </w:r>
      <w:r w:rsidR="006A1D7E" w:rsidRPr="00573C0F">
        <w:t xml:space="preserve"> stiefouder- of partneradoptie</w:t>
      </w:r>
      <w:r w:rsidR="00C009DA" w:rsidRPr="00573C0F">
        <w:t>, blijft het kind behoren tot zijn</w:t>
      </w:r>
      <w:r w:rsidR="006A1D7E" w:rsidRPr="00573C0F">
        <w:t xml:space="preserve"> oorspronkelijke familie.</w:t>
      </w:r>
      <w:r w:rsidR="006A1D7E" w:rsidRPr="00573C0F">
        <w:rPr>
          <w:rStyle w:val="FootnoteReference"/>
        </w:rPr>
        <w:footnoteReference w:id="65"/>
      </w:r>
      <w:r w:rsidR="006A1D7E" w:rsidRPr="00573C0F">
        <w:t xml:space="preserve"> </w:t>
      </w:r>
      <w:r w:rsidRPr="00573C0F">
        <w:t>Het Grondwettelijk Hof stelt dat d</w:t>
      </w:r>
      <w:r w:rsidR="006A1D7E" w:rsidRPr="00573C0F">
        <w:t>e</w:t>
      </w:r>
      <w:r w:rsidRPr="00573C0F">
        <w:t xml:space="preserve"> maatregel die voorziet dat de volle respectievelijk gewone</w:t>
      </w:r>
      <w:r w:rsidR="006A1D7E" w:rsidRPr="00573C0F">
        <w:t xml:space="preserve"> adoptie door de ex-partner van de juridische moeder niet kan doorgaan bij gebrek aan toestemming van de juridische moeder, behalve indien de moeder zich niet meer om het kind heeft bekommerd of de gezondheid, veiligheid of de zedelijkheid van het kind in gevaar heeft gebracht, en die aan de rechter geen enkele mogelijkheid laat om rekening te houden met het belang van het kind om in voorkomend geval het onverantwoorde karakter van de weigering t</w:t>
      </w:r>
      <w:r w:rsidRPr="00573C0F">
        <w:t xml:space="preserve">ot toestemming te beoordelen, </w:t>
      </w:r>
      <w:r w:rsidR="006A1D7E" w:rsidRPr="00573C0F">
        <w:t xml:space="preserve">niet redelijk verantwoord </w:t>
      </w:r>
      <w:r w:rsidRPr="00573C0F">
        <w:t>is en</w:t>
      </w:r>
      <w:r w:rsidR="006A1D7E" w:rsidRPr="00573C0F">
        <w:t xml:space="preserve"> de artikelen</w:t>
      </w:r>
      <w:r w:rsidR="00C009DA" w:rsidRPr="00573C0F">
        <w:t xml:space="preserve"> 10, 11, 22 en 22</w:t>
      </w:r>
      <w:r w:rsidR="00C009DA" w:rsidRPr="00573C0F">
        <w:rPr>
          <w:i/>
          <w:iCs/>
        </w:rPr>
        <w:t>bis</w:t>
      </w:r>
      <w:r w:rsidR="00C009DA" w:rsidRPr="00573C0F">
        <w:t xml:space="preserve"> GW </w:t>
      </w:r>
      <w:r w:rsidR="006A1D7E" w:rsidRPr="00573C0F">
        <w:t>respectievelijk de artikelen</w:t>
      </w:r>
      <w:r w:rsidR="00C009DA" w:rsidRPr="00573C0F">
        <w:t xml:space="preserve"> 22 en 22</w:t>
      </w:r>
      <w:r w:rsidR="00C009DA" w:rsidRPr="00573C0F">
        <w:rPr>
          <w:i/>
          <w:iCs/>
        </w:rPr>
        <w:t>bis</w:t>
      </w:r>
      <w:r w:rsidR="00C009DA" w:rsidRPr="00573C0F">
        <w:t xml:space="preserve"> </w:t>
      </w:r>
      <w:r w:rsidR="006A1D7E" w:rsidRPr="00573C0F">
        <w:t>de Grondwet</w:t>
      </w:r>
      <w:r w:rsidRPr="00573C0F">
        <w:t xml:space="preserve"> schendt</w:t>
      </w:r>
      <w:r w:rsidR="006A1D7E" w:rsidRPr="00573C0F">
        <w:t>.</w:t>
      </w:r>
      <w:r w:rsidR="006A1D7E" w:rsidRPr="00573C0F">
        <w:rPr>
          <w:rStyle w:val="FootnoteReference"/>
        </w:rPr>
        <w:footnoteReference w:id="66"/>
      </w:r>
      <w:r w:rsidR="006A1D7E" w:rsidRPr="00573C0F">
        <w:t xml:space="preserve"> </w:t>
      </w:r>
    </w:p>
    <w:p w:rsidR="006A1D7E" w:rsidRPr="00573C0F" w:rsidRDefault="006A1D7E" w:rsidP="009A462F">
      <w:pPr>
        <w:pStyle w:val="Randnummer"/>
        <w:spacing w:line="360" w:lineRule="auto"/>
        <w:ind w:left="0" w:firstLine="0"/>
      </w:pPr>
      <w:r w:rsidRPr="00573C0F">
        <w:t xml:space="preserve">Deze arresten tonen </w:t>
      </w:r>
      <w:r w:rsidR="00573C0F" w:rsidRPr="00573C0F">
        <w:t xml:space="preserve">aan </w:t>
      </w:r>
      <w:r w:rsidRPr="00573C0F">
        <w:t>dat de omstandigheden verme</w:t>
      </w:r>
      <w:r w:rsidRPr="00590A60">
        <w:t>ld</w:t>
      </w:r>
      <w:r w:rsidR="00573C0F" w:rsidRPr="00573C0F">
        <w:t xml:space="preserve"> in artikel 348-11 BW.</w:t>
      </w:r>
      <w:r w:rsidRPr="00573C0F">
        <w:t xml:space="preserve"> waarmee de rechter rekening kan houden om de adoptie in geval van weigering van toestemming toch uit te spreken, in welbepaalde omstandigheden te beperkt zijn.</w:t>
      </w:r>
      <w:r w:rsidRPr="00573C0F">
        <w:rPr>
          <w:rStyle w:val="FootnoteReference"/>
        </w:rPr>
        <w:footnoteReference w:id="67"/>
      </w:r>
    </w:p>
    <w:p w:rsidR="006A1D7E" w:rsidRPr="00573C0F" w:rsidRDefault="00E87D3E" w:rsidP="009A462F">
      <w:pPr>
        <w:pStyle w:val="Randnummer"/>
        <w:spacing w:line="360" w:lineRule="auto"/>
        <w:ind w:left="0" w:firstLine="0"/>
      </w:pPr>
      <w:r w:rsidRPr="00573C0F">
        <w:rPr>
          <w:b/>
          <w:bCs/>
        </w:rPr>
        <w:fldChar w:fldCharType="begin"/>
      </w:r>
      <w:r w:rsidR="009A462F" w:rsidRPr="00573C0F">
        <w:rPr>
          <w:b/>
          <w:bCs/>
        </w:rPr>
        <w:instrText xml:space="preserve"> AUTONUMLGL  </w:instrText>
      </w:r>
      <w:r w:rsidRPr="00573C0F">
        <w:rPr>
          <w:b/>
          <w:bCs/>
        </w:rPr>
        <w:fldChar w:fldCharType="end"/>
      </w:r>
      <w:r w:rsidR="009A462F" w:rsidRPr="00573C0F">
        <w:rPr>
          <w:b/>
          <w:bCs/>
        </w:rPr>
        <w:t xml:space="preserve"> </w:t>
      </w:r>
      <w:r w:rsidR="00535C26" w:rsidRPr="00573C0F">
        <w:t>Recent is</w:t>
      </w:r>
      <w:r w:rsidR="006A1D7E" w:rsidRPr="00573C0F">
        <w:t xml:space="preserve"> een wetsvoorstel ingediend tot wijziging van artikel 348-11 van het Burgerlijk Wetboek, aangaande de weigering door de moeder of de vader om toe te stemmen in de adoptie.</w:t>
      </w:r>
      <w:r w:rsidR="006A1D7E" w:rsidRPr="00573C0F">
        <w:rPr>
          <w:rStyle w:val="FootnoteReference"/>
        </w:rPr>
        <w:footnoteReference w:id="68"/>
      </w:r>
      <w:r w:rsidR="006A1D7E" w:rsidRPr="00573C0F">
        <w:t xml:space="preserve"> Het wetsvoorstel is ingediend door </w:t>
      </w:r>
      <w:r w:rsidR="00C61702" w:rsidRPr="00573C0F">
        <w:t>mevrouw</w:t>
      </w:r>
      <w:r w:rsidR="006A1D7E" w:rsidRPr="00573C0F">
        <w:t xml:space="preserve"> G</w:t>
      </w:r>
      <w:r w:rsidR="00C61702" w:rsidRPr="00573C0F">
        <w:t>ERKENS en de heer</w:t>
      </w:r>
      <w:r w:rsidR="00535C26" w:rsidRPr="00573C0F">
        <w:t xml:space="preserve"> V</w:t>
      </w:r>
      <w:r w:rsidR="00C61702" w:rsidRPr="00573C0F">
        <w:t>AN</w:t>
      </w:r>
      <w:r w:rsidR="00535C26" w:rsidRPr="00573C0F">
        <w:t xml:space="preserve"> H</w:t>
      </w:r>
      <w:r w:rsidR="00C61702" w:rsidRPr="00573C0F">
        <w:t>ECKE</w:t>
      </w:r>
      <w:r w:rsidR="00535C26" w:rsidRPr="00573C0F">
        <w:t>. Zij zijn voorstander</w:t>
      </w:r>
      <w:r w:rsidR="006A1D7E" w:rsidRPr="00573C0F">
        <w:t xml:space="preserve"> om aan artikel 348-11 BW. een derde lid toe te voegen. Dit derde lid is een </w:t>
      </w:r>
      <w:r w:rsidR="009A462F" w:rsidRPr="00573C0F">
        <w:t xml:space="preserve">uitzondering op het feit dat de </w:t>
      </w:r>
      <w:r w:rsidR="006A1D7E" w:rsidRPr="00573C0F">
        <w:t xml:space="preserve">rechter de weigering van de juridische ouders slechts onder beperkte voorwaarden naast zich neer kan leggen. Indien de adoptie niet tot gevolg heeft dat de afstammingsband tussen de moeder of de vader en het kind verbroken wordt, beschikt de </w:t>
      </w:r>
      <w:r w:rsidR="006A1D7E" w:rsidRPr="00573C0F">
        <w:lastRenderedPageBreak/>
        <w:t>rechter over een beoordelingsbevoegdheid om na te gaan of de weigering van de moeder of vader om in te stemmen met de adoptie, ingaat tegen het hoger belang van het kind.</w:t>
      </w:r>
      <w:r w:rsidR="006A1D7E" w:rsidRPr="00573C0F">
        <w:rPr>
          <w:rStyle w:val="FootnoteReference"/>
        </w:rPr>
        <w:footnoteReference w:id="69"/>
      </w:r>
    </w:p>
    <w:p w:rsidR="000C0BD2" w:rsidRDefault="000C0BD2" w:rsidP="00746471">
      <w:pPr>
        <w:pStyle w:val="Heading4"/>
        <w:numPr>
          <w:ilvl w:val="3"/>
          <w:numId w:val="6"/>
        </w:numPr>
        <w:spacing w:line="360" w:lineRule="auto"/>
        <w:jc w:val="both"/>
      </w:pPr>
      <w:bookmarkStart w:id="27" w:name="_Toc449936712"/>
      <w:r>
        <w:t>Rechtsgevolgen</w:t>
      </w:r>
      <w:bookmarkEnd w:id="27"/>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 xml:space="preserve">Het juridisch ouderschap brengt verschillende </w:t>
      </w:r>
      <w:r w:rsidR="00B37FC9" w:rsidRPr="00573C0F">
        <w:t>rechts</w:t>
      </w:r>
      <w:r w:rsidR="000C0BD2" w:rsidRPr="00573C0F">
        <w:t>gevolgen met zich mee. Deze rechtsgevol</w:t>
      </w:r>
      <w:r w:rsidR="00573C0F" w:rsidRPr="00573C0F">
        <w:t>gen ontstaan zowel bij</w:t>
      </w:r>
      <w:r w:rsidR="000C0BD2" w:rsidRPr="00573C0F">
        <w:t xml:space="preserve"> oorspronke</w:t>
      </w:r>
      <w:r w:rsidR="00573C0F" w:rsidRPr="00573C0F">
        <w:t xml:space="preserve">lijke afstamming als bij </w:t>
      </w:r>
      <w:r w:rsidR="000C0BD2" w:rsidRPr="00573C0F">
        <w:t>adoptieve afstamming.</w:t>
      </w:r>
      <w:r w:rsidR="000C0BD2" w:rsidRPr="00573C0F">
        <w:rPr>
          <w:rStyle w:val="FootnoteReference"/>
        </w:rPr>
        <w:footnoteReference w:id="70"/>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Zowel in</w:t>
      </w:r>
      <w:r w:rsidR="00573C0F" w:rsidRPr="00573C0F">
        <w:t>geval van oorspronkelijke a</w:t>
      </w:r>
      <w:r w:rsidR="000C0BD2" w:rsidRPr="00573C0F">
        <w:t>l</w:t>
      </w:r>
      <w:r w:rsidR="00573C0F" w:rsidRPr="00573C0F">
        <w:t>s</w:t>
      </w:r>
      <w:r w:rsidR="000C0BD2" w:rsidRPr="00573C0F">
        <w:t xml:space="preserve"> adoptieve afstamming</w:t>
      </w:r>
      <w:r w:rsidR="00FA4347" w:rsidRPr="00573C0F">
        <w:t>,</w:t>
      </w:r>
      <w:r w:rsidR="000C0BD2" w:rsidRPr="00573C0F">
        <w:t xml:space="preserve"> draagt het kind de achternaam van zijn juridische vader of moeder.</w:t>
      </w:r>
      <w:r w:rsidR="000C0BD2" w:rsidRPr="00573C0F">
        <w:rPr>
          <w:rStyle w:val="FootnoteReference"/>
        </w:rPr>
        <w:footnoteReference w:id="71"/>
      </w:r>
      <w:r w:rsidR="000C0BD2" w:rsidRPr="00573C0F">
        <w:t xml:space="preserve"> Artikel 353-1, lid 2 BW. bepaalt dat ingeval van gewone adoptie de partijen aan de rechtbank kunnen verzoeken dat het geadopteerde kind zijn oorspronkelijke naam behoudt, gevolgd of voorafgega</w:t>
      </w:r>
      <w:r w:rsidR="00B37FC9" w:rsidRPr="00573C0F">
        <w:t>an door de naam van de adoptant. Indien het gaat om een</w:t>
      </w:r>
      <w:r w:rsidR="000C0BD2" w:rsidRPr="00573C0F">
        <w:t xml:space="preserve"> gelijktijdige adoptie door twee echtgenoten o</w:t>
      </w:r>
      <w:r w:rsidR="0080212F" w:rsidRPr="00573C0F">
        <w:t xml:space="preserve">f samenwonenden, </w:t>
      </w:r>
      <w:r w:rsidR="00B37FC9" w:rsidRPr="00573C0F">
        <w:t xml:space="preserve">kunnen de partijen aan de rechtbank verzoeken dat het geadopteerde kind zijn naam behoudt, gevolgd of voorafgegaan door </w:t>
      </w:r>
      <w:r w:rsidR="0080212F" w:rsidRPr="00573C0F">
        <w:t>de naam van één</w:t>
      </w:r>
      <w:r w:rsidR="000C0BD2" w:rsidRPr="00573C0F">
        <w:t xml:space="preserve"> van de adoptanten.</w:t>
      </w:r>
      <w:r w:rsidR="00B37FC9" w:rsidRPr="00573C0F">
        <w:rPr>
          <w:rStyle w:val="FootnoteReference"/>
        </w:rPr>
        <w:footnoteReference w:id="72"/>
      </w:r>
      <w:r w:rsidR="000C0BD2" w:rsidRPr="00573C0F">
        <w:t xml:space="preserve"> </w:t>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Het kind is wettelijke erfgenaam van zijn juridische ouders.</w:t>
      </w:r>
      <w:r w:rsidR="000C0BD2" w:rsidRPr="00573C0F">
        <w:rPr>
          <w:rStyle w:val="FootnoteReference"/>
        </w:rPr>
        <w:footnoteReference w:id="73"/>
      </w:r>
      <w:r w:rsidR="0080212F" w:rsidRPr="00573C0F">
        <w:t xml:space="preserve"> Zoals reeds vermeld</w:t>
      </w:r>
      <w:r w:rsidR="00E7561F" w:rsidRPr="00573C0F">
        <w:t>,</w:t>
      </w:r>
      <w:r w:rsidR="0080212F" w:rsidRPr="00573C0F">
        <w:t xml:space="preserve"> blijft de</w:t>
      </w:r>
      <w:r w:rsidR="000C0BD2" w:rsidRPr="00573C0F">
        <w:t xml:space="preserve"> verwantschapsband met de oorspronkelijke familie van het geadopteerde kind </w:t>
      </w:r>
      <w:r w:rsidR="0080212F" w:rsidRPr="00573C0F">
        <w:t>behouden bij gewone adoptie</w:t>
      </w:r>
      <w:r w:rsidR="000C0BD2" w:rsidRPr="00573C0F">
        <w:t>.</w:t>
      </w:r>
      <w:r w:rsidR="000C0BD2" w:rsidRPr="00573C0F">
        <w:rPr>
          <w:rStyle w:val="FootnoteReference"/>
        </w:rPr>
        <w:footnoteReference w:id="74"/>
      </w:r>
      <w:r w:rsidR="000C0BD2" w:rsidRPr="00573C0F">
        <w:t xml:space="preserve"> Er is alleen in de verhouding adoptant - adoptiekind een volledige gelijkschakeling met de oorspronkelijke afstamming.</w:t>
      </w:r>
      <w:r w:rsidR="000C0BD2" w:rsidRPr="00573C0F">
        <w:rPr>
          <w:rStyle w:val="FootnoteReference"/>
        </w:rPr>
        <w:footnoteReference w:id="75"/>
      </w:r>
      <w:r w:rsidR="000C0BD2" w:rsidRPr="00573C0F">
        <w:t xml:space="preserve"> Dit zorgt ervoor dat het kind kan erven van de oorspronkelijke familie en daarnaast erfrechtelijke aanspraken heeft ten aanzien van de adoptant, maar niet ten aanzien van de bloedverwanten van de adoptant.</w:t>
      </w:r>
      <w:r w:rsidR="000C0BD2" w:rsidRPr="00573C0F">
        <w:rPr>
          <w:rStyle w:val="FootnoteReference"/>
        </w:rPr>
        <w:footnoteReference w:id="76"/>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De juridische ouders zijn bovendien aansprakelijk voor onrechtmatige daden die hun minderjarige kinderen begaan.</w:t>
      </w:r>
      <w:r w:rsidR="008B1AB8" w:rsidRPr="00573C0F">
        <w:rPr>
          <w:rStyle w:val="FootnoteReference"/>
        </w:rPr>
        <w:footnoteReference w:id="77"/>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Een belangrijk gevolg is dat de juridische ouders het ouderlijk gezag hebben over hun kinderen. Dit wordt in de volgende afdeling besproken.</w:t>
      </w:r>
    </w:p>
    <w:p w:rsidR="000C0BD2" w:rsidRPr="001D17B4" w:rsidRDefault="000C0BD2" w:rsidP="00746471">
      <w:pPr>
        <w:pStyle w:val="Heading3"/>
        <w:numPr>
          <w:ilvl w:val="2"/>
          <w:numId w:val="6"/>
        </w:numPr>
        <w:spacing w:line="360" w:lineRule="auto"/>
        <w:jc w:val="both"/>
      </w:pPr>
      <w:bookmarkStart w:id="28" w:name="_Toc449936713"/>
      <w:r>
        <w:lastRenderedPageBreak/>
        <w:t>Ouderlijk gezag</w:t>
      </w:r>
      <w:bookmarkEnd w:id="28"/>
    </w:p>
    <w:p w:rsidR="000C0BD2" w:rsidRDefault="000C0BD2" w:rsidP="00746471">
      <w:pPr>
        <w:pStyle w:val="Heading4"/>
        <w:numPr>
          <w:ilvl w:val="3"/>
          <w:numId w:val="6"/>
        </w:numPr>
        <w:spacing w:line="360" w:lineRule="auto"/>
        <w:jc w:val="both"/>
      </w:pPr>
      <w:bookmarkStart w:id="29" w:name="_Toc449936714"/>
      <w:r>
        <w:t>Duiding begrip</w:t>
      </w:r>
      <w:bookmarkEnd w:id="29"/>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 xml:space="preserve">Het Grondwettelijk Hof omschrijft het ouderlijk gezag als volgt: </w:t>
      </w:r>
    </w:p>
    <w:p w:rsidR="000C0BD2" w:rsidRPr="00573C0F" w:rsidRDefault="000C0BD2" w:rsidP="007B14CD">
      <w:pPr>
        <w:pStyle w:val="Randnummer"/>
        <w:spacing w:line="360" w:lineRule="auto"/>
        <w:ind w:left="0" w:firstLine="0"/>
      </w:pPr>
      <w:r w:rsidRPr="00573C0F">
        <w:rPr>
          <w:i/>
          <w:iCs/>
        </w:rPr>
        <w:t>“Het zogenaamde ouderlijk gezag is een instituut dat in de eerste plaats bescherming beoogt te verlenen aan het minderjarige kind, dat vanwege zijn kwetsbaarheid en zijn fysieke en mentale onrijpheid, specifieke zorg dient te krijgen en een bijzondere zorg moet genieten. Met het oog op het verlenen van een dergelijke bescherming en uit zorg voor het belang van het kind en zijn socialisatie heeft de wetgever dat gezag in de eerste plaats opgedragen aan de ouders van het kind.</w:t>
      </w:r>
      <w:r w:rsidRPr="00573C0F">
        <w:rPr>
          <w:rStyle w:val="FootnoteReference"/>
          <w:i/>
          <w:iCs/>
        </w:rPr>
        <w:footnoteReference w:id="78"/>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Het uitgangspunt is dat de juridische ouders het best geplaatst zijn om de taak van bescherming van het kind en zorg voor het kind op zich te nemen.</w:t>
      </w:r>
      <w:r w:rsidR="000C0BD2" w:rsidRPr="00573C0F">
        <w:rPr>
          <w:rStyle w:val="FootnoteReference"/>
        </w:rPr>
        <w:footnoteReference w:id="79"/>
      </w:r>
      <w:r w:rsidR="000C0BD2" w:rsidRPr="00573C0F">
        <w:t xml:space="preserve"> Hieruit volgt dat de ouders enkele ouderlijke verplichtingen hebben. De ouders moeten onder andere instaan voor de huisvestiging, </w:t>
      </w:r>
      <w:r w:rsidR="00B37FC9" w:rsidRPr="00573C0F">
        <w:t xml:space="preserve">het </w:t>
      </w:r>
      <w:r w:rsidR="000C0BD2" w:rsidRPr="00573C0F">
        <w:t xml:space="preserve">levensonderhoud, </w:t>
      </w:r>
      <w:r w:rsidR="00B37FC9" w:rsidRPr="00573C0F">
        <w:t xml:space="preserve">de </w:t>
      </w:r>
      <w:r w:rsidR="000C0BD2" w:rsidRPr="00573C0F">
        <w:t xml:space="preserve">opvoeding en </w:t>
      </w:r>
      <w:r w:rsidR="00B37FC9" w:rsidRPr="00573C0F">
        <w:t xml:space="preserve">de </w:t>
      </w:r>
      <w:r w:rsidR="000C0BD2" w:rsidRPr="00573C0F">
        <w:t>passende opleiding van hun kinderen.</w:t>
      </w:r>
      <w:r w:rsidR="000C0BD2" w:rsidRPr="00573C0F">
        <w:rPr>
          <w:rStyle w:val="FootnoteReference"/>
        </w:rPr>
        <w:footnoteReference w:id="80"/>
      </w:r>
      <w:r w:rsidR="000C0BD2" w:rsidRPr="00573C0F">
        <w:t xml:space="preserve"> Deze verplichting is terug te vinden in artikel 203, §1 BW. </w:t>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 xml:space="preserve">Om te kunnen </w:t>
      </w:r>
      <w:r w:rsidR="00B37FC9" w:rsidRPr="00573C0F">
        <w:t>voldoen aan deze verplichtingen</w:t>
      </w:r>
      <w:r w:rsidR="000C0BD2" w:rsidRPr="00573C0F">
        <w:t xml:space="preserve"> hebben de ouders een geheel van rechten die ze ten aanzien van hun minderjarige kinderen kunnen laten gelden.</w:t>
      </w:r>
      <w:r w:rsidR="000C0BD2" w:rsidRPr="00573C0F">
        <w:rPr>
          <w:rStyle w:val="FootnoteReference"/>
        </w:rPr>
        <w:footnoteReference w:id="81"/>
      </w:r>
      <w:r w:rsidR="000C0BD2" w:rsidRPr="00573C0F">
        <w:t xml:space="preserve"> Het geheel van deze rechten wordt het ouderlijk gezag genoemd.</w:t>
      </w:r>
      <w:r w:rsidR="000C0BD2" w:rsidRPr="00573C0F">
        <w:rPr>
          <w:rStyle w:val="FootnoteReference"/>
        </w:rPr>
        <w:footnoteReference w:id="82"/>
      </w:r>
      <w:r w:rsidR="000C0BD2" w:rsidRPr="00573C0F">
        <w:t xml:space="preserve"> Het </w:t>
      </w:r>
      <w:r w:rsidR="0080212F" w:rsidRPr="00573C0F">
        <w:t xml:space="preserve">gaat om functionele rechten, </w:t>
      </w:r>
      <w:r w:rsidR="000C0BD2" w:rsidRPr="00573C0F">
        <w:t xml:space="preserve">de </w:t>
      </w:r>
      <w:r w:rsidR="0080212F" w:rsidRPr="00573C0F">
        <w:t>ouders dienen de rechten</w:t>
      </w:r>
      <w:r w:rsidR="000C0BD2" w:rsidRPr="00573C0F">
        <w:t xml:space="preserve"> uit</w:t>
      </w:r>
      <w:r w:rsidR="0080212F" w:rsidRPr="00573C0F">
        <w:t xml:space="preserve"> te oefenen</w:t>
      </w:r>
      <w:r w:rsidR="000C0BD2" w:rsidRPr="00573C0F">
        <w:t xml:space="preserve"> in het belang van het kind.</w:t>
      </w:r>
      <w:r w:rsidR="000C0BD2" w:rsidRPr="00573C0F">
        <w:rPr>
          <w:rStyle w:val="FootnoteReference"/>
        </w:rPr>
        <w:footnoteReference w:id="83"/>
      </w:r>
    </w:p>
    <w:p w:rsidR="000C0BD2" w:rsidRDefault="000C0BD2" w:rsidP="00746471">
      <w:pPr>
        <w:pStyle w:val="Heading4"/>
        <w:numPr>
          <w:ilvl w:val="3"/>
          <w:numId w:val="6"/>
        </w:numPr>
        <w:spacing w:line="360" w:lineRule="auto"/>
        <w:jc w:val="both"/>
      </w:pPr>
      <w:bookmarkStart w:id="30" w:name="_Toc449936715"/>
      <w:r>
        <w:lastRenderedPageBreak/>
        <w:t>Inhoud van het ouderlijk gezag</w:t>
      </w:r>
      <w:bookmarkEnd w:id="30"/>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Het ouderlijk gezag bevat de bevoegdheden die ouders hebben over hun minderjarige kinderen.</w:t>
      </w:r>
      <w:r w:rsidR="000C0BD2" w:rsidRPr="00573C0F">
        <w:rPr>
          <w:rStyle w:val="FootnoteReference"/>
        </w:rPr>
        <w:footnoteReference w:id="84"/>
      </w:r>
      <w:r w:rsidR="000C0BD2" w:rsidRPr="00573C0F">
        <w:t xml:space="preserve"> Ouderlijk gezag bevat de volgende bevoegdheden:</w:t>
      </w:r>
    </w:p>
    <w:p w:rsidR="000C0BD2" w:rsidRPr="00573C0F" w:rsidRDefault="000C0BD2" w:rsidP="007B14CD">
      <w:pPr>
        <w:pStyle w:val="Randnummer"/>
        <w:spacing w:line="360" w:lineRule="auto"/>
        <w:ind w:left="0" w:firstLine="0"/>
      </w:pPr>
      <w:r w:rsidRPr="00573C0F">
        <w:t xml:space="preserve">1. Gezag over de persoon (art. 373-375 BW.), het beheer over de goederen van de minderjarige en de vertegenwoordigingsbevoegdheid van de ouders (art. 376-379 BW.). </w:t>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Het gezag over de persoon wordt opgedeeld in enerzijds het beslissingsrecht betreffende fundamentele opties en anderzijds het recht van bewaring.</w:t>
      </w:r>
      <w:r w:rsidR="000C0BD2" w:rsidRPr="00573C0F">
        <w:rPr>
          <w:rStyle w:val="FootnoteReference"/>
        </w:rPr>
        <w:footnoteReference w:id="85"/>
      </w:r>
    </w:p>
    <w:p w:rsidR="000C0BD2" w:rsidRPr="00573C0F" w:rsidRDefault="000C0BD2" w:rsidP="007B14CD">
      <w:pPr>
        <w:pStyle w:val="Randnummer"/>
        <w:spacing w:line="360" w:lineRule="auto"/>
        <w:ind w:left="0" w:firstLine="0"/>
      </w:pPr>
      <w:r w:rsidRPr="00573C0F">
        <w:t>Het beslissingsrecht inzake fundamentele opties is ruim en heeft betrekking op diverse onderwerpen. Het gaat onder andere over beslissingen inzake de schoolkeuze, het lidmaatschap van jeugd- en sportbewegingen, de godsdienstige, filosofische en ideologische opvoeding van het kind, de taalkeuze waarin het kind wordt opgevoed en de beslissingen betreffende medische handelingen en chirurgische ingrepen.</w:t>
      </w:r>
      <w:r w:rsidRPr="00573C0F">
        <w:rPr>
          <w:rStyle w:val="FootnoteReference"/>
        </w:rPr>
        <w:footnoteReference w:id="86"/>
      </w:r>
    </w:p>
    <w:p w:rsidR="000C0BD2" w:rsidRPr="00573C0F" w:rsidRDefault="000C0BD2" w:rsidP="007B14CD">
      <w:pPr>
        <w:pStyle w:val="Randnummer"/>
        <w:spacing w:line="360" w:lineRule="auto"/>
        <w:ind w:left="0" w:firstLine="0"/>
      </w:pPr>
      <w:r w:rsidRPr="00573C0F">
        <w:t>Het recht van bewaring bestaat uit twee deelaspecten. Enerzijds h</w:t>
      </w:r>
      <w:r w:rsidR="00A53404" w:rsidRPr="00573C0F">
        <w:t>et</w:t>
      </w:r>
      <w:r w:rsidR="009451AF" w:rsidRPr="00573C0F">
        <w:t xml:space="preserve"> recht van materiële bewaring: d</w:t>
      </w:r>
      <w:r w:rsidRPr="00573C0F">
        <w:t>it is het recht om het kind op voortdurende wijze bij u te hebben.</w:t>
      </w:r>
      <w:r w:rsidRPr="00573C0F">
        <w:rPr>
          <w:rStyle w:val="FootnoteReference"/>
        </w:rPr>
        <w:footnoteReference w:id="87"/>
      </w:r>
      <w:r w:rsidR="009451AF" w:rsidRPr="00573C0F">
        <w:t xml:space="preserve"> Anderzijds het recht van zorg: d</w:t>
      </w:r>
      <w:r w:rsidRPr="00573C0F">
        <w:t xml:space="preserve">it </w:t>
      </w:r>
      <w:r w:rsidR="002B2EC9" w:rsidRPr="00573C0F">
        <w:t>is het recht</w:t>
      </w:r>
      <w:r w:rsidRPr="00573C0F">
        <w:t xml:space="preserve"> om zich bezig te houden met de dagelijkse opvoeding van het kind.</w:t>
      </w:r>
      <w:r w:rsidRPr="00573C0F">
        <w:rPr>
          <w:rStyle w:val="FootnoteReference"/>
        </w:rPr>
        <w:footnoteReference w:id="88"/>
      </w:r>
      <w:r w:rsidR="00A53404" w:rsidRPr="00573C0F">
        <w:t xml:space="preserve"> Ouders hebben </w:t>
      </w:r>
      <w:r w:rsidRPr="00573C0F">
        <w:t>het recht om dagelijkse opvoedingsbeslissingen te nemen.</w:t>
      </w:r>
      <w:r w:rsidRPr="00573C0F">
        <w:rPr>
          <w:rStyle w:val="FootnoteReference"/>
        </w:rPr>
        <w:footnoteReference w:id="89"/>
      </w:r>
      <w:r w:rsidRPr="00573C0F">
        <w:t xml:space="preserve"> Zij nemen onder andere de beslissingen o</w:t>
      </w:r>
      <w:r w:rsidR="002B2EC9" w:rsidRPr="00573C0F">
        <w:t xml:space="preserve">ver de etenskeuze, </w:t>
      </w:r>
      <w:r w:rsidR="009451AF" w:rsidRPr="00573C0F">
        <w:t xml:space="preserve">de </w:t>
      </w:r>
      <w:r w:rsidR="002B2EC9" w:rsidRPr="00573C0F">
        <w:t>kledingkeuze en</w:t>
      </w:r>
      <w:r w:rsidRPr="00573C0F">
        <w:t xml:space="preserve"> het aantal uren com</w:t>
      </w:r>
      <w:r w:rsidR="00A82EF8" w:rsidRPr="00573C0F">
        <w:t>put</w:t>
      </w:r>
      <w:r w:rsidRPr="00573C0F">
        <w:t xml:space="preserve">ergebruik per </w:t>
      </w:r>
      <w:r w:rsidR="002B2EC9" w:rsidRPr="00573C0F">
        <w:t>dag.</w:t>
      </w:r>
      <w:r w:rsidRPr="00573C0F">
        <w:rPr>
          <w:rStyle w:val="FootnoteReference"/>
        </w:rPr>
        <w:footnoteReference w:id="90"/>
      </w:r>
    </w:p>
    <w:p w:rsidR="000C0BD2" w:rsidRPr="00573C0F" w:rsidRDefault="00E87D3E" w:rsidP="007B14CD">
      <w:pPr>
        <w:pStyle w:val="Randnummer"/>
        <w:spacing w:line="360" w:lineRule="auto"/>
        <w:ind w:left="0" w:firstLine="0"/>
      </w:pPr>
      <w:r w:rsidRPr="00573C0F">
        <w:rPr>
          <w:b/>
          <w:bCs/>
        </w:rPr>
        <w:lastRenderedPageBreak/>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 xml:space="preserve">De juridische ouders </w:t>
      </w:r>
      <w:r w:rsidR="00A53404" w:rsidRPr="00573C0F">
        <w:t>hebben</w:t>
      </w:r>
      <w:r w:rsidR="000C0BD2" w:rsidRPr="00573C0F">
        <w:t xml:space="preserve"> het recht om de goederen van de minderjarige te beheren. Dit wil zeggen dat ze daden van beheer kunnen stellen m.b.t. het vermogen van de minderjarige.</w:t>
      </w:r>
      <w:r w:rsidR="000C0BD2" w:rsidRPr="00573C0F">
        <w:rPr>
          <w:rStyle w:val="FootnoteReference"/>
        </w:rPr>
        <w:footnoteReference w:id="91"/>
      </w:r>
      <w:r w:rsidR="002B2EC9" w:rsidRPr="00573C0F">
        <w:t xml:space="preserve"> </w:t>
      </w:r>
      <w:r w:rsidR="000C0BD2" w:rsidRPr="00573C0F">
        <w:t>Het doel van deze bevoegdheid is het in stand houden en het laten opbrengen van het vermogen van het kind.</w:t>
      </w:r>
      <w:r w:rsidR="000C0BD2" w:rsidRPr="00573C0F">
        <w:rPr>
          <w:rStyle w:val="FootnoteReference"/>
        </w:rPr>
        <w:footnoteReference w:id="92"/>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De ouders hebben bovendien de bevoegdheid om hun kinderen te vertegenwoordigen. Ze vertegenwoordigen hun kinderen in alle burgerrechtelijke handelingen.</w:t>
      </w:r>
      <w:r w:rsidR="000C0BD2" w:rsidRPr="00573C0F">
        <w:rPr>
          <w:rStyle w:val="FootnoteReference"/>
        </w:rPr>
        <w:footnoteReference w:id="93"/>
      </w:r>
    </w:p>
    <w:p w:rsidR="000C0BD2" w:rsidRPr="00573C0F" w:rsidRDefault="00E87D3E" w:rsidP="007B14CD">
      <w:pPr>
        <w:pStyle w:val="Randnummer"/>
        <w:spacing w:line="360" w:lineRule="auto"/>
        <w:ind w:left="0" w:firstLine="0"/>
      </w:pPr>
      <w:r w:rsidRPr="00573C0F">
        <w:rPr>
          <w:b/>
          <w:bCs/>
        </w:rPr>
        <w:fldChar w:fldCharType="begin"/>
      </w:r>
      <w:r w:rsidR="007B14CD" w:rsidRPr="00573C0F">
        <w:rPr>
          <w:b/>
          <w:bCs/>
        </w:rPr>
        <w:instrText xml:space="preserve"> AUTONUMLGL  </w:instrText>
      </w:r>
      <w:r w:rsidRPr="00573C0F">
        <w:rPr>
          <w:b/>
          <w:bCs/>
        </w:rPr>
        <w:fldChar w:fldCharType="end"/>
      </w:r>
      <w:r w:rsidR="007B14CD" w:rsidRPr="00573C0F">
        <w:rPr>
          <w:b/>
          <w:bCs/>
        </w:rPr>
        <w:t xml:space="preserve"> </w:t>
      </w:r>
      <w:r w:rsidR="000C0BD2" w:rsidRPr="00573C0F">
        <w:t>Artikelen 374, §1, lid 4 en 376, lid 4 BW. bepalen dat de ouder die niet het gezag over de persoon respectievelijk beheer over de goederen waarneemt, een recht van toezicht heeft. Dit recht van toezicht heeft betrekking op de opvoeding van het kind en op de manier waarop de andere ouder het beheer van de goederen waarneemt.</w:t>
      </w:r>
      <w:r w:rsidR="000C0BD2" w:rsidRPr="00573C0F">
        <w:rPr>
          <w:rStyle w:val="FootnoteReference"/>
        </w:rPr>
        <w:footnoteReference w:id="94"/>
      </w:r>
    </w:p>
    <w:p w:rsidR="000C0BD2" w:rsidRDefault="000C0BD2" w:rsidP="007B14CD">
      <w:pPr>
        <w:pStyle w:val="Randnummer"/>
        <w:spacing w:line="360" w:lineRule="auto"/>
        <w:ind w:left="0" w:firstLine="0"/>
      </w:pPr>
      <w:r w:rsidRPr="00533540">
        <w:t>2. Recht op persoonlijk contact (art. 374, §1, lid 4 BW.)</w:t>
      </w:r>
      <w:r>
        <w:t>.</w:t>
      </w:r>
    </w:p>
    <w:p w:rsidR="000C0BD2" w:rsidRPr="004022FE" w:rsidRDefault="00E87D3E" w:rsidP="007B14CD">
      <w:pPr>
        <w:pStyle w:val="Randnummer"/>
        <w:spacing w:line="360" w:lineRule="auto"/>
        <w:ind w:left="0" w:firstLine="0"/>
      </w:pPr>
      <w:r w:rsidRPr="004022FE">
        <w:rPr>
          <w:b/>
          <w:bCs/>
        </w:rPr>
        <w:fldChar w:fldCharType="begin"/>
      </w:r>
      <w:r w:rsidR="007B14CD" w:rsidRPr="004022FE">
        <w:rPr>
          <w:b/>
          <w:bCs/>
        </w:rPr>
        <w:instrText xml:space="preserve"> AUTONUMLGL  </w:instrText>
      </w:r>
      <w:r w:rsidRPr="004022FE">
        <w:rPr>
          <w:b/>
          <w:bCs/>
        </w:rPr>
        <w:fldChar w:fldCharType="end"/>
      </w:r>
      <w:r w:rsidR="007B14CD" w:rsidRPr="004022FE">
        <w:rPr>
          <w:b/>
          <w:bCs/>
        </w:rPr>
        <w:t xml:space="preserve"> </w:t>
      </w:r>
      <w:r w:rsidR="000C0BD2" w:rsidRPr="004022FE">
        <w:t>De juridische ouders hebben recht op persoonlijk contact met het kind.</w:t>
      </w:r>
      <w:r w:rsidR="000C0BD2" w:rsidRPr="004022FE">
        <w:rPr>
          <w:rStyle w:val="FootnoteReference"/>
        </w:rPr>
        <w:footnoteReference w:id="95"/>
      </w:r>
      <w:r w:rsidR="000C0BD2" w:rsidRPr="004022FE">
        <w:t xml:space="preserve"> Zij hebben het recht om op regelmatige wijze contact te houden met hun kinderen.</w:t>
      </w:r>
    </w:p>
    <w:p w:rsidR="00A53404" w:rsidRPr="004022FE" w:rsidRDefault="00E87D3E" w:rsidP="007B14CD">
      <w:pPr>
        <w:pStyle w:val="Randnummer"/>
        <w:spacing w:line="360" w:lineRule="auto"/>
        <w:ind w:left="0" w:firstLine="0"/>
      </w:pPr>
      <w:r w:rsidRPr="004022FE">
        <w:rPr>
          <w:b/>
          <w:bCs/>
        </w:rPr>
        <w:fldChar w:fldCharType="begin"/>
      </w:r>
      <w:r w:rsidR="007B14CD" w:rsidRPr="004022FE">
        <w:rPr>
          <w:b/>
          <w:bCs/>
        </w:rPr>
        <w:instrText xml:space="preserve"> AUTONUMLGL  </w:instrText>
      </w:r>
      <w:r w:rsidRPr="004022FE">
        <w:rPr>
          <w:b/>
          <w:bCs/>
        </w:rPr>
        <w:fldChar w:fldCharType="end"/>
      </w:r>
      <w:r w:rsidR="007B14CD" w:rsidRPr="004022FE">
        <w:rPr>
          <w:b/>
          <w:bCs/>
        </w:rPr>
        <w:t xml:space="preserve"> </w:t>
      </w:r>
      <w:r w:rsidR="000C0BD2" w:rsidRPr="004022FE">
        <w:t>Indien de ouders samenleven en het recht van bewaring uitoefenen over hun kind, gaat het recht op persoonlijk contact op in het recht van bewaring.</w:t>
      </w:r>
      <w:r w:rsidR="000C0BD2" w:rsidRPr="004022FE">
        <w:rPr>
          <w:rStyle w:val="FootnoteReference"/>
        </w:rPr>
        <w:footnoteReference w:id="96"/>
      </w:r>
      <w:r w:rsidR="000C0BD2" w:rsidRPr="004022FE">
        <w:t xml:space="preserve"> </w:t>
      </w:r>
      <w:r w:rsidR="00B22D44" w:rsidRPr="004022FE">
        <w:t>Als</w:t>
      </w:r>
      <w:r w:rsidR="000C0BD2" w:rsidRPr="004022FE">
        <w:t xml:space="preserve"> de ouders niet samenleven</w:t>
      </w:r>
      <w:r w:rsidR="002B2EC9" w:rsidRPr="004022FE">
        <w:t>,</w:t>
      </w:r>
      <w:r w:rsidR="000C0BD2" w:rsidRPr="004022FE">
        <w:t xml:space="preserve"> zijn er twee mogelijkheden. Indien de ouders het gezag over de persoon gezamenlijk uito</w:t>
      </w:r>
      <w:r w:rsidR="004022FE" w:rsidRPr="004022FE">
        <w:t>efenen,</w:t>
      </w:r>
      <w:r w:rsidR="000C0BD2" w:rsidRPr="004022FE">
        <w:t xml:space="preserve"> wordt het recht op persoonlijk contact geconcretiseerd in een ve</w:t>
      </w:r>
      <w:r w:rsidR="00A53404" w:rsidRPr="004022FE">
        <w:t>r</w:t>
      </w:r>
      <w:r w:rsidR="000C0BD2" w:rsidRPr="004022FE">
        <w:t>blijfsregeling.</w:t>
      </w:r>
      <w:r w:rsidR="000C0BD2" w:rsidRPr="004022FE">
        <w:rPr>
          <w:rStyle w:val="FootnoteReference"/>
        </w:rPr>
        <w:footnoteReference w:id="97"/>
      </w:r>
      <w:r w:rsidR="000C0BD2" w:rsidRPr="004022FE">
        <w:t xml:space="preserve"> Indien het gezag over de persoon niet gez</w:t>
      </w:r>
      <w:r w:rsidR="004022FE" w:rsidRPr="004022FE">
        <w:t xml:space="preserve">amenlijk wordt uitgeoefend, </w:t>
      </w:r>
      <w:r w:rsidR="000C0BD2" w:rsidRPr="004022FE">
        <w:t>wordt het recht op persoonlijk contact van de ouder die niet het recht van bewaring heeft</w:t>
      </w:r>
      <w:r w:rsidR="004022FE" w:rsidRPr="004022FE">
        <w:t xml:space="preserve"> </w:t>
      </w:r>
      <w:r w:rsidR="000C0BD2" w:rsidRPr="004022FE">
        <w:t>geconcretiseerd in een omgangsrecht.</w:t>
      </w:r>
      <w:r w:rsidR="000C0BD2" w:rsidRPr="004022FE">
        <w:rPr>
          <w:rStyle w:val="FootnoteReference"/>
        </w:rPr>
        <w:footnoteReference w:id="98"/>
      </w:r>
    </w:p>
    <w:p w:rsidR="000C0BD2" w:rsidRPr="004022FE" w:rsidRDefault="000C0BD2" w:rsidP="007B14CD">
      <w:pPr>
        <w:pStyle w:val="Randnummer"/>
        <w:spacing w:line="360" w:lineRule="auto"/>
        <w:ind w:left="0" w:firstLine="0"/>
      </w:pPr>
      <w:r w:rsidRPr="004022FE">
        <w:lastRenderedPageBreak/>
        <w:t>Het omgangsrecht is wettelijk gewaarborgd in artikel 374, §1, lid 4 BW. Dit artikel bepaalt dat het aan de familierechtbank is om de wijze te bepalen waarop de ouder die niet het ouderlijk gezag uitoefent, persoonlijk contact met het kind onderhoudt.</w:t>
      </w:r>
      <w:r w:rsidR="009451AF" w:rsidRPr="004022FE">
        <w:rPr>
          <w:rStyle w:val="FootnoteReference"/>
        </w:rPr>
        <w:footnoteReference w:id="99"/>
      </w:r>
      <w:r w:rsidRPr="004022FE">
        <w:t xml:space="preserve"> De uitoefening van het omgangsrecht van de ouders kan geweigerd worden indien deze contacten schadelijk zouden zijn voor het kind.</w:t>
      </w:r>
      <w:r w:rsidRPr="004022FE">
        <w:rPr>
          <w:rStyle w:val="FootnoteReference"/>
        </w:rPr>
        <w:footnoteReference w:id="100"/>
      </w:r>
      <w:r w:rsidRPr="004022FE">
        <w:t xml:space="preserve"> Indien de uitoefening geweigerd wordt, blijft men wel titularis van het omgangsrecht.</w:t>
      </w:r>
      <w:r w:rsidRPr="004022FE">
        <w:rPr>
          <w:rStyle w:val="FootnoteReference"/>
        </w:rPr>
        <w:footnoteReference w:id="101"/>
      </w:r>
      <w:r w:rsidRPr="004022FE">
        <w:t xml:space="preserve"> Er is dus een onderscheid tussen het titularis zijn van het omgangsrecht en de uitoefening van het omgangsrecht.</w:t>
      </w:r>
    </w:p>
    <w:p w:rsidR="000C0BD2" w:rsidRPr="004022FE" w:rsidRDefault="000C0BD2" w:rsidP="007B14CD">
      <w:pPr>
        <w:pStyle w:val="Randnummer"/>
        <w:spacing w:line="360" w:lineRule="auto"/>
        <w:ind w:left="0" w:firstLine="0"/>
      </w:pPr>
      <w:r w:rsidRPr="004022FE">
        <w:t>3. Ouderlijke bevoegdheden die te maken hebben met de staat van de persoon van de minderjarige.</w:t>
      </w:r>
      <w:r w:rsidRPr="004022FE">
        <w:rPr>
          <w:rStyle w:val="FootnoteReference"/>
        </w:rPr>
        <w:footnoteReference w:id="102"/>
      </w:r>
      <w:r w:rsidRPr="004022FE">
        <w:t xml:space="preserve"> </w:t>
      </w:r>
    </w:p>
    <w:p w:rsidR="000C0BD2" w:rsidRPr="004022FE" w:rsidRDefault="00E87D3E" w:rsidP="007B14CD">
      <w:pPr>
        <w:pStyle w:val="Randnummer"/>
        <w:spacing w:line="360" w:lineRule="auto"/>
        <w:ind w:left="0" w:firstLine="0"/>
      </w:pPr>
      <w:r w:rsidRPr="004022FE">
        <w:rPr>
          <w:b/>
          <w:bCs/>
        </w:rPr>
        <w:fldChar w:fldCharType="begin"/>
      </w:r>
      <w:r w:rsidR="007B14CD" w:rsidRPr="004022FE">
        <w:rPr>
          <w:b/>
          <w:bCs/>
        </w:rPr>
        <w:instrText xml:space="preserve"> AUTONUMLGL  </w:instrText>
      </w:r>
      <w:r w:rsidRPr="004022FE">
        <w:rPr>
          <w:b/>
          <w:bCs/>
        </w:rPr>
        <w:fldChar w:fldCharType="end"/>
      </w:r>
      <w:r w:rsidR="007B14CD" w:rsidRPr="004022FE">
        <w:rPr>
          <w:b/>
          <w:bCs/>
        </w:rPr>
        <w:t xml:space="preserve"> </w:t>
      </w:r>
      <w:r w:rsidR="000C0BD2" w:rsidRPr="004022FE">
        <w:t>Het betreft de bevoegdheid van de ouders om instemming te geven, initiatief te nemen en bijstand te verlenen inzake de staat van de persoon van de minderjarige.</w:t>
      </w:r>
      <w:r w:rsidR="000C0BD2" w:rsidRPr="004022FE">
        <w:rPr>
          <w:rStyle w:val="FootnoteReference"/>
        </w:rPr>
        <w:footnoteReference w:id="103"/>
      </w:r>
      <w:r w:rsidR="000C0BD2" w:rsidRPr="004022FE">
        <w:t xml:space="preserve"> Enkele voorbeelden hiervan zijn de instemming tot het huwelijk (art. 148 BW.) en toestemming tot adoptie (art. 348-3 BW.). Onder deze categorie valt ook de aanwijzing van een testamentaire voogd.</w:t>
      </w:r>
      <w:r w:rsidR="000C0BD2" w:rsidRPr="004022FE">
        <w:rPr>
          <w:rStyle w:val="FootnoteReference"/>
        </w:rPr>
        <w:footnoteReference w:id="104"/>
      </w:r>
      <w:r w:rsidR="000C0BD2" w:rsidRPr="004022FE">
        <w:t xml:space="preserve"> Artikel 392 BW. bepaalt dat de ouder die het laatst het ouderlijk gezag uitoefent, een voogd kan aanwijzen. Het gaat hier om een voorrecht van de ouder die het laatst het ouderlijk gezag uitoefent.</w:t>
      </w:r>
      <w:r w:rsidR="000C0BD2" w:rsidRPr="004022FE">
        <w:rPr>
          <w:rStyle w:val="FootnoteReference"/>
        </w:rPr>
        <w:footnoteReference w:id="105"/>
      </w:r>
      <w:r w:rsidR="000C0BD2" w:rsidRPr="004022FE">
        <w:t xml:space="preserve"> </w:t>
      </w:r>
      <w:r w:rsidR="00031DF8" w:rsidRPr="004022FE">
        <w:t>De testamentaire voogdij berust op het vertrouwen van de wetgever in de ouders. De ouders zijn het best geplaatst om een voogd voor hun kinderen te kiezen.</w:t>
      </w:r>
      <w:r w:rsidR="00031DF8" w:rsidRPr="004022FE">
        <w:rPr>
          <w:rStyle w:val="FootnoteReference"/>
        </w:rPr>
        <w:footnoteReference w:id="106"/>
      </w:r>
    </w:p>
    <w:p w:rsidR="000C0BD2" w:rsidRPr="004022FE" w:rsidRDefault="000C0BD2" w:rsidP="007B14CD">
      <w:pPr>
        <w:pStyle w:val="Randnummer"/>
        <w:spacing w:line="360" w:lineRule="auto"/>
        <w:ind w:left="0" w:firstLine="0"/>
      </w:pPr>
      <w:r w:rsidRPr="004022FE">
        <w:t>4. Vruchtgenot over de goederen (art. 384 BW.).</w:t>
      </w:r>
    </w:p>
    <w:p w:rsidR="000C0BD2" w:rsidRPr="004022FE" w:rsidRDefault="00E87D3E" w:rsidP="007B14CD">
      <w:pPr>
        <w:pStyle w:val="Randnummer"/>
        <w:spacing w:line="360" w:lineRule="auto"/>
        <w:ind w:left="0" w:firstLine="0"/>
      </w:pPr>
      <w:r w:rsidRPr="004022FE">
        <w:rPr>
          <w:b/>
          <w:bCs/>
        </w:rPr>
        <w:fldChar w:fldCharType="begin"/>
      </w:r>
      <w:r w:rsidR="007B14CD" w:rsidRPr="004022FE">
        <w:rPr>
          <w:b/>
          <w:bCs/>
        </w:rPr>
        <w:instrText xml:space="preserve"> AUTONUMLGL  </w:instrText>
      </w:r>
      <w:r w:rsidRPr="004022FE">
        <w:rPr>
          <w:b/>
          <w:bCs/>
        </w:rPr>
        <w:fldChar w:fldCharType="end"/>
      </w:r>
      <w:r w:rsidR="007B14CD" w:rsidRPr="004022FE">
        <w:rPr>
          <w:b/>
          <w:bCs/>
        </w:rPr>
        <w:t xml:space="preserve"> </w:t>
      </w:r>
      <w:r w:rsidR="000C0BD2" w:rsidRPr="004022FE">
        <w:t xml:space="preserve">Artikel 384 BW. bepaalt het volgende: </w:t>
      </w:r>
      <w:r w:rsidR="000C0BD2" w:rsidRPr="004022FE">
        <w:rPr>
          <w:i/>
          <w:iCs/>
        </w:rPr>
        <w:t>“De ouders hebben het genot van de goederen van hun kinderen tot aan hun meerderjarigheid of hun ontvoogding. Het genot wordt gekoppeld aan het beheer: het behoort toe, hetzij aan de beide ouders samen hetzij aan de ouder die belast is met het beheer van de goederen van het kind.”</w:t>
      </w:r>
    </w:p>
    <w:p w:rsidR="000C0BD2" w:rsidRDefault="000C0BD2" w:rsidP="00746471">
      <w:pPr>
        <w:pStyle w:val="Heading4"/>
        <w:numPr>
          <w:ilvl w:val="3"/>
          <w:numId w:val="6"/>
        </w:numPr>
        <w:spacing w:line="360" w:lineRule="auto"/>
        <w:jc w:val="both"/>
      </w:pPr>
      <w:bookmarkStart w:id="31" w:name="_Toc449936716"/>
      <w:r>
        <w:lastRenderedPageBreak/>
        <w:t>Titularissen en uitoefening van het ouderlijk gezag</w:t>
      </w:r>
      <w:bookmarkEnd w:id="31"/>
    </w:p>
    <w:p w:rsidR="000C0BD2" w:rsidRPr="00A11CC5" w:rsidRDefault="000C0BD2" w:rsidP="00746471">
      <w:pPr>
        <w:pStyle w:val="Heading5"/>
        <w:numPr>
          <w:ilvl w:val="4"/>
          <w:numId w:val="6"/>
        </w:numPr>
        <w:spacing w:line="360" w:lineRule="auto"/>
        <w:jc w:val="both"/>
      </w:pPr>
      <w:bookmarkStart w:id="32" w:name="_Toc449936717"/>
      <w:r>
        <w:t>Zuiver monistisch systeem</w:t>
      </w:r>
      <w:bookmarkEnd w:id="32"/>
    </w:p>
    <w:p w:rsidR="00B22D44" w:rsidRPr="004022FE" w:rsidRDefault="00E87D3E" w:rsidP="00B22D44">
      <w:pPr>
        <w:pStyle w:val="Randnummer"/>
        <w:spacing w:line="360" w:lineRule="auto"/>
        <w:ind w:left="0" w:firstLine="0"/>
      </w:pPr>
      <w:r w:rsidRPr="004022FE">
        <w:rPr>
          <w:b/>
          <w:bCs/>
        </w:rPr>
        <w:fldChar w:fldCharType="begin"/>
      </w:r>
      <w:r w:rsidR="007B14CD" w:rsidRPr="004022FE">
        <w:rPr>
          <w:b/>
          <w:bCs/>
        </w:rPr>
        <w:instrText xml:space="preserve"> AUTONUMLGL  </w:instrText>
      </w:r>
      <w:r w:rsidRPr="004022FE">
        <w:rPr>
          <w:b/>
          <w:bCs/>
        </w:rPr>
        <w:fldChar w:fldCharType="end"/>
      </w:r>
      <w:r w:rsidR="007B14CD" w:rsidRPr="004022FE">
        <w:rPr>
          <w:b/>
          <w:bCs/>
        </w:rPr>
        <w:t xml:space="preserve"> </w:t>
      </w:r>
      <w:r w:rsidR="00B22D44" w:rsidRPr="004022FE">
        <w:t>Het ouderlijk gezag is een gevolg van de afstamming.</w:t>
      </w:r>
      <w:r w:rsidR="00B22D44" w:rsidRPr="004022FE">
        <w:rPr>
          <w:rStyle w:val="FootnoteReference"/>
        </w:rPr>
        <w:footnoteReference w:id="107"/>
      </w:r>
      <w:r w:rsidR="00B22D44" w:rsidRPr="004022FE">
        <w:t xml:space="preserve"> België kent een zuiver monistisch systeem, afstamming en gezag zijn onlosmakelijk met elkaar verbonden.</w:t>
      </w:r>
      <w:r w:rsidR="00B22D44" w:rsidRPr="004022FE">
        <w:rPr>
          <w:rStyle w:val="FootnoteReference"/>
        </w:rPr>
        <w:footnoteReference w:id="108"/>
      </w:r>
      <w:r w:rsidR="00B22D44" w:rsidRPr="004022FE">
        <w:t xml:space="preserve"> Niet-juridische ouders hebben geen bevoegdheden van het ouderlijk gezag.</w:t>
      </w:r>
      <w:r w:rsidR="00B22D44" w:rsidRPr="004022FE">
        <w:rPr>
          <w:rStyle w:val="FootnoteReference"/>
        </w:rPr>
        <w:footnoteReference w:id="109"/>
      </w:r>
    </w:p>
    <w:p w:rsidR="009A4E74" w:rsidRPr="004022FE" w:rsidRDefault="000C0BD2" w:rsidP="007B14CD">
      <w:pPr>
        <w:pStyle w:val="Randnummer"/>
        <w:spacing w:line="360" w:lineRule="auto"/>
        <w:ind w:left="0" w:firstLine="0"/>
      </w:pPr>
      <w:r w:rsidRPr="004022FE">
        <w:t xml:space="preserve">De juridische ouders zijn </w:t>
      </w:r>
      <w:r w:rsidR="00031DF8" w:rsidRPr="004022FE">
        <w:t>dus titularis</w:t>
      </w:r>
      <w:r w:rsidRPr="004022FE">
        <w:t xml:space="preserve"> van de bevoegdheden van het ouderlijk gezag.</w:t>
      </w:r>
      <w:r w:rsidRPr="004022FE">
        <w:rPr>
          <w:rStyle w:val="FootnoteReference"/>
        </w:rPr>
        <w:footnoteReference w:id="110"/>
      </w:r>
      <w:r w:rsidRPr="004022FE">
        <w:t xml:space="preserve"> </w:t>
      </w:r>
      <w:r w:rsidR="009A4E74" w:rsidRPr="004022FE">
        <w:t>Juridische ouders zijn, zoals reeds</w:t>
      </w:r>
      <w:r w:rsidRPr="004022FE">
        <w:t xml:space="preserve"> vermeld, diegene van wie de afstammingsband op een door de</w:t>
      </w:r>
      <w:r w:rsidR="00031DF8" w:rsidRPr="004022FE">
        <w:t xml:space="preserve"> wet erkende wijze is gevestigd.</w:t>
      </w:r>
      <w:r w:rsidRPr="004022FE">
        <w:rPr>
          <w:rStyle w:val="FootnoteReference"/>
        </w:rPr>
        <w:footnoteReference w:id="111"/>
      </w:r>
      <w:r w:rsidRPr="004022FE">
        <w:t xml:space="preserve"> Deze afstammingsband kan oorspronkelijk of adoptief zijn.</w:t>
      </w:r>
      <w:r w:rsidRPr="004022FE">
        <w:rPr>
          <w:rStyle w:val="FootnoteReference"/>
        </w:rPr>
        <w:footnoteReference w:id="112"/>
      </w:r>
      <w:r w:rsidRPr="004022FE">
        <w:t xml:space="preserve"> Artikelen 353-8 en 356-1 BW. bepalen dat zowel ingeval van gewone</w:t>
      </w:r>
      <w:r w:rsidR="004022FE" w:rsidRPr="004022FE">
        <w:t xml:space="preserve"> als in geval van </w:t>
      </w:r>
      <w:r w:rsidR="004022FE" w:rsidRPr="004022FE">
        <w:lastRenderedPageBreak/>
        <w:t>volle adoptie,</w:t>
      </w:r>
      <w:r w:rsidRPr="004022FE">
        <w:t xml:space="preserve"> de adoptanten titularis zijn van</w:t>
      </w:r>
      <w:r w:rsidR="004022FE" w:rsidRPr="004022FE">
        <w:t xml:space="preserve"> de bevoegdheden van</w:t>
      </w:r>
      <w:r w:rsidRPr="004022FE">
        <w:t xml:space="preserve"> het ouderlijk gezag. De oorspronkelijke ouders verliezen de bevoegdheden van het ouderlijk gezag.</w:t>
      </w:r>
      <w:r w:rsidRPr="004022FE">
        <w:rPr>
          <w:rStyle w:val="FootnoteReference"/>
        </w:rPr>
        <w:footnoteReference w:id="113"/>
      </w:r>
      <w:r w:rsidR="004A2734" w:rsidRPr="004022FE">
        <w:t xml:space="preserve"> </w:t>
      </w:r>
    </w:p>
    <w:p w:rsidR="00827D6C" w:rsidRPr="004022FE" w:rsidRDefault="004A2734" w:rsidP="007B14CD">
      <w:pPr>
        <w:pStyle w:val="Randnummer"/>
        <w:spacing w:line="360" w:lineRule="auto"/>
        <w:ind w:left="0" w:firstLine="0"/>
      </w:pPr>
      <w:r w:rsidRPr="004022FE">
        <w:t xml:space="preserve">Stiefouder- en partneradoptie vertonen op dit vlak een afwijking. Artikelen 353-9 en 356-1, lid 3 BW. bepalen dat zowel in geval van gewone als volle </w:t>
      </w:r>
      <w:r w:rsidR="00031DF8" w:rsidRPr="004022FE">
        <w:t>stiefouder- en partner</w:t>
      </w:r>
      <w:r w:rsidRPr="004022FE">
        <w:t>adoptie, de oorspronkelijke ouder die echtgenoot/partner van de adoptant is, titularis</w:t>
      </w:r>
      <w:r w:rsidR="00031DF8" w:rsidRPr="004022FE">
        <w:t xml:space="preserve"> blijft</w:t>
      </w:r>
      <w:r w:rsidRPr="004022FE">
        <w:t xml:space="preserve"> van </w:t>
      </w:r>
      <w:r w:rsidR="00031DF8" w:rsidRPr="004022FE">
        <w:t xml:space="preserve">de bevoegdheden van </w:t>
      </w:r>
      <w:r w:rsidRPr="004022FE">
        <w:t>het ouderlijk gezag. De adoptant en de echtgenoot, wettelijk samenwonende of feitelijk samenwonende partner van de adoptant zijn beide titularis van het ouderlijk gezag.</w:t>
      </w:r>
      <w:r w:rsidRPr="004022FE">
        <w:rPr>
          <w:rStyle w:val="FootnoteReference"/>
        </w:rPr>
        <w:footnoteReference w:id="114"/>
      </w:r>
      <w:r w:rsidR="00723161" w:rsidRPr="004022FE">
        <w:t xml:space="preserve"> </w:t>
      </w:r>
      <w:r w:rsidR="00031DF8" w:rsidRPr="004022FE">
        <w:t>Ze oefenen het ouderlijk gezag gezamenlijk uit.</w:t>
      </w:r>
      <w:r w:rsidR="00031DF8" w:rsidRPr="004022FE">
        <w:rPr>
          <w:rStyle w:val="FootnoteReference"/>
        </w:rPr>
        <w:footnoteReference w:id="115"/>
      </w:r>
    </w:p>
    <w:p w:rsidR="004A2734" w:rsidRPr="004022FE" w:rsidRDefault="004A2734" w:rsidP="007B14CD">
      <w:pPr>
        <w:pStyle w:val="Randnummer"/>
        <w:spacing w:line="360" w:lineRule="auto"/>
        <w:ind w:left="0" w:firstLine="0"/>
      </w:pPr>
      <w:r w:rsidRPr="004022FE">
        <w:rPr>
          <w:i/>
          <w:iCs/>
        </w:rPr>
        <w:t>voorbeeld:</w:t>
      </w:r>
      <w:r w:rsidRPr="004022FE">
        <w:t xml:space="preserve"> Een kind is geboren uit Mevrouw X en Meneer Y. Mevrouw X gaat een nieuw huwelijk aan met Meneer Z. Meneer Z besluit het kind te adopteren</w:t>
      </w:r>
      <w:r w:rsidR="00E7561F" w:rsidRPr="004022FE">
        <w:t>.</w:t>
      </w:r>
      <w:r w:rsidRPr="004022FE">
        <w:t xml:space="preserve"> Meneer Y stemt in met deze adoptie. Het gaat om een gewone of volle adoptie. Mevrouw X en Meneer Z zijn beide titularis van het ouderlijk gezag. Meneer Y verliest het ouderlijk gezag.</w:t>
      </w:r>
    </w:p>
    <w:p w:rsidR="000C0BD2" w:rsidRPr="004022FE" w:rsidRDefault="00E87D3E" w:rsidP="007B14CD">
      <w:pPr>
        <w:pStyle w:val="Randnummer"/>
        <w:spacing w:line="360" w:lineRule="auto"/>
        <w:ind w:left="0" w:firstLine="0"/>
      </w:pPr>
      <w:r w:rsidRPr="004022FE">
        <w:rPr>
          <w:b/>
          <w:bCs/>
        </w:rPr>
        <w:fldChar w:fldCharType="begin"/>
      </w:r>
      <w:r w:rsidR="007B14CD" w:rsidRPr="004022FE">
        <w:rPr>
          <w:b/>
          <w:bCs/>
        </w:rPr>
        <w:instrText xml:space="preserve"> AUTONUMLGL  </w:instrText>
      </w:r>
      <w:r w:rsidRPr="004022FE">
        <w:rPr>
          <w:b/>
          <w:bCs/>
        </w:rPr>
        <w:fldChar w:fldCharType="end"/>
      </w:r>
      <w:r w:rsidR="007B14CD" w:rsidRPr="004022FE">
        <w:rPr>
          <w:b/>
          <w:bCs/>
        </w:rPr>
        <w:t xml:space="preserve"> </w:t>
      </w:r>
      <w:r w:rsidR="000C0BD2" w:rsidRPr="004022FE">
        <w:t>De juridische ouders kunnen ontzet worden van het ouderlijk gezag. De ontzetti</w:t>
      </w:r>
      <w:r w:rsidR="00E7561F" w:rsidRPr="004022FE">
        <w:t xml:space="preserve">ng van het ouderlijk gezag </w:t>
      </w:r>
      <w:r w:rsidR="00A71F7E" w:rsidRPr="004022FE">
        <w:t>is ee</w:t>
      </w:r>
      <w:r w:rsidR="000C0BD2" w:rsidRPr="004022FE">
        <w:t>n jeugdbeschermingsmaatregel en kan enkel uitgesproken worden indien de ouder(s) een van de feiten uit artikel 32 van de wet van 8 april 1965 betreffende de jeugdbescherming (</w:t>
      </w:r>
      <w:r w:rsidR="00F63A10" w:rsidRPr="004022FE">
        <w:t xml:space="preserve">hierna </w:t>
      </w:r>
      <w:r w:rsidR="000C0BD2" w:rsidRPr="004022FE">
        <w:t>Wjb.) heeft gepleegd.</w:t>
      </w:r>
      <w:r w:rsidR="000C0BD2" w:rsidRPr="004022FE">
        <w:rPr>
          <w:rStyle w:val="FootnoteReference"/>
        </w:rPr>
        <w:footnoteReference w:id="116"/>
      </w:r>
      <w:r w:rsidR="000C0BD2" w:rsidRPr="004022FE">
        <w:t xml:space="preserve"> Artikel 32 Wjb. bepaalt dat de juridische ouder(s) geheel of ten delen van het ouderlijk gezag kan worden ontzet indien:</w:t>
      </w:r>
    </w:p>
    <w:p w:rsidR="009A4E74" w:rsidRPr="004022FE" w:rsidRDefault="000C0BD2" w:rsidP="007B14CD">
      <w:pPr>
        <w:pStyle w:val="Randnummer"/>
        <w:spacing w:line="360" w:lineRule="auto"/>
        <w:ind w:left="0" w:firstLine="0"/>
      </w:pPr>
      <w:r w:rsidRPr="004022FE">
        <w:t xml:space="preserve">- De juridische ouder veroordeeld is tot een criminele of correctionele straf wegens een feit gepleegd op de persoon of met behulp van een van de kinderen of afstammelingen; </w:t>
      </w:r>
    </w:p>
    <w:p w:rsidR="000C0BD2" w:rsidRPr="004022FE" w:rsidRDefault="00A71F7E" w:rsidP="007B14CD">
      <w:pPr>
        <w:pStyle w:val="Randnummer"/>
        <w:spacing w:line="360" w:lineRule="auto"/>
        <w:ind w:left="0" w:firstLine="0"/>
      </w:pPr>
      <w:r w:rsidRPr="004022FE">
        <w:t>- d</w:t>
      </w:r>
      <w:r w:rsidR="000C0BD2" w:rsidRPr="004022FE">
        <w:t>e juridische ouder die, door slechte behandeling, misbruik van gezag, kennelijk slecht gedrag of erge nalatigheid, de gezondheid, de veiligheid of de zedelijkheid van het kind in gevaar brengt. Ook indien de juridische ouder trouwt met een persoon die is ontzet uit het ouderlijk gezag, wordt de juridische ouder van het ouderlijk gezag ontzet.</w:t>
      </w:r>
      <w:r w:rsidR="000C0BD2" w:rsidRPr="004022FE">
        <w:rPr>
          <w:rStyle w:val="FootnoteReference"/>
        </w:rPr>
        <w:footnoteReference w:id="117"/>
      </w:r>
      <w:r w:rsidR="000C0BD2" w:rsidRPr="004022FE">
        <w:t xml:space="preserve"> </w:t>
      </w:r>
    </w:p>
    <w:p w:rsidR="000C0BD2" w:rsidRPr="004022FE" w:rsidRDefault="000C0BD2" w:rsidP="007B14CD">
      <w:pPr>
        <w:pStyle w:val="Randnummer"/>
        <w:spacing w:line="360" w:lineRule="auto"/>
        <w:ind w:left="0" w:firstLine="0"/>
      </w:pPr>
      <w:r w:rsidRPr="004022FE">
        <w:lastRenderedPageBreak/>
        <w:t>De ontzetting is een maatregel van onbepaalde duur. Artikel 60 Wjb. bepaalt dat de jeugdrechtbank te allen tijde de maatregel kan intrekken of wijzigen.</w:t>
      </w:r>
      <w:r w:rsidRPr="004022FE">
        <w:rPr>
          <w:rStyle w:val="FootnoteReference"/>
        </w:rPr>
        <w:footnoteReference w:id="118"/>
      </w:r>
    </w:p>
    <w:p w:rsidR="000C0BD2" w:rsidRDefault="000C0BD2" w:rsidP="00746471">
      <w:pPr>
        <w:pStyle w:val="Heading5"/>
        <w:numPr>
          <w:ilvl w:val="4"/>
          <w:numId w:val="6"/>
        </w:numPr>
        <w:spacing w:line="360" w:lineRule="auto"/>
        <w:jc w:val="both"/>
      </w:pPr>
      <w:bookmarkStart w:id="33" w:name="_Toc449936718"/>
      <w:r>
        <w:t>Titularis van bevoegdheid vs. uitoefening van bevoegdheid</w:t>
      </w:r>
      <w:bookmarkEnd w:id="33"/>
    </w:p>
    <w:p w:rsidR="000C0BD2" w:rsidRPr="004022FE" w:rsidRDefault="00E87D3E" w:rsidP="007B14CD">
      <w:pPr>
        <w:pStyle w:val="Randnummer"/>
        <w:spacing w:line="360" w:lineRule="auto"/>
        <w:ind w:left="0" w:firstLine="0"/>
      </w:pPr>
      <w:r w:rsidRPr="004022FE">
        <w:rPr>
          <w:b/>
          <w:bCs/>
        </w:rPr>
        <w:fldChar w:fldCharType="begin"/>
      </w:r>
      <w:r w:rsidR="007B14CD" w:rsidRPr="004022FE">
        <w:rPr>
          <w:b/>
          <w:bCs/>
        </w:rPr>
        <w:instrText xml:space="preserve"> AUTONUMLGL  </w:instrText>
      </w:r>
      <w:r w:rsidRPr="004022FE">
        <w:rPr>
          <w:b/>
          <w:bCs/>
        </w:rPr>
        <w:fldChar w:fldCharType="end"/>
      </w:r>
      <w:r w:rsidR="007B14CD" w:rsidRPr="004022FE">
        <w:rPr>
          <w:b/>
          <w:bCs/>
        </w:rPr>
        <w:t xml:space="preserve"> </w:t>
      </w:r>
      <w:r w:rsidR="000C0BD2" w:rsidRPr="004022FE">
        <w:t>Hoewel beide ouders titularis zijn van de bevoegdheden van het ouderlijk gezag, kan het voorvallen dat s</w:t>
      </w:r>
      <w:r w:rsidR="00A71F7E" w:rsidRPr="004022FE">
        <w:t>lechts één ouder deze bevoegdhe</w:t>
      </w:r>
      <w:r w:rsidR="000C0BD2" w:rsidRPr="004022FE">
        <w:t>d</w:t>
      </w:r>
      <w:r w:rsidR="00A71F7E" w:rsidRPr="004022FE">
        <w:t>en</w:t>
      </w:r>
      <w:r w:rsidR="000C0BD2" w:rsidRPr="004022FE">
        <w:t xml:space="preserve"> uitoefent. De</w:t>
      </w:r>
      <w:r w:rsidR="00A71F7E" w:rsidRPr="004022FE">
        <w:t xml:space="preserve"> uitoefening van de bevoegdhe</w:t>
      </w:r>
      <w:r w:rsidR="000C0BD2" w:rsidRPr="004022FE">
        <w:t>d</w:t>
      </w:r>
      <w:r w:rsidR="00A71F7E" w:rsidRPr="004022FE">
        <w:t>en</w:t>
      </w:r>
      <w:r w:rsidR="000C0BD2" w:rsidRPr="004022FE">
        <w:t xml:space="preserve"> komt in dat geval uitsluitend toe aan één ouder, maar beide ouders bli</w:t>
      </w:r>
      <w:r w:rsidR="00A71F7E" w:rsidRPr="004022FE">
        <w:t>jven titularis van de bevoegdhe</w:t>
      </w:r>
      <w:r w:rsidR="000C0BD2" w:rsidRPr="004022FE">
        <w:t>d</w:t>
      </w:r>
      <w:r w:rsidR="00A71F7E" w:rsidRPr="004022FE">
        <w:t>en</w:t>
      </w:r>
      <w:r w:rsidR="000C0BD2" w:rsidRPr="004022FE">
        <w:t>.</w:t>
      </w:r>
      <w:r w:rsidR="000C0BD2" w:rsidRPr="004022FE">
        <w:rPr>
          <w:rStyle w:val="FootnoteReference"/>
        </w:rPr>
        <w:footnoteReference w:id="119"/>
      </w:r>
    </w:p>
    <w:p w:rsidR="000C0BD2" w:rsidRPr="004022FE" w:rsidRDefault="00E87D3E" w:rsidP="007B14CD">
      <w:pPr>
        <w:pStyle w:val="Randnummer"/>
        <w:spacing w:line="360" w:lineRule="auto"/>
        <w:ind w:left="0" w:firstLine="0"/>
      </w:pPr>
      <w:r w:rsidRPr="004022FE">
        <w:rPr>
          <w:b/>
          <w:bCs/>
        </w:rPr>
        <w:fldChar w:fldCharType="begin"/>
      </w:r>
      <w:r w:rsidR="007B14CD" w:rsidRPr="004022FE">
        <w:rPr>
          <w:b/>
          <w:bCs/>
        </w:rPr>
        <w:instrText xml:space="preserve"> AUTONUMLGL  </w:instrText>
      </w:r>
      <w:r w:rsidRPr="004022FE">
        <w:rPr>
          <w:b/>
          <w:bCs/>
        </w:rPr>
        <w:fldChar w:fldCharType="end"/>
      </w:r>
      <w:r w:rsidR="007B14CD" w:rsidRPr="004022FE">
        <w:rPr>
          <w:b/>
          <w:bCs/>
        </w:rPr>
        <w:t xml:space="preserve"> </w:t>
      </w:r>
      <w:r w:rsidR="000C0BD2" w:rsidRPr="004022FE">
        <w:t>Inzake het gezag over de persoon en het beheer over de goederen moet een onderscheid gemaakt worden tussen enerz</w:t>
      </w:r>
      <w:r w:rsidR="00582636" w:rsidRPr="004022FE">
        <w:t>ijds het titularis zijn van de</w:t>
      </w:r>
      <w:r w:rsidR="000C0BD2" w:rsidRPr="004022FE">
        <w:t xml:space="preserve"> bevoegdheden en and</w:t>
      </w:r>
      <w:r w:rsidR="00582636" w:rsidRPr="004022FE">
        <w:t xml:space="preserve">erzijds de uitoefening van de </w:t>
      </w:r>
      <w:r w:rsidR="000C0BD2" w:rsidRPr="004022FE">
        <w:t>bevoegdheden.</w:t>
      </w:r>
      <w:r w:rsidR="000C0BD2" w:rsidRPr="004022FE">
        <w:rPr>
          <w:rStyle w:val="FootnoteReference"/>
        </w:rPr>
        <w:footnoteReference w:id="120"/>
      </w:r>
    </w:p>
    <w:p w:rsidR="00A71F7E" w:rsidRPr="004022FE" w:rsidRDefault="00535FAF" w:rsidP="007B14CD">
      <w:pPr>
        <w:pStyle w:val="Randnummer"/>
        <w:spacing w:line="360" w:lineRule="auto"/>
        <w:ind w:left="0" w:firstLine="0"/>
      </w:pPr>
      <w:r w:rsidRPr="004022FE">
        <w:t xml:space="preserve">Wanneer </w:t>
      </w:r>
      <w:r w:rsidR="000C0BD2" w:rsidRPr="004022FE">
        <w:t>be</w:t>
      </w:r>
      <w:r w:rsidRPr="004022FE">
        <w:t xml:space="preserve">ide ouders samenleven, </w:t>
      </w:r>
      <w:r w:rsidR="000C0BD2" w:rsidRPr="004022FE">
        <w:t>oefenen zij de bevoegdheden in verband met het gezag over de persoon en het beheer van de goederen gezamenlijk uit.</w:t>
      </w:r>
      <w:r w:rsidR="000C0BD2" w:rsidRPr="004022FE">
        <w:rPr>
          <w:rStyle w:val="FootnoteReference"/>
        </w:rPr>
        <w:footnoteReference w:id="121"/>
      </w:r>
      <w:r w:rsidR="000C0BD2" w:rsidRPr="004022FE">
        <w:t xml:space="preserve">  Indien de ouders niet tot overeenstemming komen, kan de familierechtbank beslissen om aan één </w:t>
      </w:r>
      <w:r w:rsidR="00A71F7E" w:rsidRPr="004022FE">
        <w:t xml:space="preserve">van de </w:t>
      </w:r>
      <w:r w:rsidR="000C0BD2" w:rsidRPr="004022FE">
        <w:t>ouder</w:t>
      </w:r>
      <w:r w:rsidR="00A71F7E" w:rsidRPr="004022FE">
        <w:t>s</w:t>
      </w:r>
      <w:r w:rsidR="000C0BD2" w:rsidRPr="004022FE">
        <w:t xml:space="preserve"> toestemming </w:t>
      </w:r>
      <w:r w:rsidRPr="004022FE">
        <w:t xml:space="preserve">te </w:t>
      </w:r>
      <w:r w:rsidR="000C0BD2" w:rsidRPr="004022FE">
        <w:t>geven om een handeling alleen te stellen.</w:t>
      </w:r>
      <w:r w:rsidR="000C0BD2" w:rsidRPr="004022FE">
        <w:rPr>
          <w:rStyle w:val="FootnoteReference"/>
        </w:rPr>
        <w:footnoteReference w:id="122"/>
      </w:r>
      <w:r w:rsidR="000C0BD2" w:rsidRPr="004022FE">
        <w:t xml:space="preserve"> De gezamenlijke uitoefening </w:t>
      </w:r>
      <w:r w:rsidR="00CC2ACA" w:rsidRPr="004022FE">
        <w:t xml:space="preserve">van het ouderlijk gezag </w:t>
      </w:r>
      <w:r w:rsidR="000C0BD2" w:rsidRPr="004022FE">
        <w:t>door beide ouders</w:t>
      </w:r>
      <w:r w:rsidR="00A71F7E" w:rsidRPr="004022FE">
        <w:t>,</w:t>
      </w:r>
      <w:r w:rsidR="000C0BD2" w:rsidRPr="004022FE">
        <w:t xml:space="preserve"> geldt in principe ook wanneer de ouders niet samenleven.</w:t>
      </w:r>
      <w:r w:rsidR="000C0BD2" w:rsidRPr="004022FE">
        <w:rPr>
          <w:rStyle w:val="FootnoteReference"/>
        </w:rPr>
        <w:footnoteReference w:id="123"/>
      </w:r>
      <w:r w:rsidR="000C0BD2" w:rsidRPr="004022FE">
        <w:t xml:space="preserve"> Indien de gezamenlijke uitoefening niet vlot verloopt, kan de rechter aan één van de ouders de uitsluitende uitoefening (“exclusieve uitoefening”) toewijzen.</w:t>
      </w:r>
      <w:r w:rsidR="000C0BD2" w:rsidRPr="004022FE">
        <w:rPr>
          <w:rStyle w:val="FootnoteReference"/>
        </w:rPr>
        <w:footnoteReference w:id="124"/>
      </w:r>
      <w:r w:rsidR="000C0BD2" w:rsidRPr="004022FE">
        <w:t xml:space="preserve"> </w:t>
      </w:r>
    </w:p>
    <w:p w:rsidR="000C0BD2" w:rsidRPr="004022FE" w:rsidRDefault="000C0BD2" w:rsidP="007B14CD">
      <w:pPr>
        <w:pStyle w:val="Randnummer"/>
        <w:spacing w:line="360" w:lineRule="auto"/>
        <w:ind w:left="0" w:firstLine="0"/>
      </w:pPr>
      <w:r w:rsidRPr="004022FE">
        <w:lastRenderedPageBreak/>
        <w:t>Het is belangrijk om te benadrukken dat ondanks dat de uitoefening van de bevoegdheden inzake</w:t>
      </w:r>
      <w:r w:rsidR="00535FAF" w:rsidRPr="004022FE">
        <w:t xml:space="preserve"> de</w:t>
      </w:r>
      <w:r w:rsidRPr="004022FE">
        <w:t xml:space="preserve"> persoon en </w:t>
      </w:r>
      <w:r w:rsidR="00535FAF" w:rsidRPr="004022FE">
        <w:t xml:space="preserve">het </w:t>
      </w:r>
      <w:r w:rsidRPr="004022FE">
        <w:t xml:space="preserve">beheer uitsluitend toekomt aan één ouder, beide ouders titularis blijven van het ouderlijk gezag. De ouder die het ouderlijk gezag niet uitoefent, heeft een recht van toezicht op het beheer over de goederen en de opvoeding van het kind en </w:t>
      </w:r>
      <w:r w:rsidR="00582636" w:rsidRPr="004022FE">
        <w:t xml:space="preserve">heeft </w:t>
      </w:r>
      <w:r w:rsidRPr="004022FE">
        <w:t>het recht op persoonlijk contact met het kind.</w:t>
      </w:r>
      <w:r w:rsidRPr="004022FE">
        <w:rPr>
          <w:rStyle w:val="FootnoteReference"/>
        </w:rPr>
        <w:footnoteReference w:id="125"/>
      </w:r>
    </w:p>
    <w:p w:rsidR="000C0BD2" w:rsidRDefault="000C0BD2" w:rsidP="00746471">
      <w:pPr>
        <w:pStyle w:val="Heading2"/>
        <w:numPr>
          <w:ilvl w:val="1"/>
          <w:numId w:val="6"/>
        </w:numPr>
        <w:spacing w:line="360" w:lineRule="auto"/>
        <w:ind w:left="0"/>
        <w:jc w:val="both"/>
      </w:pPr>
      <w:bookmarkStart w:id="34" w:name="_Toc449936719"/>
      <w:r>
        <w:t>Rechten van niet-juridische ouders</w:t>
      </w:r>
      <w:bookmarkEnd w:id="34"/>
    </w:p>
    <w:p w:rsidR="00DE4D41" w:rsidRPr="00E3309A" w:rsidRDefault="00E87D3E" w:rsidP="007B14CD">
      <w:pPr>
        <w:pStyle w:val="Randnummer"/>
        <w:spacing w:line="360" w:lineRule="auto"/>
        <w:ind w:left="0" w:firstLine="0"/>
      </w:pPr>
      <w:r w:rsidRPr="00E3309A">
        <w:rPr>
          <w:b/>
          <w:bCs/>
        </w:rPr>
        <w:fldChar w:fldCharType="begin"/>
      </w:r>
      <w:r w:rsidR="007B14CD" w:rsidRPr="00E3309A">
        <w:rPr>
          <w:b/>
          <w:bCs/>
        </w:rPr>
        <w:instrText xml:space="preserve"> AUTONUMLGL  </w:instrText>
      </w:r>
      <w:r w:rsidRPr="00E3309A">
        <w:rPr>
          <w:b/>
          <w:bCs/>
        </w:rPr>
        <w:fldChar w:fldCharType="end"/>
      </w:r>
      <w:r w:rsidR="007B14CD" w:rsidRPr="00E3309A">
        <w:rPr>
          <w:b/>
          <w:bCs/>
        </w:rPr>
        <w:t xml:space="preserve"> </w:t>
      </w:r>
      <w:r w:rsidR="00535FAF" w:rsidRPr="00E3309A">
        <w:t>Zoals reeds</w:t>
      </w:r>
      <w:r w:rsidR="000C0BD2" w:rsidRPr="00E3309A">
        <w:t xml:space="preserve"> gezegd</w:t>
      </w:r>
      <w:r w:rsidR="00A71F7E" w:rsidRPr="00E3309A">
        <w:t>,</w:t>
      </w:r>
      <w:r w:rsidR="00582636" w:rsidRPr="00E3309A">
        <w:t xml:space="preserve"> zijn de juridische ouders titularis</w:t>
      </w:r>
      <w:r w:rsidR="000C0BD2" w:rsidRPr="00E3309A">
        <w:t xml:space="preserve"> van de bevoegdheden van het ouderlijk gezag.</w:t>
      </w:r>
      <w:r w:rsidR="000C0BD2" w:rsidRPr="00E3309A">
        <w:rPr>
          <w:rStyle w:val="FootnoteReference"/>
        </w:rPr>
        <w:footnoteReference w:id="126"/>
      </w:r>
      <w:r w:rsidR="000C0BD2" w:rsidRPr="00E3309A">
        <w:t xml:space="preserve"> </w:t>
      </w:r>
      <w:r w:rsidR="00582636" w:rsidRPr="00E3309A">
        <w:t>N</w:t>
      </w:r>
      <w:r w:rsidR="000C0BD2" w:rsidRPr="00E3309A">
        <w:t>iet-juridische ouders</w:t>
      </w:r>
      <w:r w:rsidR="005D6BFC" w:rsidRPr="00E3309A">
        <w:t xml:space="preserve"> hebben in princi</w:t>
      </w:r>
      <w:r w:rsidR="000C0BD2" w:rsidRPr="00E3309A">
        <w:t>pe geen bevoegdheden van het ouderlijk gezag.</w:t>
      </w:r>
      <w:r w:rsidR="005D6BFC" w:rsidRPr="00E3309A">
        <w:rPr>
          <w:rStyle w:val="FootnoteReference"/>
        </w:rPr>
        <w:footnoteReference w:id="127"/>
      </w:r>
      <w:r w:rsidR="007E459E" w:rsidRPr="00E3309A">
        <w:t xml:space="preserve"> </w:t>
      </w:r>
      <w:r w:rsidR="00582636" w:rsidRPr="00E3309A">
        <w:t xml:space="preserve">Ze </w:t>
      </w:r>
      <w:r w:rsidR="000C0BD2" w:rsidRPr="00E3309A">
        <w:t xml:space="preserve">kunnen </w:t>
      </w:r>
      <w:r w:rsidR="006A1D7E" w:rsidRPr="00E3309A">
        <w:t>wel</w:t>
      </w:r>
      <w:r w:rsidR="000C0BD2" w:rsidRPr="00E3309A">
        <w:t xml:space="preserve"> een recht op persoonlijk contact</w:t>
      </w:r>
      <w:r w:rsidR="008545A2" w:rsidRPr="00E3309A">
        <w:t xml:space="preserve"> met het kind </w:t>
      </w:r>
      <w:r w:rsidR="000C0BD2" w:rsidRPr="00E3309A">
        <w:t>verkrijgen.</w:t>
      </w:r>
      <w:r w:rsidR="000C0BD2" w:rsidRPr="00E3309A">
        <w:rPr>
          <w:rStyle w:val="FootnoteReference"/>
        </w:rPr>
        <w:footnoteReference w:id="128"/>
      </w:r>
      <w:r w:rsidR="000C0BD2" w:rsidRPr="00E3309A">
        <w:t xml:space="preserve"> </w:t>
      </w:r>
      <w:r w:rsidR="006A1D7E" w:rsidRPr="00E3309A">
        <w:t xml:space="preserve">Bovendien </w:t>
      </w:r>
      <w:r w:rsidR="005D6BFC" w:rsidRPr="00E3309A">
        <w:t>is</w:t>
      </w:r>
      <w:r w:rsidR="00361605" w:rsidRPr="00E3309A">
        <w:t xml:space="preserve"> een tijdelijke overdracht van</w:t>
      </w:r>
      <w:r w:rsidR="006A1D7E" w:rsidRPr="00E3309A">
        <w:t xml:space="preserve"> het ouderlijk gezag </w:t>
      </w:r>
      <w:r w:rsidR="005D6BFC" w:rsidRPr="00E3309A">
        <w:t>mogelijk</w:t>
      </w:r>
      <w:r w:rsidR="000C0BD2" w:rsidRPr="00E3309A">
        <w:t xml:space="preserve"> via pleegvoogdij.</w:t>
      </w:r>
      <w:r w:rsidR="000C0BD2" w:rsidRPr="00E3309A">
        <w:rPr>
          <w:rStyle w:val="FootnoteReference"/>
        </w:rPr>
        <w:footnoteReference w:id="129"/>
      </w:r>
      <w:r w:rsidR="006A1D7E" w:rsidRPr="00E3309A">
        <w:t xml:space="preserve"> Het lijkt er sterk op dat </w:t>
      </w:r>
      <w:r w:rsidR="00361605" w:rsidRPr="00E3309A">
        <w:t>deze tijdelijke overdracht van het ouderlijk gezag</w:t>
      </w:r>
      <w:r w:rsidR="005D6BFC" w:rsidRPr="00E3309A">
        <w:t>,</w:t>
      </w:r>
      <w:r w:rsidR="00361605" w:rsidRPr="00E3309A">
        <w:t xml:space="preserve"> </w:t>
      </w:r>
      <w:r w:rsidR="006A1D7E" w:rsidRPr="00E3309A">
        <w:t xml:space="preserve">binnenkort ook mogelijk is </w:t>
      </w:r>
      <w:r w:rsidR="00361605" w:rsidRPr="00E3309A">
        <w:t>bij pleegzorg</w:t>
      </w:r>
      <w:r w:rsidR="006A1D7E" w:rsidRPr="00E3309A">
        <w:t>.</w:t>
      </w:r>
      <w:r w:rsidR="006A1D7E" w:rsidRPr="00E3309A">
        <w:rPr>
          <w:rStyle w:val="FootnoteReference"/>
        </w:rPr>
        <w:footnoteReference w:id="130"/>
      </w:r>
    </w:p>
    <w:p w:rsidR="000C0BD2" w:rsidRDefault="000C0BD2" w:rsidP="00746471">
      <w:pPr>
        <w:pStyle w:val="Heading3"/>
        <w:numPr>
          <w:ilvl w:val="2"/>
          <w:numId w:val="6"/>
        </w:numPr>
        <w:spacing w:line="360" w:lineRule="auto"/>
        <w:jc w:val="both"/>
      </w:pPr>
      <w:bookmarkStart w:id="35" w:name="_Toc449936720"/>
      <w:r>
        <w:t>Recht op persoonlijk contact</w:t>
      </w:r>
      <w:bookmarkEnd w:id="35"/>
    </w:p>
    <w:p w:rsidR="000C0BD2" w:rsidRPr="00E3309A" w:rsidRDefault="00E87D3E" w:rsidP="007B14CD">
      <w:pPr>
        <w:pStyle w:val="Randnummer"/>
        <w:spacing w:line="360" w:lineRule="auto"/>
        <w:ind w:left="0" w:firstLine="0"/>
      </w:pPr>
      <w:r w:rsidRPr="00E3309A">
        <w:rPr>
          <w:b/>
          <w:bCs/>
        </w:rPr>
        <w:fldChar w:fldCharType="begin"/>
      </w:r>
      <w:r w:rsidR="007B14CD" w:rsidRPr="00E3309A">
        <w:rPr>
          <w:b/>
          <w:bCs/>
        </w:rPr>
        <w:instrText xml:space="preserve"> AUTONUMLGL  </w:instrText>
      </w:r>
      <w:r w:rsidRPr="00E3309A">
        <w:rPr>
          <w:b/>
          <w:bCs/>
        </w:rPr>
        <w:fldChar w:fldCharType="end"/>
      </w:r>
      <w:r w:rsidR="007B14CD" w:rsidRPr="00E3309A">
        <w:rPr>
          <w:b/>
          <w:bCs/>
        </w:rPr>
        <w:t xml:space="preserve"> </w:t>
      </w:r>
      <w:r w:rsidR="000C0BD2" w:rsidRPr="00E3309A">
        <w:t>Het recht op persoonlijk contact van de juridische ouders werd reeds besproken. In dit deel wordt enkel het recht op persoonlijk contact van de niet-juridische ouders besproken.</w:t>
      </w:r>
    </w:p>
    <w:p w:rsidR="000C0BD2" w:rsidRDefault="000C0BD2" w:rsidP="00746471">
      <w:pPr>
        <w:pStyle w:val="Heading4"/>
        <w:numPr>
          <w:ilvl w:val="3"/>
          <w:numId w:val="6"/>
        </w:numPr>
        <w:spacing w:line="360" w:lineRule="auto"/>
        <w:jc w:val="both"/>
      </w:pPr>
      <w:bookmarkStart w:id="36" w:name="_Toc449936721"/>
      <w:r>
        <w:lastRenderedPageBreak/>
        <w:t>V</w:t>
      </w:r>
      <w:r w:rsidR="004C750E">
        <w:t>irtueel contactgerechtigden</w:t>
      </w:r>
      <w:bookmarkEnd w:id="36"/>
    </w:p>
    <w:p w:rsidR="004C750E" w:rsidRPr="004C750E" w:rsidRDefault="004C750E" w:rsidP="00746471">
      <w:pPr>
        <w:pStyle w:val="Heading5"/>
        <w:numPr>
          <w:ilvl w:val="4"/>
          <w:numId w:val="6"/>
        </w:numPr>
        <w:spacing w:line="360" w:lineRule="auto"/>
        <w:jc w:val="both"/>
      </w:pPr>
      <w:bookmarkStart w:id="37" w:name="_Toc449936722"/>
      <w:r>
        <w:t>Duiding begrip</w:t>
      </w:r>
      <w:bookmarkEnd w:id="37"/>
    </w:p>
    <w:p w:rsidR="004C750E" w:rsidRPr="00D0399B" w:rsidRDefault="00E87D3E" w:rsidP="007B14CD">
      <w:pPr>
        <w:pStyle w:val="Randnummer"/>
        <w:spacing w:line="360" w:lineRule="auto"/>
        <w:ind w:left="0" w:firstLine="0"/>
      </w:pPr>
      <w:r w:rsidRPr="00D0399B">
        <w:rPr>
          <w:b/>
          <w:bCs/>
        </w:rPr>
        <w:fldChar w:fldCharType="begin"/>
      </w:r>
      <w:r w:rsidR="007B14CD" w:rsidRPr="00D0399B">
        <w:rPr>
          <w:b/>
          <w:bCs/>
        </w:rPr>
        <w:instrText xml:space="preserve"> AUTONUMLGL  </w:instrText>
      </w:r>
      <w:r w:rsidRPr="00D0399B">
        <w:rPr>
          <w:b/>
          <w:bCs/>
        </w:rPr>
        <w:fldChar w:fldCharType="end"/>
      </w:r>
      <w:r w:rsidR="007B14CD" w:rsidRPr="00D0399B">
        <w:rPr>
          <w:b/>
          <w:bCs/>
        </w:rPr>
        <w:t xml:space="preserve"> </w:t>
      </w:r>
      <w:r w:rsidR="000C0BD2" w:rsidRPr="00D0399B">
        <w:t>De niet-juridische</w:t>
      </w:r>
      <w:r w:rsidR="00D0399B" w:rsidRPr="00D0399B">
        <w:t xml:space="preserve"> ouder die het kind mee opvoedt</w:t>
      </w:r>
      <w:r w:rsidR="000C0BD2" w:rsidRPr="00D0399B">
        <w:t xml:space="preserve"> en die niet de grootouder is van het kind, </w:t>
      </w:r>
      <w:r w:rsidR="00535FAF" w:rsidRPr="00D0399B">
        <w:t>is een</w:t>
      </w:r>
      <w:r w:rsidR="000C0BD2" w:rsidRPr="00D0399B">
        <w:t xml:space="preserve"> virtueel contactgerechtigde. Virtueel conta</w:t>
      </w:r>
      <w:r w:rsidR="00535FAF" w:rsidRPr="00D0399B">
        <w:t>ctgerechtigden zijn ieder ander</w:t>
      </w:r>
      <w:r w:rsidR="000C0BD2" w:rsidRPr="00D0399B">
        <w:t xml:space="preserve"> persoon dan ouders of grootouders.</w:t>
      </w:r>
      <w:r w:rsidR="000C0BD2" w:rsidRPr="00D0399B">
        <w:rPr>
          <w:rStyle w:val="FootnoteReference"/>
        </w:rPr>
        <w:footnoteReference w:id="131"/>
      </w:r>
    </w:p>
    <w:p w:rsidR="000C0BD2" w:rsidRPr="00D0399B" w:rsidRDefault="00E87D3E" w:rsidP="007B14CD">
      <w:pPr>
        <w:pStyle w:val="Randnummer"/>
        <w:spacing w:line="360" w:lineRule="auto"/>
        <w:ind w:left="0" w:firstLine="0"/>
      </w:pPr>
      <w:r w:rsidRPr="00D0399B">
        <w:rPr>
          <w:b/>
          <w:bCs/>
        </w:rPr>
        <w:fldChar w:fldCharType="begin"/>
      </w:r>
      <w:r w:rsidR="007B14CD" w:rsidRPr="00D0399B">
        <w:rPr>
          <w:b/>
          <w:bCs/>
        </w:rPr>
        <w:instrText xml:space="preserve"> AUTONUMLGL  </w:instrText>
      </w:r>
      <w:r w:rsidRPr="00D0399B">
        <w:rPr>
          <w:b/>
          <w:bCs/>
        </w:rPr>
        <w:fldChar w:fldCharType="end"/>
      </w:r>
      <w:r w:rsidR="007B14CD" w:rsidRPr="00D0399B">
        <w:rPr>
          <w:b/>
          <w:bCs/>
        </w:rPr>
        <w:t xml:space="preserve"> </w:t>
      </w:r>
      <w:r w:rsidR="000C0BD2" w:rsidRPr="00D0399B">
        <w:t>Het contactrecht van de virtueel contactgerechtigden is subsidiair aan het contactrecht van de ouders en grootouders.</w:t>
      </w:r>
      <w:r w:rsidR="000C0BD2" w:rsidRPr="00D0399B">
        <w:rPr>
          <w:rStyle w:val="FootnoteReference"/>
        </w:rPr>
        <w:footnoteReference w:id="132"/>
      </w:r>
      <w:r w:rsidR="000C0BD2" w:rsidRPr="00D0399B">
        <w:t xml:space="preserve"> Het recht op persoonlijk conta</w:t>
      </w:r>
      <w:r w:rsidR="00BC795D">
        <w:t>ct houdt onder andere in dat men</w:t>
      </w:r>
      <w:r w:rsidR="000C0BD2" w:rsidRPr="00D0399B">
        <w:t xml:space="preserve"> het k</w:t>
      </w:r>
      <w:r w:rsidR="007B14CD" w:rsidRPr="00D0399B">
        <w:t>ind kunnen ontvangen, bezoeken en schrijven.</w:t>
      </w:r>
      <w:r w:rsidR="000C0BD2" w:rsidRPr="00D0399B">
        <w:rPr>
          <w:rStyle w:val="FootnoteReference"/>
        </w:rPr>
        <w:footnoteReference w:id="133"/>
      </w:r>
    </w:p>
    <w:p w:rsidR="004C750E" w:rsidRDefault="004C750E" w:rsidP="00746471">
      <w:pPr>
        <w:pStyle w:val="Heading5"/>
        <w:numPr>
          <w:ilvl w:val="4"/>
          <w:numId w:val="6"/>
        </w:numPr>
        <w:spacing w:line="360" w:lineRule="auto"/>
        <w:jc w:val="both"/>
      </w:pPr>
      <w:bookmarkStart w:id="38" w:name="_Toc449936723"/>
      <w:r>
        <w:t>Vereiste van bijzonder</w:t>
      </w:r>
      <w:r w:rsidR="008F3D94">
        <w:t>e</w:t>
      </w:r>
      <w:r>
        <w:t xml:space="preserve"> affectieve band</w:t>
      </w:r>
      <w:bookmarkEnd w:id="38"/>
    </w:p>
    <w:p w:rsidR="004C750E" w:rsidRPr="004C750E" w:rsidRDefault="004C750E" w:rsidP="00746471">
      <w:pPr>
        <w:pStyle w:val="Heading6"/>
        <w:numPr>
          <w:ilvl w:val="5"/>
          <w:numId w:val="6"/>
        </w:numPr>
        <w:spacing w:line="360" w:lineRule="auto"/>
        <w:jc w:val="both"/>
      </w:pPr>
      <w:bookmarkStart w:id="39" w:name="_Toc449936724"/>
      <w:r>
        <w:t>Bewijs van bijzonder</w:t>
      </w:r>
      <w:r w:rsidR="008F3D94">
        <w:t>e</w:t>
      </w:r>
      <w:r>
        <w:t xml:space="preserve"> affectieve band</w:t>
      </w:r>
      <w:bookmarkEnd w:id="39"/>
    </w:p>
    <w:p w:rsidR="00311F4B" w:rsidRPr="005E5791" w:rsidRDefault="00E87D3E" w:rsidP="007B14CD">
      <w:pPr>
        <w:pStyle w:val="Randnummer"/>
        <w:spacing w:line="360" w:lineRule="auto"/>
        <w:ind w:left="0" w:firstLine="0"/>
      </w:pPr>
      <w:r w:rsidRPr="005E5791">
        <w:rPr>
          <w:b/>
          <w:bCs/>
        </w:rPr>
        <w:fldChar w:fldCharType="begin"/>
      </w:r>
      <w:r w:rsidR="007B14CD" w:rsidRPr="005E5791">
        <w:rPr>
          <w:b/>
          <w:bCs/>
        </w:rPr>
        <w:instrText xml:space="preserve"> AUTONUMLGL  </w:instrText>
      </w:r>
      <w:r w:rsidRPr="005E5791">
        <w:rPr>
          <w:b/>
          <w:bCs/>
        </w:rPr>
        <w:fldChar w:fldCharType="end"/>
      </w:r>
      <w:r w:rsidR="007B14CD" w:rsidRPr="005E5791">
        <w:rPr>
          <w:b/>
          <w:bCs/>
        </w:rPr>
        <w:t xml:space="preserve"> </w:t>
      </w:r>
      <w:r w:rsidR="00ED236D" w:rsidRPr="005E5791">
        <w:t>De virtueel contactgerechtigden</w:t>
      </w:r>
      <w:r w:rsidR="004C750E" w:rsidRPr="005E5791">
        <w:t xml:space="preserve"> kunnen een recht op persoonlijk contact met het kind verkrijgen</w:t>
      </w:r>
      <w:r w:rsidR="00535FAF" w:rsidRPr="005E5791">
        <w:t>,</w:t>
      </w:r>
      <w:r w:rsidR="004C750E" w:rsidRPr="005E5791">
        <w:t xml:space="preserve"> indien zij aantonen dat ze een bijzonder</w:t>
      </w:r>
      <w:r w:rsidR="008F3D94" w:rsidRPr="005E5791">
        <w:t>e</w:t>
      </w:r>
      <w:r w:rsidR="004C750E" w:rsidRPr="005E5791">
        <w:t xml:space="preserve"> affectieve band met het kind hebben.</w:t>
      </w:r>
      <w:r w:rsidR="004C750E" w:rsidRPr="005E5791">
        <w:rPr>
          <w:rStyle w:val="FootnoteReference"/>
        </w:rPr>
        <w:footnoteReference w:id="134"/>
      </w:r>
      <w:r w:rsidR="00233DBA" w:rsidRPr="005E5791">
        <w:t xml:space="preserve"> </w:t>
      </w:r>
      <w:r w:rsidR="007E459E" w:rsidRPr="005E5791">
        <w:t>De persoon</w:t>
      </w:r>
      <w:r w:rsidR="00233DBA" w:rsidRPr="005E5791">
        <w:t xml:space="preserve"> die om persoonlijk contact verzoekt</w:t>
      </w:r>
      <w:r w:rsidR="00473899" w:rsidRPr="005E5791">
        <w:t>,</w:t>
      </w:r>
      <w:r w:rsidR="007E459E" w:rsidRPr="005E5791">
        <w:t xml:space="preserve"> dient het bestaan </w:t>
      </w:r>
      <w:r w:rsidR="00233DBA" w:rsidRPr="005E5791">
        <w:t>van deze bijzonder</w:t>
      </w:r>
      <w:r w:rsidR="008F3D94" w:rsidRPr="005E5791">
        <w:t>e</w:t>
      </w:r>
      <w:r w:rsidR="00233DBA" w:rsidRPr="005E5791">
        <w:t xml:space="preserve"> affectieve band te bewijzen.</w:t>
      </w:r>
      <w:r w:rsidR="00233DBA" w:rsidRPr="005E5791">
        <w:rPr>
          <w:rStyle w:val="FootnoteReference"/>
        </w:rPr>
        <w:footnoteReference w:id="135"/>
      </w:r>
      <w:r w:rsidR="004C750E" w:rsidRPr="005E5791">
        <w:t xml:space="preserve"> </w:t>
      </w:r>
      <w:r w:rsidR="00311F4B" w:rsidRPr="005E5791">
        <w:t>Artikel 375</w:t>
      </w:r>
      <w:r w:rsidR="00311F4B" w:rsidRPr="005E5791">
        <w:rPr>
          <w:i/>
        </w:rPr>
        <w:t>bis</w:t>
      </w:r>
      <w:r w:rsidR="007E459E" w:rsidRPr="005E5791">
        <w:t xml:space="preserve"> BW. heeft </w:t>
      </w:r>
      <w:r w:rsidR="00311F4B" w:rsidRPr="005E5791">
        <w:t>tot doel het behoud van de sociale betrekkingen van het kind te verzekeren.</w:t>
      </w:r>
      <w:r w:rsidR="00311F4B" w:rsidRPr="005E5791">
        <w:rPr>
          <w:rStyle w:val="FootnoteReference"/>
        </w:rPr>
        <w:footnoteReference w:id="136"/>
      </w:r>
      <w:r w:rsidR="00311F4B" w:rsidRPr="005E5791">
        <w:t xml:space="preserve"> Het bestaan van een bijzondere affectieve band is dus vereist voor de toekenning van een recht op persoonlijk contact.</w:t>
      </w:r>
    </w:p>
    <w:p w:rsidR="00E6067A" w:rsidRPr="00E6067A" w:rsidRDefault="000952FA" w:rsidP="00746471">
      <w:pPr>
        <w:pStyle w:val="Heading6"/>
        <w:numPr>
          <w:ilvl w:val="5"/>
          <w:numId w:val="6"/>
        </w:numPr>
        <w:spacing w:line="360" w:lineRule="auto"/>
        <w:jc w:val="both"/>
      </w:pPr>
      <w:bookmarkStart w:id="40" w:name="_Toc449936725"/>
      <w:r>
        <w:lastRenderedPageBreak/>
        <w:t>Vereisten</w:t>
      </w:r>
      <w:r w:rsidR="00ED236D">
        <w:t xml:space="preserve"> voor het bestaan van de bijzonder</w:t>
      </w:r>
      <w:r w:rsidR="00313ED5">
        <w:t xml:space="preserve">e </w:t>
      </w:r>
      <w:r w:rsidR="00ED236D">
        <w:t>affectieve band</w:t>
      </w:r>
      <w:bookmarkEnd w:id="40"/>
    </w:p>
    <w:p w:rsidR="00F445FB" w:rsidRPr="005E5791" w:rsidRDefault="00E87D3E" w:rsidP="007B14CD">
      <w:pPr>
        <w:pStyle w:val="Randnummer"/>
        <w:spacing w:line="360" w:lineRule="auto"/>
        <w:ind w:left="0" w:firstLine="0"/>
      </w:pPr>
      <w:r w:rsidRPr="005E5791">
        <w:rPr>
          <w:b/>
          <w:bCs/>
        </w:rPr>
        <w:fldChar w:fldCharType="begin"/>
      </w:r>
      <w:r w:rsidR="007B14CD" w:rsidRPr="005E5791">
        <w:rPr>
          <w:b/>
          <w:bCs/>
        </w:rPr>
        <w:instrText xml:space="preserve"> AUTONUMLGL  </w:instrText>
      </w:r>
      <w:r w:rsidRPr="005E5791">
        <w:rPr>
          <w:b/>
          <w:bCs/>
        </w:rPr>
        <w:fldChar w:fldCharType="end"/>
      </w:r>
      <w:r w:rsidR="007B14CD" w:rsidRPr="005E5791">
        <w:rPr>
          <w:b/>
          <w:bCs/>
        </w:rPr>
        <w:t xml:space="preserve"> </w:t>
      </w:r>
      <w:r w:rsidR="007E459E" w:rsidRPr="005E5791">
        <w:t>Gedurende bepaalde tijd werd vereist</w:t>
      </w:r>
      <w:r w:rsidR="00ED236D" w:rsidRPr="005E5791">
        <w:t xml:space="preserve"> dat de bijzonder</w:t>
      </w:r>
      <w:r w:rsidR="00313ED5" w:rsidRPr="005E5791">
        <w:t>e</w:t>
      </w:r>
      <w:r w:rsidR="00ED236D" w:rsidRPr="005E5791">
        <w:t xml:space="preserve"> affectieve band wederkerig en actueel moest zijn.</w:t>
      </w:r>
      <w:r w:rsidR="003E334F" w:rsidRPr="005E5791">
        <w:rPr>
          <w:rStyle w:val="FootnoteReference"/>
        </w:rPr>
        <w:footnoteReference w:id="137"/>
      </w:r>
      <w:r w:rsidR="000952FA" w:rsidRPr="005E5791">
        <w:t xml:space="preserve"> De wederkerigheidsvereiste houdt in dat </w:t>
      </w:r>
      <w:r w:rsidR="00473899" w:rsidRPr="005E5791">
        <w:t xml:space="preserve">het kind en </w:t>
      </w:r>
      <w:r w:rsidR="000952FA" w:rsidRPr="005E5791">
        <w:t>diegene die het recht op persoonlijk contact vordert</w:t>
      </w:r>
      <w:r w:rsidR="007F44F7" w:rsidRPr="005E5791">
        <w:t>,</w:t>
      </w:r>
      <w:r w:rsidR="000952FA" w:rsidRPr="005E5791">
        <w:t xml:space="preserve"> </w:t>
      </w:r>
      <w:r w:rsidR="00473899" w:rsidRPr="005E5791">
        <w:t>w</w:t>
      </w:r>
      <w:r w:rsidR="000952FA" w:rsidRPr="005E5791">
        <w:t>ederzijds een affectieve gevoelsband hebben.</w:t>
      </w:r>
      <w:r w:rsidR="000952FA" w:rsidRPr="005E5791">
        <w:rPr>
          <w:rStyle w:val="FootnoteReference"/>
        </w:rPr>
        <w:footnoteReference w:id="138"/>
      </w:r>
      <w:r w:rsidR="000952FA" w:rsidRPr="005E5791">
        <w:t xml:space="preserve"> De actualiteitsvereiste houdt i</w:t>
      </w:r>
      <w:r w:rsidR="007E459E" w:rsidRPr="005E5791">
        <w:t>n dat de band nog effectief dient te</w:t>
      </w:r>
      <w:r w:rsidR="000952FA" w:rsidRPr="005E5791">
        <w:t xml:space="preserve"> bestaan.</w:t>
      </w:r>
      <w:r w:rsidR="000952FA" w:rsidRPr="005E5791">
        <w:rPr>
          <w:rStyle w:val="FootnoteReference"/>
        </w:rPr>
        <w:footnoteReference w:id="139"/>
      </w:r>
      <w:r w:rsidR="000952FA" w:rsidRPr="005E5791">
        <w:t xml:space="preserve"> </w:t>
      </w:r>
      <w:r w:rsidR="00233DBA" w:rsidRPr="005E5791">
        <w:t xml:space="preserve">Het arrest van het Hof van Cassatie van 16 januari 2009 </w:t>
      </w:r>
      <w:r w:rsidR="00AA1202" w:rsidRPr="005E5791">
        <w:t>is een belangrijk arre</w:t>
      </w:r>
      <w:r w:rsidR="00535FAF" w:rsidRPr="005E5791">
        <w:t xml:space="preserve">st </w:t>
      </w:r>
      <w:r w:rsidR="00233DBA" w:rsidRPr="005E5791">
        <w:t>met betrekking tot deze</w:t>
      </w:r>
      <w:r w:rsidR="000952FA" w:rsidRPr="005E5791">
        <w:t xml:space="preserve"> vereisten</w:t>
      </w:r>
      <w:r w:rsidR="00EB5143" w:rsidRPr="005E5791">
        <w:t>. H</w:t>
      </w:r>
      <w:r w:rsidR="00233DBA" w:rsidRPr="005E5791">
        <w:t>et Hof</w:t>
      </w:r>
      <w:r w:rsidR="003358AF" w:rsidRPr="005E5791">
        <w:t xml:space="preserve"> van Cassatie</w:t>
      </w:r>
      <w:r w:rsidR="00233DBA" w:rsidRPr="005E5791">
        <w:t xml:space="preserve"> </w:t>
      </w:r>
      <w:r w:rsidR="00EB5143" w:rsidRPr="005E5791">
        <w:t>stelt in dit arrest</w:t>
      </w:r>
      <w:r w:rsidR="00233DBA" w:rsidRPr="005E5791">
        <w:t xml:space="preserve"> dat de band n</w:t>
      </w:r>
      <w:r w:rsidR="00EB5143" w:rsidRPr="005E5791">
        <w:t>iet wederkerig</w:t>
      </w:r>
      <w:r w:rsidR="005E5791" w:rsidRPr="005E5791">
        <w:t>,</w:t>
      </w:r>
      <w:r w:rsidR="00EB5143" w:rsidRPr="005E5791">
        <w:t xml:space="preserve"> noch actueel dient te</w:t>
      </w:r>
      <w:r w:rsidR="00233DBA" w:rsidRPr="005E5791">
        <w:t xml:space="preserve"> zijn.</w:t>
      </w:r>
      <w:r w:rsidR="000952FA" w:rsidRPr="005E5791">
        <w:rPr>
          <w:rStyle w:val="FootnoteReference"/>
        </w:rPr>
        <w:footnoteReference w:id="140"/>
      </w:r>
      <w:r w:rsidR="00ED236D" w:rsidRPr="005E5791">
        <w:t xml:space="preserve"> </w:t>
      </w:r>
    </w:p>
    <w:p w:rsidR="004C750E" w:rsidRPr="005E5791" w:rsidRDefault="00E87D3E" w:rsidP="007B14CD">
      <w:pPr>
        <w:pStyle w:val="Randnummer"/>
        <w:spacing w:line="360" w:lineRule="auto"/>
        <w:ind w:left="0" w:firstLine="0"/>
      </w:pPr>
      <w:r w:rsidRPr="005E5791">
        <w:rPr>
          <w:b/>
          <w:bCs/>
        </w:rPr>
        <w:fldChar w:fldCharType="begin"/>
      </w:r>
      <w:r w:rsidR="007B14CD" w:rsidRPr="005E5791">
        <w:rPr>
          <w:b/>
          <w:bCs/>
        </w:rPr>
        <w:instrText xml:space="preserve"> AUTONUMLGL  </w:instrText>
      </w:r>
      <w:r w:rsidRPr="005E5791">
        <w:rPr>
          <w:b/>
          <w:bCs/>
        </w:rPr>
        <w:fldChar w:fldCharType="end"/>
      </w:r>
      <w:r w:rsidR="007B14CD" w:rsidRPr="005E5791">
        <w:rPr>
          <w:b/>
          <w:bCs/>
        </w:rPr>
        <w:t xml:space="preserve"> </w:t>
      </w:r>
      <w:r w:rsidR="00F445FB" w:rsidRPr="005E5791">
        <w:t>In casu gaat het over de niet-biologische vader (verweerder) die een recht op persoonlijk contact wil met het kind</w:t>
      </w:r>
      <w:r w:rsidR="000952FA" w:rsidRPr="005E5791">
        <w:t xml:space="preserve"> van zijn voormalige partner</w:t>
      </w:r>
      <w:r w:rsidR="00F445FB" w:rsidRPr="005E5791">
        <w:t>.</w:t>
      </w:r>
      <w:r w:rsidR="00040017" w:rsidRPr="005E5791">
        <w:t xml:space="preserve"> De verweerder heeft een relatie met de moeder van het kind gehad en gedurende deze relatie </w:t>
      </w:r>
      <w:r w:rsidR="00EB5143" w:rsidRPr="005E5791">
        <w:t>vormden zij een feitelijk gezin</w:t>
      </w:r>
      <w:r w:rsidR="00F445FB" w:rsidRPr="005E5791">
        <w:t xml:space="preserve">. </w:t>
      </w:r>
      <w:r w:rsidR="00040017" w:rsidRPr="005E5791">
        <w:t>Uit een maatsch</w:t>
      </w:r>
      <w:r w:rsidR="00EB5143" w:rsidRPr="005E5791">
        <w:t>appelijk onderzoek blijkt dat</w:t>
      </w:r>
      <w:r w:rsidR="00040017" w:rsidRPr="005E5791">
        <w:t xml:space="preserve"> een duidelijk affectieve band bestond tussen het kind en </w:t>
      </w:r>
      <w:r w:rsidR="002702FA" w:rsidRPr="005E5791">
        <w:t>de verweerder. Volgens</w:t>
      </w:r>
      <w:r w:rsidR="00040017" w:rsidRPr="005E5791">
        <w:t xml:space="preserve"> de justitieassistente bestaat deze band niet meer in hoofde van het kind als gevolg van de duur van het proces.</w:t>
      </w:r>
      <w:r w:rsidR="000952FA" w:rsidRPr="005E5791">
        <w:rPr>
          <w:rStyle w:val="FootnoteReference"/>
        </w:rPr>
        <w:footnoteReference w:id="141"/>
      </w:r>
      <w:r w:rsidR="00040017" w:rsidRPr="005E5791">
        <w:t xml:space="preserve"> </w:t>
      </w:r>
    </w:p>
    <w:p w:rsidR="005717CD" w:rsidRPr="005E5791" w:rsidRDefault="00E87D3E" w:rsidP="007B14CD">
      <w:pPr>
        <w:pStyle w:val="Randnummer"/>
        <w:spacing w:line="360" w:lineRule="auto"/>
        <w:ind w:left="0" w:firstLine="0"/>
      </w:pPr>
      <w:r w:rsidRPr="005E5791">
        <w:rPr>
          <w:b/>
          <w:bCs/>
        </w:rPr>
        <w:fldChar w:fldCharType="begin"/>
      </w:r>
      <w:r w:rsidR="007B14CD" w:rsidRPr="005E5791">
        <w:rPr>
          <w:b/>
          <w:bCs/>
        </w:rPr>
        <w:instrText xml:space="preserve"> AUTONUMLGL  </w:instrText>
      </w:r>
      <w:r w:rsidRPr="005E5791">
        <w:rPr>
          <w:b/>
          <w:bCs/>
        </w:rPr>
        <w:fldChar w:fldCharType="end"/>
      </w:r>
      <w:r w:rsidR="007B14CD" w:rsidRPr="005E5791">
        <w:rPr>
          <w:b/>
          <w:bCs/>
        </w:rPr>
        <w:t xml:space="preserve"> </w:t>
      </w:r>
      <w:r w:rsidR="001511CA" w:rsidRPr="005E5791">
        <w:t>Het Hof van Cassat</w:t>
      </w:r>
      <w:r w:rsidR="00535FAF" w:rsidRPr="005E5791">
        <w:t>ie oordeelt dat het niet vervuld</w:t>
      </w:r>
      <w:r w:rsidR="001511CA" w:rsidRPr="005E5791">
        <w:t xml:space="preserve"> zijn van de wederkerigheids- en actualiteitsvereiste niet zonder meer tot gevolg heeft dat er geen recht op persoonlijk contact kan toegekend worden. </w:t>
      </w:r>
      <w:r w:rsidR="007F44F7" w:rsidRPr="005E5791">
        <w:t xml:space="preserve">Het niet vervuld zijn van de wederkerigheids- en/of actualiteitsvereiste heeft volgens het Hof </w:t>
      </w:r>
      <w:r w:rsidR="00614E2C" w:rsidRPr="005E5791">
        <w:t xml:space="preserve">van Cassatie </w:t>
      </w:r>
      <w:r w:rsidR="007F44F7" w:rsidRPr="005E5791">
        <w:t>niet tot gevolg dat de toekenning van het recht op persoonlijk contact a priori wordt ui</w:t>
      </w:r>
      <w:r w:rsidR="00AA1202" w:rsidRPr="005E5791">
        <w:t>t</w:t>
      </w:r>
      <w:r w:rsidR="007F44F7" w:rsidRPr="005E5791">
        <w:t>gesloten.</w:t>
      </w:r>
      <w:r w:rsidR="003358AF" w:rsidRPr="005E5791">
        <w:rPr>
          <w:rStyle w:val="FootnoteReference"/>
        </w:rPr>
        <w:t xml:space="preserve"> </w:t>
      </w:r>
      <w:r w:rsidR="003358AF" w:rsidRPr="005E5791">
        <w:rPr>
          <w:rStyle w:val="FootnoteReference"/>
        </w:rPr>
        <w:footnoteReference w:id="142"/>
      </w:r>
      <w:r w:rsidR="007F44F7" w:rsidRPr="005E5791">
        <w:t xml:space="preserve"> Het is aan de jeugdrechtbank om geval per geval te beslissen of de toekenning van het recht op persoonlijk contact in het belang van het kind is.</w:t>
      </w:r>
      <w:r w:rsidR="007F44F7" w:rsidRPr="005E5791">
        <w:rPr>
          <w:rStyle w:val="FootnoteReference"/>
        </w:rPr>
        <w:footnoteReference w:id="143"/>
      </w:r>
    </w:p>
    <w:p w:rsidR="004D1641" w:rsidRPr="005E5791" w:rsidRDefault="00E87D3E" w:rsidP="007B14CD">
      <w:pPr>
        <w:pStyle w:val="Randnummer"/>
        <w:spacing w:line="360" w:lineRule="auto"/>
        <w:ind w:left="0" w:firstLine="0"/>
      </w:pPr>
      <w:r w:rsidRPr="005E5791">
        <w:rPr>
          <w:b/>
          <w:bCs/>
        </w:rPr>
        <w:lastRenderedPageBreak/>
        <w:fldChar w:fldCharType="begin"/>
      </w:r>
      <w:r w:rsidR="007B14CD" w:rsidRPr="005E5791">
        <w:rPr>
          <w:b/>
          <w:bCs/>
        </w:rPr>
        <w:instrText xml:space="preserve"> AUTONUMLGL  </w:instrText>
      </w:r>
      <w:r w:rsidRPr="005E5791">
        <w:rPr>
          <w:b/>
          <w:bCs/>
        </w:rPr>
        <w:fldChar w:fldCharType="end"/>
      </w:r>
      <w:r w:rsidR="007B14CD" w:rsidRPr="005E5791">
        <w:rPr>
          <w:b/>
          <w:bCs/>
        </w:rPr>
        <w:t xml:space="preserve"> </w:t>
      </w:r>
      <w:r w:rsidR="006022AE" w:rsidRPr="005E5791">
        <w:t>Het Hof van Cassatie zegt met dit arrest dat</w:t>
      </w:r>
      <w:r w:rsidR="00EB5143" w:rsidRPr="005E5791">
        <w:t xml:space="preserve"> de toekenning van</w:t>
      </w:r>
      <w:r w:rsidR="006022AE" w:rsidRPr="005E5791">
        <w:t xml:space="preserve"> een recht op persoonlijk contact</w:t>
      </w:r>
      <w:r w:rsidR="00EB5143" w:rsidRPr="005E5791">
        <w:t xml:space="preserve"> mogelijk is</w:t>
      </w:r>
      <w:r w:rsidR="0044738B" w:rsidRPr="005E5791">
        <w:t xml:space="preserve"> indien </w:t>
      </w:r>
      <w:r w:rsidR="006022AE" w:rsidRPr="005E5791">
        <w:t xml:space="preserve">nooit een affectieve band van het kind </w:t>
      </w:r>
      <w:r w:rsidR="00EB5143" w:rsidRPr="005E5791">
        <w:t>tegenover</w:t>
      </w:r>
      <w:r w:rsidR="006022AE" w:rsidRPr="005E5791">
        <w:t xml:space="preserve"> de eiser heeft bestaan.</w:t>
      </w:r>
      <w:r w:rsidR="006022AE" w:rsidRPr="005E5791">
        <w:rPr>
          <w:rStyle w:val="FootnoteReference"/>
        </w:rPr>
        <w:footnoteReference w:id="144"/>
      </w:r>
      <w:r w:rsidR="006022AE" w:rsidRPr="005E5791">
        <w:t xml:space="preserve"> </w:t>
      </w:r>
      <w:r w:rsidR="004E3374" w:rsidRPr="005E5791">
        <w:t xml:space="preserve">Dit arrest kan </w:t>
      </w:r>
      <w:r w:rsidR="005578E7" w:rsidRPr="005E5791">
        <w:t xml:space="preserve">gelezen worden </w:t>
      </w:r>
      <w:r w:rsidR="004E3374" w:rsidRPr="005E5791">
        <w:t>als een toelating van het Hof van Cassatie</w:t>
      </w:r>
      <w:r w:rsidR="006022AE" w:rsidRPr="005E5791">
        <w:t xml:space="preserve"> </w:t>
      </w:r>
      <w:r w:rsidR="0044738B" w:rsidRPr="005E5791">
        <w:t>tot</w:t>
      </w:r>
      <w:r w:rsidR="006022AE" w:rsidRPr="005E5791">
        <w:t xml:space="preserve"> verzoeken </w:t>
      </w:r>
      <w:r w:rsidR="0044738B" w:rsidRPr="005E5791">
        <w:t>om een</w:t>
      </w:r>
      <w:r w:rsidR="006022AE" w:rsidRPr="005E5791">
        <w:t xml:space="preserve"> bijzondere affectieve band tot stand </w:t>
      </w:r>
      <w:r w:rsidR="0044738B" w:rsidRPr="005E5791">
        <w:t xml:space="preserve">te </w:t>
      </w:r>
      <w:r w:rsidR="003358AF" w:rsidRPr="005E5791">
        <w:t xml:space="preserve">brengen, naast de </w:t>
      </w:r>
      <w:r w:rsidR="006022AE" w:rsidRPr="005E5791">
        <w:t xml:space="preserve">verzoeken tot </w:t>
      </w:r>
      <w:r w:rsidR="00EB5143" w:rsidRPr="005E5791">
        <w:t>het behoud</w:t>
      </w:r>
      <w:r w:rsidR="006022AE" w:rsidRPr="005E5791">
        <w:t xml:space="preserve"> van deze bijzondere affectieve band.</w:t>
      </w:r>
      <w:r w:rsidR="004E3374" w:rsidRPr="005E5791">
        <w:rPr>
          <w:rStyle w:val="FootnoteReference"/>
        </w:rPr>
        <w:footnoteReference w:id="145"/>
      </w:r>
      <w:r w:rsidR="004E3374" w:rsidRPr="005E5791">
        <w:t xml:space="preserve"> Deze lezing van het arrest, met name een toelating </w:t>
      </w:r>
      <w:r w:rsidR="0044738B" w:rsidRPr="005E5791">
        <w:t>tot</w:t>
      </w:r>
      <w:r w:rsidR="004E3374" w:rsidRPr="005E5791">
        <w:t xml:space="preserve"> verzoeken om een bijzondere affectieve band tot stand te brengen, is in overeenstemming met de rechtspraak van het Europees Hof v</w:t>
      </w:r>
      <w:r w:rsidR="00746D53" w:rsidRPr="005E5791">
        <w:t>oor</w:t>
      </w:r>
      <w:r w:rsidR="004E3374" w:rsidRPr="005E5791">
        <w:t xml:space="preserve"> de Rechten van de Mens (hierna EHRM).</w:t>
      </w:r>
      <w:r w:rsidR="004E3374" w:rsidRPr="005E5791">
        <w:rPr>
          <w:rStyle w:val="FootnoteReference"/>
        </w:rPr>
        <w:footnoteReference w:id="146"/>
      </w:r>
      <w:r w:rsidR="004E3374" w:rsidRPr="005E5791">
        <w:t xml:space="preserve"> Deze rechtspraak wordt in het volgende punt besproken. </w:t>
      </w:r>
    </w:p>
    <w:p w:rsidR="00276007" w:rsidRPr="00276007" w:rsidRDefault="002702FA" w:rsidP="00746471">
      <w:pPr>
        <w:pStyle w:val="Heading6"/>
        <w:numPr>
          <w:ilvl w:val="5"/>
          <w:numId w:val="6"/>
        </w:numPr>
        <w:spacing w:line="360" w:lineRule="auto"/>
        <w:jc w:val="both"/>
      </w:pPr>
      <w:bookmarkStart w:id="41" w:name="_Toc449936726"/>
      <w:r>
        <w:t>Pote</w:t>
      </w:r>
      <w:r w:rsidR="005717CD">
        <w:t>n</w:t>
      </w:r>
      <w:r>
        <w:t>tiële bijzonder</w:t>
      </w:r>
      <w:r w:rsidR="005717CD">
        <w:t>e</w:t>
      </w:r>
      <w:r>
        <w:t xml:space="preserve"> affectieve band volgens </w:t>
      </w:r>
      <w:r w:rsidR="00FB7090">
        <w:t xml:space="preserve">rechtspraak </w:t>
      </w:r>
      <w:r>
        <w:t>EHRM</w:t>
      </w:r>
      <w:bookmarkEnd w:id="41"/>
    </w:p>
    <w:p w:rsidR="005E001B"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5E001B" w:rsidRPr="00E033B0">
        <w:t xml:space="preserve">Artikel 8 </w:t>
      </w:r>
      <w:r w:rsidR="005E5791" w:rsidRPr="00E033B0">
        <w:t xml:space="preserve">van het </w:t>
      </w:r>
      <w:r w:rsidR="005E001B" w:rsidRPr="00E033B0">
        <w:t>Europees Verdrag tot bescherming van de rechten van de mens en de fundamentele vrijheden (hierna EVRM) waarborgt het recht op res</w:t>
      </w:r>
      <w:r w:rsidR="007B14CD" w:rsidRPr="00E033B0">
        <w:t>pect voor zijn privé-</w:t>
      </w:r>
      <w:r w:rsidR="005E001B" w:rsidRPr="00E033B0">
        <w:t xml:space="preserve">, familie- en gezinsleven. Eerst en vooral dient erop gewezen te worden dat Staten een positieve verplichting hebben om de nodige maatregelen te nemen </w:t>
      </w:r>
      <w:r w:rsidR="005E5791" w:rsidRPr="00E033B0">
        <w:t>zodat de rechten en vrijheden van</w:t>
      </w:r>
      <w:r w:rsidR="005E001B" w:rsidRPr="00E033B0">
        <w:t xml:space="preserve"> het EVRM beschermd worden.</w:t>
      </w:r>
      <w:r w:rsidR="005E001B" w:rsidRPr="00E033B0">
        <w:rPr>
          <w:rStyle w:val="FootnoteReference"/>
        </w:rPr>
        <w:footnoteReference w:id="147"/>
      </w:r>
      <w:r w:rsidR="005E001B" w:rsidRPr="00E033B0">
        <w:t xml:space="preserve"> De positieve verplichting in het kader van artikel 8 EVRM</w:t>
      </w:r>
      <w:r w:rsidR="005578E7" w:rsidRPr="00E033B0">
        <w:t xml:space="preserve"> houdt in dat St</w:t>
      </w:r>
      <w:r w:rsidR="005E001B" w:rsidRPr="00E033B0">
        <w:t>at</w:t>
      </w:r>
      <w:r w:rsidR="005578E7" w:rsidRPr="00E033B0">
        <w:t>en de verplichting hebben</w:t>
      </w:r>
      <w:r w:rsidR="005E001B" w:rsidRPr="00E033B0">
        <w:t xml:space="preserve"> om maatregelen te nemen zodat het privé- en gezinsleven gerespecteerd wordt.</w:t>
      </w:r>
      <w:r w:rsidR="005E001B" w:rsidRPr="00E033B0">
        <w:rPr>
          <w:rStyle w:val="FootnoteReference"/>
        </w:rPr>
        <w:footnoteReference w:id="148"/>
      </w:r>
      <w:r w:rsidR="005E001B" w:rsidRPr="00E033B0">
        <w:t xml:space="preserve"> Artikel 375</w:t>
      </w:r>
      <w:r w:rsidR="005E001B" w:rsidRPr="00E033B0">
        <w:rPr>
          <w:i/>
        </w:rPr>
        <w:t xml:space="preserve">bis </w:t>
      </w:r>
      <w:r w:rsidR="005E001B" w:rsidRPr="00E033B0">
        <w:t>BW. is een maatregel van de Staat om te voldoen aan de positieve verplichting tot bescherming van het familie- en gezinsleven van artikel 8 EVRM.</w:t>
      </w:r>
      <w:r w:rsidR="005E001B" w:rsidRPr="00E033B0">
        <w:rPr>
          <w:rStyle w:val="FootnoteReference"/>
        </w:rPr>
        <w:footnoteReference w:id="149"/>
      </w:r>
    </w:p>
    <w:p w:rsidR="003207C0"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3207C0" w:rsidRPr="00E033B0">
        <w:t xml:space="preserve">Artikel 8 </w:t>
      </w:r>
      <w:r w:rsidR="005E001B" w:rsidRPr="00E033B0">
        <w:t xml:space="preserve">EVRM </w:t>
      </w:r>
      <w:r w:rsidR="003207C0" w:rsidRPr="00E033B0">
        <w:t xml:space="preserve">waarborgt het recht op respect voor zijn </w:t>
      </w:r>
      <w:r w:rsidR="00276007" w:rsidRPr="00E033B0">
        <w:t xml:space="preserve">privé-, </w:t>
      </w:r>
      <w:r w:rsidR="003207C0" w:rsidRPr="00E033B0">
        <w:t>familie- en gezinsleven. Da</w:t>
      </w:r>
      <w:r w:rsidR="0044738B" w:rsidRPr="00E033B0">
        <w:t xml:space="preserve">ar waar </w:t>
      </w:r>
      <w:r w:rsidR="003207C0" w:rsidRPr="00E033B0">
        <w:t>normaal een effectief gezins- en familieleven vereist is om onder de bescherming van artikel</w:t>
      </w:r>
      <w:r w:rsidR="00942403" w:rsidRPr="00E033B0">
        <w:t xml:space="preserve"> 8 EVRM te vallen, heeft het EHRM</w:t>
      </w:r>
      <w:r w:rsidR="003207C0" w:rsidRPr="00E033B0">
        <w:t xml:space="preserve"> in enkele arresten geoordeeld dat ook </w:t>
      </w:r>
      <w:r w:rsidR="003207C0" w:rsidRPr="00E033B0">
        <w:rPr>
          <w:i/>
        </w:rPr>
        <w:lastRenderedPageBreak/>
        <w:t>“intended family life”</w:t>
      </w:r>
      <w:r w:rsidR="00663D0F" w:rsidRPr="00E033B0">
        <w:t xml:space="preserve"> </w:t>
      </w:r>
      <w:r w:rsidR="003207C0" w:rsidRPr="00E033B0">
        <w:t>volstaat om onder de bescherming van artikel 8 EVRM te vallen.</w:t>
      </w:r>
      <w:r w:rsidR="003207C0" w:rsidRPr="00E033B0">
        <w:rPr>
          <w:rStyle w:val="FootnoteReference"/>
        </w:rPr>
        <w:footnoteReference w:id="150"/>
      </w:r>
      <w:r w:rsidR="00942403" w:rsidRPr="00E033B0">
        <w:t xml:space="preserve"> Hierna worden twee arresten besproken om dit te verduidelijken.</w:t>
      </w:r>
      <w:r w:rsidR="00942403" w:rsidRPr="00E033B0">
        <w:rPr>
          <w:rStyle w:val="FootnoteReference"/>
        </w:rPr>
        <w:footnoteReference w:id="151"/>
      </w:r>
    </w:p>
    <w:p w:rsidR="00B87C0C"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B87C0C" w:rsidRPr="00E033B0">
        <w:t>In h</w:t>
      </w:r>
      <w:r w:rsidR="00313ED5" w:rsidRPr="00E033B0">
        <w:t>et arrest Anayo v. Duitsland heeft</w:t>
      </w:r>
      <w:r w:rsidR="00B87C0C" w:rsidRPr="00E033B0">
        <w:t xml:space="preserve"> de eiser sinds 2003 een rel</w:t>
      </w:r>
      <w:r w:rsidR="0017136B" w:rsidRPr="00E033B0">
        <w:t xml:space="preserve">atie met Mevrouw B. Mevrouw B. </w:t>
      </w:r>
      <w:r w:rsidR="00DE100A" w:rsidRPr="00E033B0">
        <w:t xml:space="preserve">is getrouwd met Meneer B. </w:t>
      </w:r>
      <w:r w:rsidR="00B87C0C" w:rsidRPr="00E033B0">
        <w:t>Mevrouw B</w:t>
      </w:r>
      <w:r w:rsidR="00313ED5" w:rsidRPr="00E033B0">
        <w:t>. woont gedurende de relatie met de eiser</w:t>
      </w:r>
      <w:r w:rsidR="00B87C0C" w:rsidRPr="00E033B0">
        <w:t xml:space="preserve"> </w:t>
      </w:r>
      <w:r w:rsidR="00CD7605" w:rsidRPr="00E033B0">
        <w:t>alleen.</w:t>
      </w:r>
      <w:r w:rsidR="003358AF" w:rsidRPr="00E033B0">
        <w:t xml:space="preserve"> Ze heeft nooit met de eiser samengewoond.</w:t>
      </w:r>
      <w:r w:rsidR="0044738B" w:rsidRPr="00E033B0">
        <w:t xml:space="preserve"> In augustus 2005 beëindigt</w:t>
      </w:r>
      <w:r w:rsidR="00B87C0C" w:rsidRPr="00E033B0">
        <w:t xml:space="preserve"> Mevrouw B. de relatie met de eiser en gaat terug inwonen bij Meneer B. In december 2005 bevalt Mevrouw B. van een tweeling. De eiser is de biologische vader van de kinderen. Mevrouw en Meneer B. voeden de tweeling samen op. Volgens artikel 1592 van de Civil Code, is Meneer B</w:t>
      </w:r>
      <w:r w:rsidR="00313ED5" w:rsidRPr="00E033B0">
        <w:t>.</w:t>
      </w:r>
      <w:r w:rsidR="00B87C0C" w:rsidRPr="00E033B0">
        <w:t xml:space="preserve"> de juridische vader. Mevrouw en Meneer B. </w:t>
      </w:r>
      <w:r w:rsidR="00942403" w:rsidRPr="00E033B0">
        <w:t>h</w:t>
      </w:r>
      <w:r w:rsidR="00B87C0C" w:rsidRPr="00E033B0">
        <w:t>ebben</w:t>
      </w:r>
      <w:r w:rsidR="00942403" w:rsidRPr="00E033B0">
        <w:t xml:space="preserve"> zowel voor als na de geboorte van de tweeling,</w:t>
      </w:r>
      <w:r w:rsidR="00B87C0C" w:rsidRPr="00E033B0">
        <w:t xml:space="preserve"> herhaaldelijk het</w:t>
      </w:r>
      <w:r w:rsidR="00942403" w:rsidRPr="00E033B0">
        <w:t xml:space="preserve"> verzoek van de eiser </w:t>
      </w:r>
      <w:r w:rsidR="003358AF" w:rsidRPr="00E033B0">
        <w:t xml:space="preserve">om contact te hebben met de tweeling </w:t>
      </w:r>
      <w:r w:rsidR="00942403" w:rsidRPr="00E033B0">
        <w:t>geweigerd</w:t>
      </w:r>
      <w:r w:rsidR="00B87C0C" w:rsidRPr="00E033B0">
        <w:t>.</w:t>
      </w:r>
      <w:r w:rsidR="00B860B2" w:rsidRPr="00E033B0">
        <w:rPr>
          <w:rStyle w:val="FootnoteReference"/>
        </w:rPr>
        <w:footnoteReference w:id="152"/>
      </w:r>
      <w:r w:rsidR="00A33346" w:rsidRPr="00E033B0">
        <w:t xml:space="preserve"> </w:t>
      </w:r>
    </w:p>
    <w:p w:rsidR="00A33346"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1E5C57" w:rsidRPr="00E033B0">
        <w:t>Het EHRM stelt dat al</w:t>
      </w:r>
      <w:r w:rsidR="0044738B" w:rsidRPr="00E033B0">
        <w:t>leen</w:t>
      </w:r>
      <w:r w:rsidR="001E5C57" w:rsidRPr="00E033B0">
        <w:t xml:space="preserve"> </w:t>
      </w:r>
      <w:r w:rsidR="00942403" w:rsidRPr="00E033B0">
        <w:t xml:space="preserve">de </w:t>
      </w:r>
      <w:r w:rsidR="001E5C57" w:rsidRPr="00E033B0">
        <w:t>biologische verwantschap tussen een biologische ouder en een kind, zonder andere wettelijke of feitelijke elementen die wijzen op het bestaan van een nauwe persoonlijke relatie, onvoldoende is om onder de bescherming van artikel 8 EVRM te vallen.</w:t>
      </w:r>
      <w:r w:rsidR="00B860B2" w:rsidRPr="00E033B0">
        <w:rPr>
          <w:rStyle w:val="FootnoteReference"/>
        </w:rPr>
        <w:footnoteReference w:id="153"/>
      </w:r>
      <w:r w:rsidR="00942403" w:rsidRPr="00E033B0">
        <w:t xml:space="preserve"> Het EHRM beslist evenwel </w:t>
      </w:r>
      <w:r w:rsidR="001E5C57" w:rsidRPr="00E033B0">
        <w:t>dat intentioneel familieleven in uitzonderlijke gevallen onder de beschermi</w:t>
      </w:r>
      <w:r w:rsidR="00974B83" w:rsidRPr="00E033B0">
        <w:t>ng van artikel 8 EVRM valt</w:t>
      </w:r>
      <w:r w:rsidR="00376C1C" w:rsidRPr="00E033B0">
        <w:t>. Dit is onder andere</w:t>
      </w:r>
      <w:r w:rsidR="0044738B" w:rsidRPr="00E033B0">
        <w:t xml:space="preserve"> het geval wanneer</w:t>
      </w:r>
      <w:r w:rsidR="001E5C57" w:rsidRPr="00E033B0">
        <w:t xml:space="preserve"> het feit dat </w:t>
      </w:r>
      <w:r w:rsidR="00313ED5" w:rsidRPr="00E033B0">
        <w:t xml:space="preserve">het </w:t>
      </w:r>
      <w:r w:rsidR="001E5C57" w:rsidRPr="00E033B0">
        <w:t>familieleven niet volledig tot stand is geko</w:t>
      </w:r>
      <w:r w:rsidR="00974B83" w:rsidRPr="00E033B0">
        <w:t>men, niet te wijten is aan</w:t>
      </w:r>
      <w:r w:rsidR="001E5C57" w:rsidRPr="00E033B0">
        <w:t xml:space="preserve"> de eiser.</w:t>
      </w:r>
      <w:r w:rsidR="00B860B2" w:rsidRPr="00E033B0">
        <w:rPr>
          <w:rStyle w:val="FootnoteReference"/>
        </w:rPr>
        <w:footnoteReference w:id="154"/>
      </w:r>
      <w:r w:rsidR="00974B83" w:rsidRPr="00E033B0">
        <w:t xml:space="preserve"> In casu heeft de biologische vader nog gee</w:t>
      </w:r>
      <w:r w:rsidR="003358AF" w:rsidRPr="00E033B0">
        <w:t>n contact gehad met de kinderen</w:t>
      </w:r>
      <w:r w:rsidR="00974B83" w:rsidRPr="00E033B0">
        <w:t xml:space="preserve"> omdat de moeder en haar man (de juridische vader) elk verzoek van de biologische vader om contact </w:t>
      </w:r>
      <w:r w:rsidR="00B860B2" w:rsidRPr="00E033B0">
        <w:t>weigeren</w:t>
      </w:r>
      <w:r w:rsidR="00974B83" w:rsidRPr="00E033B0">
        <w:t>.</w:t>
      </w:r>
      <w:r w:rsidR="00B860B2" w:rsidRPr="00E033B0">
        <w:rPr>
          <w:rStyle w:val="FootnoteReference"/>
        </w:rPr>
        <w:footnoteReference w:id="155"/>
      </w:r>
      <w:r w:rsidR="00974B83" w:rsidRPr="00E033B0">
        <w:t xml:space="preserve"> Het feit </w:t>
      </w:r>
      <w:r w:rsidR="00CD7605" w:rsidRPr="00E033B0">
        <w:t xml:space="preserve">dat </w:t>
      </w:r>
      <w:r w:rsidR="00974B83" w:rsidRPr="00E033B0">
        <w:t>geen familieleven tussen de eiser en de kinderen tot stand is gekomen, kan dus niet te wijten zijn aan de eiser.</w:t>
      </w:r>
      <w:r w:rsidR="00B860B2" w:rsidRPr="00E033B0">
        <w:rPr>
          <w:rStyle w:val="FootnoteReference"/>
        </w:rPr>
        <w:footnoteReference w:id="156"/>
      </w:r>
      <w:r w:rsidR="00C67B4D" w:rsidRPr="00E033B0">
        <w:t xml:space="preserve"> </w:t>
      </w:r>
      <w:r w:rsidR="00974B83" w:rsidRPr="00E033B0">
        <w:t xml:space="preserve">Gelet op het voorgaande sluit het EHRM niet uit dat de intentionele relatie van de eiser </w:t>
      </w:r>
      <w:r w:rsidR="00C26186" w:rsidRPr="00E033B0">
        <w:t>met zijn biologische kinderen</w:t>
      </w:r>
      <w:r w:rsidR="00974B83" w:rsidRPr="00E033B0">
        <w:t xml:space="preserve"> onder de bescherming van ar</w:t>
      </w:r>
      <w:r w:rsidR="00AA1202" w:rsidRPr="00E033B0">
        <w:t>t</w:t>
      </w:r>
      <w:r w:rsidR="00974B83" w:rsidRPr="00E033B0">
        <w:t>ikel 8 EVRM valt.</w:t>
      </w:r>
      <w:r w:rsidR="00B860B2" w:rsidRPr="00E033B0">
        <w:rPr>
          <w:rStyle w:val="FootnoteReference"/>
        </w:rPr>
        <w:footnoteReference w:id="157"/>
      </w:r>
      <w:r w:rsidR="0017136B" w:rsidRPr="00E033B0">
        <w:t xml:space="preserve"> </w:t>
      </w:r>
    </w:p>
    <w:p w:rsidR="00276007"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276007" w:rsidRPr="00E033B0">
        <w:t xml:space="preserve">In het arrest Schneider v. Duitsland oordeelt het EHRM in dezelfde richting. </w:t>
      </w:r>
      <w:r w:rsidR="001333EC" w:rsidRPr="00E033B0">
        <w:t>Het EHRM stel</w:t>
      </w:r>
      <w:r w:rsidR="00466B8F" w:rsidRPr="00E033B0">
        <w:t xml:space="preserve">t dat </w:t>
      </w:r>
      <w:r w:rsidR="00784A3A" w:rsidRPr="00E033B0">
        <w:t>intentioneel familieleven</w:t>
      </w:r>
      <w:r w:rsidR="00466B8F" w:rsidRPr="00E033B0">
        <w:t xml:space="preserve"> uitzonderlijk onder de bescherming van artikel 8 EVRM </w:t>
      </w:r>
      <w:r w:rsidR="00466B8F" w:rsidRPr="00E033B0">
        <w:lastRenderedPageBreak/>
        <w:t>valt.</w:t>
      </w:r>
      <w:r w:rsidR="00501991" w:rsidRPr="00E033B0">
        <w:rPr>
          <w:rStyle w:val="FootnoteReference"/>
        </w:rPr>
        <w:footnoteReference w:id="158"/>
      </w:r>
      <w:r w:rsidR="00466B8F" w:rsidRPr="00E033B0">
        <w:t xml:space="preserve"> </w:t>
      </w:r>
      <w:r w:rsidR="00E033B0" w:rsidRPr="00E033B0">
        <w:t xml:space="preserve">Dit is onder andere het </w:t>
      </w:r>
      <w:r w:rsidR="0044738B" w:rsidRPr="00E033B0">
        <w:t>geval wanneer</w:t>
      </w:r>
      <w:r w:rsidR="0017136B" w:rsidRPr="00E033B0">
        <w:t xml:space="preserve"> het feit dat familieleven niet volledig tot stand is gekomen, niet te wijten is aan de eiser.</w:t>
      </w:r>
      <w:r w:rsidR="00501991" w:rsidRPr="00E033B0">
        <w:rPr>
          <w:rStyle w:val="FootnoteReference"/>
        </w:rPr>
        <w:footnoteReference w:id="159"/>
      </w:r>
      <w:r w:rsidR="0017136B" w:rsidRPr="00E033B0">
        <w:t xml:space="preserve"> In casu hebben Mevrouw en Meneer H., de juridische ouders, de verzoeken van de eiser</w:t>
      </w:r>
      <w:r w:rsidR="001333EC" w:rsidRPr="00E033B0">
        <w:t>, de biologische vader,</w:t>
      </w:r>
      <w:r w:rsidR="0017136B" w:rsidRPr="00E033B0">
        <w:t xml:space="preserve"> om persoonlijk contact</w:t>
      </w:r>
      <w:r w:rsidR="00C26186" w:rsidRPr="00E033B0">
        <w:t xml:space="preserve"> met het kind</w:t>
      </w:r>
      <w:r w:rsidR="0017136B" w:rsidRPr="00E033B0">
        <w:t xml:space="preserve"> geweigerd. Het </w:t>
      </w:r>
      <w:r w:rsidR="00C26186" w:rsidRPr="00E033B0">
        <w:t>feit dat er geen familieleven tussen de eiser en het kind tot stand is gekomen, is dus</w:t>
      </w:r>
      <w:r w:rsidR="0017136B" w:rsidRPr="00E033B0">
        <w:t xml:space="preserve"> niet te wi</w:t>
      </w:r>
      <w:r w:rsidR="00CD7605" w:rsidRPr="00E033B0">
        <w:t>jten aan de eiser</w:t>
      </w:r>
      <w:r w:rsidR="00C26186" w:rsidRPr="00E033B0">
        <w:t>.</w:t>
      </w:r>
    </w:p>
    <w:p w:rsidR="000C0BD2" w:rsidRPr="007817B5" w:rsidRDefault="009B3303" w:rsidP="00746471">
      <w:pPr>
        <w:pStyle w:val="Heading4"/>
        <w:numPr>
          <w:ilvl w:val="3"/>
          <w:numId w:val="6"/>
        </w:numPr>
        <w:spacing w:line="360" w:lineRule="auto"/>
        <w:jc w:val="both"/>
      </w:pPr>
      <w:bookmarkStart w:id="42" w:name="_Toc449936727"/>
      <w:r>
        <w:t xml:space="preserve">Weigering van </w:t>
      </w:r>
      <w:r w:rsidR="005470B1">
        <w:t>uitoefening van het</w:t>
      </w:r>
      <w:r w:rsidR="000C0BD2">
        <w:t xml:space="preserve"> omgangsrecht</w:t>
      </w:r>
      <w:bookmarkEnd w:id="42"/>
    </w:p>
    <w:p w:rsidR="000C0BD2"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0C0BD2" w:rsidRPr="00E033B0">
        <w:t>De uitoefening van het omgangsrecht van de virtueel contactgerechtigden kan geweigerd worden indien deze contacten strijdig zouden zijn met het belang van het kind.</w:t>
      </w:r>
      <w:r w:rsidR="000C0BD2" w:rsidRPr="00E033B0">
        <w:rPr>
          <w:rStyle w:val="FootnoteReference"/>
        </w:rPr>
        <w:footnoteReference w:id="160"/>
      </w:r>
      <w:r w:rsidR="000C0BD2" w:rsidRPr="00E033B0">
        <w:t xml:space="preserve"> </w:t>
      </w:r>
    </w:p>
    <w:p w:rsidR="000C0BD2"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0C0BD2" w:rsidRPr="00E033B0">
        <w:t xml:space="preserve">Net zoals </w:t>
      </w:r>
      <w:r w:rsidR="0044738B" w:rsidRPr="00E033B0">
        <w:t>bij het ouderlijk gezag wordt</w:t>
      </w:r>
      <w:r w:rsidR="000C0BD2" w:rsidRPr="00E033B0">
        <w:t xml:space="preserve"> een onderscheid gemaakt tussen het titularis zijn van het omgangsrecht en de uitoefening van het omgangsrecht.</w:t>
      </w:r>
      <w:r w:rsidR="000C0BD2" w:rsidRPr="00E033B0">
        <w:rPr>
          <w:rStyle w:val="FootnoteReference"/>
        </w:rPr>
        <w:footnoteReference w:id="161"/>
      </w:r>
      <w:r w:rsidR="00CD7605" w:rsidRPr="00E033B0">
        <w:t xml:space="preserve"> </w:t>
      </w:r>
      <w:r w:rsidR="000C0BD2" w:rsidRPr="00E033B0">
        <w:t>Indien de uitoefening van het omgangsrecht geweigerd wordt, blijft men titularis van het omgangsrecht.</w:t>
      </w:r>
    </w:p>
    <w:p w:rsidR="000C0BD2" w:rsidRDefault="000C0BD2" w:rsidP="00746471">
      <w:pPr>
        <w:pStyle w:val="Heading3"/>
        <w:numPr>
          <w:ilvl w:val="2"/>
          <w:numId w:val="6"/>
        </w:numPr>
        <w:spacing w:line="360" w:lineRule="auto"/>
        <w:jc w:val="both"/>
      </w:pPr>
      <w:bookmarkStart w:id="43" w:name="_Toc449936728"/>
      <w:r>
        <w:t>Pleegvoogdij</w:t>
      </w:r>
      <w:bookmarkEnd w:id="43"/>
      <w:r>
        <w:t xml:space="preserve"> </w:t>
      </w:r>
    </w:p>
    <w:p w:rsidR="000C0BD2" w:rsidRPr="00D73054" w:rsidRDefault="000C0BD2" w:rsidP="00746471">
      <w:pPr>
        <w:pStyle w:val="Heading4"/>
        <w:numPr>
          <w:ilvl w:val="3"/>
          <w:numId w:val="6"/>
        </w:numPr>
        <w:spacing w:line="360" w:lineRule="auto"/>
        <w:jc w:val="both"/>
      </w:pPr>
      <w:bookmarkStart w:id="44" w:name="_Toc449936729"/>
      <w:r>
        <w:t>Duiding begrip</w:t>
      </w:r>
      <w:bookmarkEnd w:id="44"/>
    </w:p>
    <w:p w:rsidR="001333EC"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0C0BD2" w:rsidRPr="00E033B0">
        <w:t>Pleegvoogdij is de vrijwillige overdracht van het ouderlijk gezag tijdens het leven van de ouders. De pleegvoogd neemt op contractuele basis d</w:t>
      </w:r>
      <w:r w:rsidR="001333EC" w:rsidRPr="00E033B0">
        <w:t>e ouderlijke verplichtingen over</w:t>
      </w:r>
      <w:r w:rsidR="000C0BD2" w:rsidRPr="00E033B0">
        <w:t>.</w:t>
      </w:r>
      <w:r w:rsidR="001333EC" w:rsidRPr="00E033B0">
        <w:rPr>
          <w:rStyle w:val="FootnoteReference"/>
        </w:rPr>
        <w:footnoteReference w:id="162"/>
      </w:r>
      <w:r w:rsidR="000C0BD2" w:rsidRPr="00E033B0">
        <w:t xml:space="preserve"> Artikel 475</w:t>
      </w:r>
      <w:r w:rsidR="000C0BD2" w:rsidRPr="00E033B0">
        <w:rPr>
          <w:i/>
          <w:iCs/>
        </w:rPr>
        <w:t xml:space="preserve">bis </w:t>
      </w:r>
      <w:r w:rsidR="000C0BD2" w:rsidRPr="00E033B0">
        <w:t xml:space="preserve">BW. bepaalt dat de pleegvoogd zich ertoe verbindt om een niet-ontvoogd kind te onderhouden, op te voeden en in staat te stellen de kost te </w:t>
      </w:r>
      <w:r w:rsidR="001333EC" w:rsidRPr="00E033B0">
        <w:t xml:space="preserve">verdienen. </w:t>
      </w:r>
    </w:p>
    <w:p w:rsidR="000C0BD2"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0C0BD2" w:rsidRPr="00E033B0">
        <w:t>De niet-juridische ouder verkrijgt ook een deel van de bevoegdheden van het ouderlijk gezag.</w:t>
      </w:r>
      <w:r w:rsidR="000C0BD2" w:rsidRPr="00E033B0">
        <w:rPr>
          <w:rStyle w:val="FootnoteReference"/>
        </w:rPr>
        <w:footnoteReference w:id="163"/>
      </w:r>
      <w:r w:rsidR="000C0BD2" w:rsidRPr="00E033B0">
        <w:t xml:space="preserve"> </w:t>
      </w:r>
      <w:r w:rsidR="00DE100A" w:rsidRPr="00E033B0">
        <w:t>Artikel</w:t>
      </w:r>
      <w:r w:rsidR="000C0BD2" w:rsidRPr="00E033B0">
        <w:t xml:space="preserve"> 475</w:t>
      </w:r>
      <w:r w:rsidR="000C0BD2" w:rsidRPr="00E033B0">
        <w:rPr>
          <w:i/>
          <w:iCs/>
        </w:rPr>
        <w:t xml:space="preserve">quater </w:t>
      </w:r>
      <w:r w:rsidR="000C0BD2" w:rsidRPr="00E033B0">
        <w:t xml:space="preserve">BW. </w:t>
      </w:r>
      <w:r w:rsidR="00DE100A" w:rsidRPr="00E033B0">
        <w:t xml:space="preserve">bepaalt </w:t>
      </w:r>
      <w:r w:rsidR="000C0BD2" w:rsidRPr="00E033B0">
        <w:t>dat de pleegvoogd het recht van bewaring uitoefent over de persoon van het pleegkind, voor zover het zijn gewone verblijfplaats bij hem heeft. Artikel 475</w:t>
      </w:r>
      <w:r w:rsidR="007B201F" w:rsidRPr="00E033B0">
        <w:rPr>
          <w:i/>
          <w:iCs/>
        </w:rPr>
        <w:t>quater</w:t>
      </w:r>
      <w:r w:rsidR="000C0BD2" w:rsidRPr="00E033B0">
        <w:rPr>
          <w:i/>
          <w:iCs/>
        </w:rPr>
        <w:t xml:space="preserve"> </w:t>
      </w:r>
      <w:r w:rsidR="000C0BD2" w:rsidRPr="00E033B0">
        <w:t xml:space="preserve">BW. bepaalt </w:t>
      </w:r>
      <w:r w:rsidR="007B201F" w:rsidRPr="00E033B0">
        <w:t xml:space="preserve">eveneens </w:t>
      </w:r>
      <w:r w:rsidR="000C0BD2" w:rsidRPr="00E033B0">
        <w:t>dat de pleegvoogd de goederen van het pleegkind beheert</w:t>
      </w:r>
      <w:r w:rsidR="00942403" w:rsidRPr="00E033B0">
        <w:t>.</w:t>
      </w:r>
    </w:p>
    <w:p w:rsidR="000C0BD2" w:rsidRDefault="000C0BD2" w:rsidP="00746471">
      <w:pPr>
        <w:pStyle w:val="Heading4"/>
        <w:numPr>
          <w:ilvl w:val="3"/>
          <w:numId w:val="6"/>
        </w:numPr>
        <w:spacing w:line="360" w:lineRule="auto"/>
        <w:jc w:val="both"/>
      </w:pPr>
      <w:bookmarkStart w:id="45" w:name="_Toc449936730"/>
      <w:r>
        <w:lastRenderedPageBreak/>
        <w:t xml:space="preserve">Totstandkoming </w:t>
      </w:r>
      <w:r w:rsidR="00310B3C">
        <w:t xml:space="preserve">en beëindiging van </w:t>
      </w:r>
      <w:r>
        <w:t>pleegvoogdij</w:t>
      </w:r>
      <w:bookmarkEnd w:id="45"/>
    </w:p>
    <w:p w:rsidR="000C0BD2"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0C0BD2" w:rsidRPr="00E033B0">
        <w:t xml:space="preserve">Bij de </w:t>
      </w:r>
      <w:r w:rsidR="00E033B0" w:rsidRPr="00E033B0">
        <w:t>totstandkoming van pleegvoogdij</w:t>
      </w:r>
      <w:r w:rsidR="000C0BD2" w:rsidRPr="00E033B0">
        <w:t xml:space="preserve"> is de wil van de part</w:t>
      </w:r>
      <w:r w:rsidR="00AF5377" w:rsidRPr="00E033B0">
        <w:t>ijen van essentieel belang.</w:t>
      </w:r>
      <w:r w:rsidR="002C3C7F" w:rsidRPr="00E033B0">
        <w:rPr>
          <w:rStyle w:val="FootnoteReference"/>
        </w:rPr>
        <w:footnoteReference w:id="164"/>
      </w:r>
      <w:r w:rsidR="00AF5377" w:rsidRPr="00E033B0">
        <w:t xml:space="preserve"> P</w:t>
      </w:r>
      <w:r w:rsidR="000C0BD2" w:rsidRPr="00E033B0">
        <w:t>leegvoogdij is vrijwillig, de juridische ouders moeten de wil hebben om bepaalde bevoegdheden van het ouderlijk gezag over te dragen en kunnen hiertoe niet gedwongen worden.</w:t>
      </w:r>
      <w:r w:rsidR="000C0BD2" w:rsidRPr="00E033B0">
        <w:rPr>
          <w:rStyle w:val="FootnoteReference"/>
        </w:rPr>
        <w:footnoteReference w:id="165"/>
      </w:r>
    </w:p>
    <w:p w:rsidR="000C0BD2" w:rsidRPr="00E033B0" w:rsidRDefault="000C0BD2" w:rsidP="007B14CD">
      <w:pPr>
        <w:pStyle w:val="Randnummer"/>
        <w:spacing w:line="360" w:lineRule="auto"/>
        <w:ind w:left="0" w:firstLine="0"/>
      </w:pPr>
      <w:r w:rsidRPr="00E033B0">
        <w:t xml:space="preserve">De contractspartijen sluiten een overeenkomst die aan de </w:t>
      </w:r>
      <w:r w:rsidR="00E033B0" w:rsidRPr="00E033B0">
        <w:t>basis ligt van</w:t>
      </w:r>
      <w:r w:rsidR="00AF5377" w:rsidRPr="00E033B0">
        <w:t xml:space="preserve"> pleegvoogdij.</w:t>
      </w:r>
      <w:r w:rsidR="002C3C7F" w:rsidRPr="00E033B0">
        <w:rPr>
          <w:rStyle w:val="FootnoteReference"/>
        </w:rPr>
        <w:footnoteReference w:id="166"/>
      </w:r>
      <w:r w:rsidR="00AF5377" w:rsidRPr="00E033B0">
        <w:t xml:space="preserve"> </w:t>
      </w:r>
      <w:r w:rsidRPr="00E033B0">
        <w:t>De overeenkomst heeft pas gevolgen nadat ze bekracht</w:t>
      </w:r>
      <w:r w:rsidR="00310B3C" w:rsidRPr="00E033B0">
        <w:t>igd is door de familierechtbank</w:t>
      </w:r>
      <w:r w:rsidRPr="00E033B0">
        <w:t>.</w:t>
      </w:r>
      <w:r w:rsidRPr="00E033B0">
        <w:rPr>
          <w:rStyle w:val="FootnoteReference"/>
        </w:rPr>
        <w:footnoteReference w:id="167"/>
      </w:r>
      <w:bookmarkStart w:id="46" w:name="Art.475bis"/>
      <w:bookmarkEnd w:id="46"/>
      <w:r w:rsidRPr="00E033B0">
        <w:t xml:space="preserve"> In het kader van de bekrachtiging, gaat de familierechtbank na of de pleegvoogdij in het belang van het kind is.</w:t>
      </w:r>
      <w:r w:rsidRPr="00E033B0">
        <w:rPr>
          <w:rStyle w:val="FootnoteReference"/>
        </w:rPr>
        <w:footnoteReference w:id="168"/>
      </w:r>
      <w:r w:rsidR="00260D25" w:rsidRPr="00E033B0">
        <w:t xml:space="preserve"> De familierechtbank </w:t>
      </w:r>
      <w:r w:rsidR="002C3C7F" w:rsidRPr="00E033B0">
        <w:t>voert</w:t>
      </w:r>
      <w:r w:rsidR="00260D25" w:rsidRPr="00E033B0">
        <w:t xml:space="preserve"> </w:t>
      </w:r>
      <w:r w:rsidRPr="00E033B0">
        <w:t>een dubbele controle</w:t>
      </w:r>
      <w:r w:rsidR="002C3C7F" w:rsidRPr="00E033B0">
        <w:t xml:space="preserve"> uit</w:t>
      </w:r>
      <w:r w:rsidRPr="00E033B0">
        <w:t>. Ten eerste gaat de familierechtbank na of de pleegvoogdij daadwerkelijk een voordeel biedt voor het kind.</w:t>
      </w:r>
      <w:r w:rsidRPr="00E033B0">
        <w:rPr>
          <w:rStyle w:val="FootnoteReference"/>
        </w:rPr>
        <w:footnoteReference w:id="169"/>
      </w:r>
      <w:r w:rsidRPr="00E033B0">
        <w:t xml:space="preserve"> Ten tweede controleert de familierechtbank of de pleegvoogd geschikt is om het ouderlijk gezag over het kind uit te oefenen.</w:t>
      </w:r>
      <w:r w:rsidRPr="00E033B0">
        <w:rPr>
          <w:rStyle w:val="FootnoteReference"/>
        </w:rPr>
        <w:footnoteReference w:id="170"/>
      </w:r>
    </w:p>
    <w:p w:rsidR="00310B3C" w:rsidRPr="00E033B0" w:rsidRDefault="00E87D3E" w:rsidP="007B14CD">
      <w:pPr>
        <w:pStyle w:val="Randnummer"/>
        <w:spacing w:line="360" w:lineRule="auto"/>
        <w:ind w:left="0" w:firstLine="0"/>
      </w:pPr>
      <w:r w:rsidRPr="00E033B0">
        <w:rPr>
          <w:b/>
          <w:bCs/>
        </w:rPr>
        <w:fldChar w:fldCharType="begin"/>
      </w:r>
      <w:r w:rsidR="007B14CD" w:rsidRPr="00E033B0">
        <w:rPr>
          <w:b/>
          <w:bCs/>
        </w:rPr>
        <w:instrText xml:space="preserve"> AUTONUMLGL  </w:instrText>
      </w:r>
      <w:r w:rsidRPr="00E033B0">
        <w:rPr>
          <w:b/>
          <w:bCs/>
        </w:rPr>
        <w:fldChar w:fldCharType="end"/>
      </w:r>
      <w:r w:rsidR="007B14CD" w:rsidRPr="00E033B0">
        <w:rPr>
          <w:b/>
          <w:bCs/>
        </w:rPr>
        <w:t xml:space="preserve"> </w:t>
      </w:r>
      <w:r w:rsidR="00AF5377" w:rsidRPr="00E033B0">
        <w:t>P</w:t>
      </w:r>
      <w:r w:rsidR="00310B3C" w:rsidRPr="00E033B0">
        <w:t>leegvoogdij eindigt bij de meerderjarigheid, overlijden, ontvoogding of</w:t>
      </w:r>
      <w:r w:rsidR="00AF5377" w:rsidRPr="00E033B0">
        <w:t xml:space="preserve"> adoptie van het pleegkind. P</w:t>
      </w:r>
      <w:r w:rsidR="00310B3C" w:rsidRPr="00E033B0">
        <w:t>leegvoogdij eindigt eveneens bij overlijden van de pleegvoogd.</w:t>
      </w:r>
      <w:r w:rsidR="00310B3C" w:rsidRPr="00E033B0">
        <w:rPr>
          <w:rStyle w:val="FootnoteReference"/>
        </w:rPr>
        <w:footnoteReference w:id="171"/>
      </w:r>
      <w:r w:rsidR="00310B3C" w:rsidRPr="00E033B0">
        <w:t xml:space="preserve"> </w:t>
      </w:r>
      <w:r w:rsidR="00260D25" w:rsidRPr="00E033B0">
        <w:t>Een beperkt aantal personen kunnen om de beëindiging van pleegvoogdij verzoeken</w:t>
      </w:r>
      <w:r w:rsidR="00310B3C" w:rsidRPr="00E033B0">
        <w:t>.</w:t>
      </w:r>
      <w:r w:rsidR="00310B3C" w:rsidRPr="00E033B0">
        <w:rPr>
          <w:rStyle w:val="FootnoteReference"/>
        </w:rPr>
        <w:footnoteReference w:id="172"/>
      </w:r>
      <w:r w:rsidR="00310B3C" w:rsidRPr="00E033B0">
        <w:t xml:space="preserve"> De</w:t>
      </w:r>
      <w:r w:rsidR="00260D25" w:rsidRPr="00E033B0">
        <w:t>ze</w:t>
      </w:r>
      <w:r w:rsidR="00310B3C" w:rsidRPr="00E033B0">
        <w:t xml:space="preserve"> personen staan opgesomd in artikel 475</w:t>
      </w:r>
      <w:r w:rsidR="00310B3C" w:rsidRPr="00E033B0">
        <w:rPr>
          <w:i/>
          <w:iCs/>
        </w:rPr>
        <w:t xml:space="preserve">sexies </w:t>
      </w:r>
      <w:r w:rsidR="00310B3C" w:rsidRPr="00E033B0">
        <w:t>BW.</w:t>
      </w:r>
      <w:r w:rsidR="00310B3C" w:rsidRPr="00E033B0">
        <w:rPr>
          <w:rStyle w:val="FootnoteReference"/>
        </w:rPr>
        <w:footnoteReference w:id="173"/>
      </w:r>
    </w:p>
    <w:p w:rsidR="000C0BD2" w:rsidRDefault="000C0BD2" w:rsidP="00746471">
      <w:pPr>
        <w:pStyle w:val="Heading4"/>
        <w:numPr>
          <w:ilvl w:val="3"/>
          <w:numId w:val="6"/>
        </w:numPr>
        <w:spacing w:line="360" w:lineRule="auto"/>
        <w:jc w:val="both"/>
      </w:pPr>
      <w:bookmarkStart w:id="47" w:name="_Toc449936731"/>
      <w:r>
        <w:t>Nut van pleegvoogdij</w:t>
      </w:r>
      <w:bookmarkEnd w:id="47"/>
    </w:p>
    <w:p w:rsidR="000C0BD2" w:rsidRPr="00E8036D" w:rsidRDefault="00E87D3E" w:rsidP="007B14CD">
      <w:pPr>
        <w:pStyle w:val="Randnummer"/>
        <w:spacing w:line="360" w:lineRule="auto"/>
        <w:ind w:left="0" w:firstLine="0"/>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2C3C7F" w:rsidRPr="00E8036D">
        <w:t xml:space="preserve">Indien men geen definitieve en verregaande rechtsgevolgen tot stand wil brengen, biedt pleegvoogdij enkele voordelen in vergelijking tot adoptie. Bij pleegvoogdij ontstaan </w:t>
      </w:r>
      <w:r w:rsidR="000C0BD2" w:rsidRPr="00E8036D">
        <w:t>slechts ti</w:t>
      </w:r>
      <w:r w:rsidR="002C3C7F" w:rsidRPr="00E8036D">
        <w:t>jdelijke rechtsgevolgen</w:t>
      </w:r>
      <w:r w:rsidR="000C0BD2" w:rsidRPr="00E8036D">
        <w:t>, in</w:t>
      </w:r>
      <w:r w:rsidR="00942403" w:rsidRPr="00E8036D">
        <w:t xml:space="preserve"> tegenstelling tot</w:t>
      </w:r>
      <w:r w:rsidR="000C0BD2" w:rsidRPr="00E8036D">
        <w:t xml:space="preserve"> adoptie waar</w:t>
      </w:r>
      <w:r w:rsidR="00DE100A" w:rsidRPr="00E8036D">
        <w:t xml:space="preserve">bij </w:t>
      </w:r>
      <w:r w:rsidR="000C0BD2" w:rsidRPr="00E8036D">
        <w:t xml:space="preserve">definitieve rechtsgevolgen </w:t>
      </w:r>
      <w:r w:rsidR="000C0BD2" w:rsidRPr="00E8036D">
        <w:lastRenderedPageBreak/>
        <w:t>ontstaan.</w:t>
      </w:r>
      <w:r w:rsidR="000C0BD2" w:rsidRPr="00E8036D">
        <w:rPr>
          <w:rStyle w:val="FootnoteReference"/>
        </w:rPr>
        <w:footnoteReference w:id="174"/>
      </w:r>
      <w:r w:rsidR="000C0BD2" w:rsidRPr="00E8036D">
        <w:t xml:space="preserve"> Bovendien zijn de rechtsgevolgen van pleegvoogdij minder verregaand dan de rechtsgevolgen van ad</w:t>
      </w:r>
      <w:r w:rsidR="00DE100A" w:rsidRPr="00E8036D">
        <w:t>optie. De pleegvoogd krijgt enkele bevoegdheden van het ouderlijk gezag</w:t>
      </w:r>
      <w:r w:rsidR="00E033B0" w:rsidRPr="00E8036D">
        <w:t>, zonder dat er een afstammingsband tot stand komt</w:t>
      </w:r>
      <w:r w:rsidR="00DE100A" w:rsidRPr="00E8036D">
        <w:t>.</w:t>
      </w:r>
      <w:r w:rsidR="00DE100A" w:rsidRPr="00E8036D">
        <w:rPr>
          <w:rStyle w:val="FootnoteReference"/>
        </w:rPr>
        <w:footnoteReference w:id="175"/>
      </w:r>
    </w:p>
    <w:p w:rsidR="000C0BD2" w:rsidRPr="00E8036D" w:rsidRDefault="00E87D3E" w:rsidP="007B14CD">
      <w:pPr>
        <w:pStyle w:val="Randnummer"/>
        <w:spacing w:line="360" w:lineRule="auto"/>
        <w:ind w:left="0" w:firstLine="0"/>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AF5377" w:rsidRPr="00E8036D">
        <w:t>P</w:t>
      </w:r>
      <w:r w:rsidR="000C0BD2" w:rsidRPr="00E8036D">
        <w:t>leegvoogdij kan ook nuttig zijn om een feitelijke realiteit juridisch te verankeren. Indien het kind eigenlijk wordt opgevoed door een niet-juridische ouder, ontstaan er feitelijke gezagsrelaties tussen de niet-juridische ouder en het kind.</w:t>
      </w:r>
      <w:r w:rsidR="000C0BD2" w:rsidRPr="00E8036D">
        <w:rPr>
          <w:rStyle w:val="FootnoteReference"/>
        </w:rPr>
        <w:footnoteReference w:id="176"/>
      </w:r>
      <w:r w:rsidR="000C0BD2" w:rsidRPr="00E8036D">
        <w:t xml:space="preserve"> Deze </w:t>
      </w:r>
      <w:r w:rsidR="0006323C" w:rsidRPr="00E8036D">
        <w:t>gezagsrelaties genieten geen</w:t>
      </w:r>
      <w:r w:rsidR="000C0BD2" w:rsidRPr="00E8036D">
        <w:t xml:space="preserve"> wettelijk</w:t>
      </w:r>
      <w:r w:rsidR="0006323C" w:rsidRPr="00E8036D">
        <w:t>e bescherming,</w:t>
      </w:r>
      <w:r w:rsidR="000C0BD2" w:rsidRPr="00E8036D">
        <w:t xml:space="preserve"> aangezien het ouderlijk gezag alleen toekomt aan de juridische ouders.</w:t>
      </w:r>
      <w:r w:rsidR="000C0BD2" w:rsidRPr="00E8036D">
        <w:rPr>
          <w:rStyle w:val="FootnoteReference"/>
        </w:rPr>
        <w:footnoteReference w:id="177"/>
      </w:r>
      <w:r w:rsidR="000C0BD2" w:rsidRPr="00E8036D">
        <w:t xml:space="preserve"> </w:t>
      </w:r>
    </w:p>
    <w:p w:rsidR="00323226" w:rsidRPr="00E8036D" w:rsidRDefault="00323226" w:rsidP="007B14CD">
      <w:pPr>
        <w:pStyle w:val="Randnummer"/>
        <w:spacing w:line="360" w:lineRule="auto"/>
        <w:ind w:left="0" w:firstLine="0"/>
      </w:pPr>
      <w:r w:rsidRPr="00E8036D">
        <w:t>Aangezien de juridische ouders via pleegvoogdij bepaalde bevoegdheden van het ouderlijk gezag kunnen overdragen</w:t>
      </w:r>
      <w:r w:rsidR="00E033B0" w:rsidRPr="00E8036D">
        <w:t xml:space="preserve"> aan de pleegvoogd</w:t>
      </w:r>
      <w:r w:rsidRPr="00E8036D">
        <w:t>, kan pleegvoogdij nuttig zijn indien de juridische ouders het kind niet zelf meer opvoeden.</w:t>
      </w:r>
      <w:r w:rsidRPr="00E8036D">
        <w:rPr>
          <w:rStyle w:val="FootnoteReference"/>
        </w:rPr>
        <w:footnoteReference w:id="178"/>
      </w:r>
      <w:r w:rsidRPr="00E8036D">
        <w:t xml:space="preserve"> Op deze manier verkrijgt de niet-juridische ouder die het kind in werkelijkheid opvoedt, bevoegdheden van het ouderlijk gezag.</w:t>
      </w:r>
      <w:r w:rsidRPr="00E8036D">
        <w:rPr>
          <w:rStyle w:val="FootnoteReference"/>
        </w:rPr>
        <w:footnoteReference w:id="179"/>
      </w:r>
      <w:r w:rsidR="0050739C" w:rsidRPr="00E8036D">
        <w:t xml:space="preserve"> Indien de juridische ouders zelf ook nog mee instaan voor</w:t>
      </w:r>
      <w:r w:rsidR="00846812" w:rsidRPr="00E8036D">
        <w:t xml:space="preserve"> </w:t>
      </w:r>
      <w:r w:rsidR="0050739C" w:rsidRPr="00E8036D">
        <w:t>de opvoeding van het kind, biedt pleegvoogdij geen oplossing. De overgedragen bevoegdheden van het ouderlijk gezag kunnen immers niet meer door de juridische ouders worden uitgeoefend.</w:t>
      </w:r>
      <w:r w:rsidR="0050739C" w:rsidRPr="00E8036D">
        <w:rPr>
          <w:rStyle w:val="FootnoteReference"/>
        </w:rPr>
        <w:footnoteReference w:id="180"/>
      </w:r>
    </w:p>
    <w:p w:rsidR="00361605" w:rsidRDefault="00E81B7C" w:rsidP="00746471">
      <w:pPr>
        <w:pStyle w:val="Heading3"/>
        <w:spacing w:line="360" w:lineRule="auto"/>
      </w:pPr>
      <w:bookmarkStart w:id="48" w:name="_Toc449936732"/>
      <w:r>
        <w:lastRenderedPageBreak/>
        <w:t>Afdeling</w:t>
      </w:r>
      <w:r w:rsidR="00361605">
        <w:t xml:space="preserve"> III. Pleegzorg</w:t>
      </w:r>
      <w:bookmarkEnd w:id="48"/>
    </w:p>
    <w:p w:rsidR="00361605" w:rsidRPr="00361605" w:rsidRDefault="00361605" w:rsidP="00746471">
      <w:pPr>
        <w:pStyle w:val="Heading4"/>
        <w:spacing w:line="360" w:lineRule="auto"/>
      </w:pPr>
      <w:bookmarkStart w:id="49" w:name="_Toc449936733"/>
      <w:r>
        <w:t>§1. Duiding begrip</w:t>
      </w:r>
      <w:bookmarkEnd w:id="49"/>
      <w:r w:rsidR="00746471">
        <w:br/>
      </w:r>
    </w:p>
    <w:p w:rsidR="007B201F" w:rsidRPr="00E8036D" w:rsidRDefault="00E87D3E" w:rsidP="00E8036D">
      <w:pPr>
        <w:spacing w:line="360" w:lineRule="auto"/>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310B3C" w:rsidRPr="00E8036D">
        <w:t>Pleegzorg maakt het</w:t>
      </w:r>
      <w:r w:rsidR="00BD259A" w:rsidRPr="00E8036D">
        <w:t xml:space="preserve"> </w:t>
      </w:r>
      <w:r w:rsidR="00361605" w:rsidRPr="00E8036D">
        <w:t xml:space="preserve">mogelijk om kinderen die wegens ernstige </w:t>
      </w:r>
      <w:r w:rsidR="00F76F99" w:rsidRPr="00E8036D">
        <w:t>problemen</w:t>
      </w:r>
      <w:r w:rsidR="001333EC" w:rsidRPr="00E8036D">
        <w:t xml:space="preserve"> niet meer in </w:t>
      </w:r>
      <w:r w:rsidR="007036AB" w:rsidRPr="00E8036D">
        <w:t>het eigen gezin kunnen of mo</w:t>
      </w:r>
      <w:r w:rsidR="001333EC" w:rsidRPr="00E8036D">
        <w:t>g</w:t>
      </w:r>
      <w:r w:rsidR="007036AB" w:rsidRPr="00E8036D">
        <w:t>en</w:t>
      </w:r>
      <w:r w:rsidR="001333EC" w:rsidRPr="00E8036D">
        <w:t xml:space="preserve"> blijven wonen,</w:t>
      </w:r>
      <w:r w:rsidR="00361605" w:rsidRPr="00E8036D">
        <w:t xml:space="preserve"> onder te brengen in een pleeggezin.</w:t>
      </w:r>
      <w:r w:rsidR="00361605" w:rsidRPr="00E8036D">
        <w:rPr>
          <w:rStyle w:val="FootnoteReference"/>
        </w:rPr>
        <w:footnoteReference w:id="181"/>
      </w:r>
      <w:r w:rsidR="00361605" w:rsidRPr="00E8036D">
        <w:t xml:space="preserve"> De pleegkinderen maken deel uit van het dagelijks gezinsleven van het pleeggezin.</w:t>
      </w:r>
      <w:r w:rsidR="00361605" w:rsidRPr="00E8036D">
        <w:rPr>
          <w:rStyle w:val="FootnoteReference"/>
        </w:rPr>
        <w:footnoteReference w:id="182"/>
      </w:r>
      <w:r w:rsidR="00361605" w:rsidRPr="00E8036D">
        <w:t xml:space="preserve"> </w:t>
      </w:r>
      <w:r w:rsidR="004B497D" w:rsidRPr="00E8036D">
        <w:t>Het pleeggezin biedt een warme thuis voor het pleegkind waar het zich</w:t>
      </w:r>
      <w:r w:rsidR="00E8036D" w:rsidRPr="00E8036D">
        <w:t xml:space="preserve"> </w:t>
      </w:r>
      <w:r w:rsidR="004B497D" w:rsidRPr="00E8036D">
        <w:t>kan ontplooien.</w:t>
      </w:r>
      <w:r w:rsidR="004B497D" w:rsidRPr="00E8036D">
        <w:rPr>
          <w:rStyle w:val="FootnoteReference"/>
        </w:rPr>
        <w:footnoteReference w:id="183"/>
      </w:r>
      <w:r w:rsidR="006E5942" w:rsidRPr="00E8036D">
        <w:t xml:space="preserve"> </w:t>
      </w:r>
      <w:r w:rsidR="007B201F" w:rsidRPr="00E8036D">
        <w:br/>
      </w:r>
    </w:p>
    <w:p w:rsidR="007B201F" w:rsidRPr="00E8036D" w:rsidRDefault="00E87D3E" w:rsidP="00E8036D">
      <w:pPr>
        <w:spacing w:line="360" w:lineRule="auto"/>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9A3C67" w:rsidRPr="00E8036D">
        <w:t xml:space="preserve">De plaatsing van een kind in een pleeggezin kan vrijwillig zijn, </w:t>
      </w:r>
      <w:r w:rsidR="007036AB" w:rsidRPr="00E8036D">
        <w:t>bijvoorbeeld wanneer</w:t>
      </w:r>
      <w:r w:rsidR="009A3C67" w:rsidRPr="00E8036D">
        <w:t xml:space="preserve"> de ouders vragen om de zorg voor hun kind tijdelijk aan iemand ander</w:t>
      </w:r>
      <w:r w:rsidR="002E5032" w:rsidRPr="00E8036D">
        <w:t>s</w:t>
      </w:r>
      <w:r w:rsidR="009A3C67" w:rsidRPr="00E8036D">
        <w:t xml:space="preserve"> toe te </w:t>
      </w:r>
      <w:r w:rsidR="007036AB" w:rsidRPr="00E8036D">
        <w:t>vertrouwen</w:t>
      </w:r>
      <w:r w:rsidR="009A3C67" w:rsidRPr="00E8036D">
        <w:t>.</w:t>
      </w:r>
      <w:r w:rsidR="00F76F99" w:rsidRPr="00E8036D">
        <w:rPr>
          <w:rStyle w:val="FootnoteReference"/>
        </w:rPr>
        <w:footnoteReference w:id="184"/>
      </w:r>
      <w:r w:rsidR="009A3C67" w:rsidRPr="00E8036D">
        <w:t xml:space="preserve"> </w:t>
      </w:r>
      <w:r w:rsidR="00F37D18" w:rsidRPr="00E8036D">
        <w:t xml:space="preserve">De </w:t>
      </w:r>
      <w:r w:rsidR="009A3C67" w:rsidRPr="00E8036D">
        <w:t xml:space="preserve">jeugdrechter </w:t>
      </w:r>
      <w:r w:rsidR="00F37D18" w:rsidRPr="00E8036D">
        <w:t xml:space="preserve">kan </w:t>
      </w:r>
      <w:r w:rsidR="009A3C67" w:rsidRPr="00E8036D">
        <w:t>d</w:t>
      </w:r>
      <w:r w:rsidR="00F37D18" w:rsidRPr="00E8036D">
        <w:t xml:space="preserve">e pleegzorg </w:t>
      </w:r>
      <w:r w:rsidR="006E5942" w:rsidRPr="00E8036D">
        <w:t xml:space="preserve">ook </w:t>
      </w:r>
      <w:r w:rsidR="00F37D18" w:rsidRPr="00E8036D">
        <w:t>opleggen</w:t>
      </w:r>
      <w:r w:rsidR="009A3C67" w:rsidRPr="00E8036D">
        <w:t xml:space="preserve"> indien de ontwikkeling en</w:t>
      </w:r>
      <w:r w:rsidR="00F37D18" w:rsidRPr="00E8036D">
        <w:t xml:space="preserve"> de</w:t>
      </w:r>
      <w:r w:rsidR="009A3C67" w:rsidRPr="00E8036D">
        <w:t xml:space="preserve"> veiligheid van het kind in gevaar is.</w:t>
      </w:r>
      <w:r w:rsidR="00F76F99" w:rsidRPr="00E8036D">
        <w:rPr>
          <w:rStyle w:val="FootnoteReference"/>
        </w:rPr>
        <w:footnoteReference w:id="185"/>
      </w:r>
      <w:r w:rsidR="00F76F99" w:rsidRPr="00E8036D">
        <w:t xml:space="preserve"> Er bestaan verschillende vormen van pleegzorg, deze worden hier niet bespro</w:t>
      </w:r>
      <w:r w:rsidR="007B201F" w:rsidRPr="00E8036D">
        <w:t>ken.</w:t>
      </w:r>
      <w:r w:rsidR="007B201F" w:rsidRPr="00E8036D">
        <w:br/>
      </w:r>
    </w:p>
    <w:p w:rsidR="0057296B" w:rsidRPr="00E8036D" w:rsidRDefault="00E87D3E" w:rsidP="007B201F">
      <w:pPr>
        <w:spacing w:line="360" w:lineRule="auto"/>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E5435D" w:rsidRPr="00E8036D">
        <w:t>De opdracht van de pleegouders bestaat erin om gedurende de pleegzorg de opvoeding van de juridische ouders over te nemen.</w:t>
      </w:r>
      <w:r w:rsidR="00E5435D" w:rsidRPr="00E8036D">
        <w:rPr>
          <w:rStyle w:val="FootnoteReference"/>
        </w:rPr>
        <w:footnoteReference w:id="186"/>
      </w:r>
      <w:r w:rsidR="00E5435D" w:rsidRPr="00E8036D">
        <w:t xml:space="preserve"> </w:t>
      </w:r>
      <w:r w:rsidR="004B497D" w:rsidRPr="00E8036D">
        <w:t>De pleegouders moeten gedurende de pleegzorg instaan voor de huisvesting, de opvoeding, het toezicht, het levensonderhoud en de beroepsopleiding van het pleegkind.</w:t>
      </w:r>
      <w:r w:rsidR="004B497D" w:rsidRPr="00E8036D">
        <w:rPr>
          <w:rStyle w:val="FootnoteReference"/>
        </w:rPr>
        <w:footnoteReference w:id="187"/>
      </w:r>
      <w:r w:rsidR="004B497D" w:rsidRPr="00E8036D">
        <w:t xml:space="preserve"> </w:t>
      </w:r>
    </w:p>
    <w:p w:rsidR="0057296B" w:rsidRPr="00E8036D" w:rsidRDefault="0057296B" w:rsidP="007B201F">
      <w:pPr>
        <w:spacing w:line="360" w:lineRule="auto"/>
      </w:pPr>
    </w:p>
    <w:p w:rsidR="00E5435D" w:rsidRPr="00E8036D" w:rsidRDefault="00E87D3E" w:rsidP="007B14CD">
      <w:pPr>
        <w:spacing w:line="360" w:lineRule="auto"/>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F37D18" w:rsidRPr="00E8036D">
        <w:t>P</w:t>
      </w:r>
      <w:r w:rsidR="00724A88" w:rsidRPr="00E8036D">
        <w:t xml:space="preserve">leegzorg is </w:t>
      </w:r>
      <w:r w:rsidR="00F76F99" w:rsidRPr="00E8036D">
        <w:t xml:space="preserve">in principe </w:t>
      </w:r>
      <w:r w:rsidR="002E5032" w:rsidRPr="00E8036D">
        <w:t>tijdelijk. H</w:t>
      </w:r>
      <w:r w:rsidR="00724A88" w:rsidRPr="00E8036D">
        <w:t>et doel van pleegzorg is namelijk dat het kind uiteindelijk weer in zijn eigen gezin wordt opgenomen.</w:t>
      </w:r>
      <w:r w:rsidR="00724A88" w:rsidRPr="00E8036D">
        <w:rPr>
          <w:rStyle w:val="FootnoteReference"/>
        </w:rPr>
        <w:footnoteReference w:id="188"/>
      </w:r>
      <w:r w:rsidR="004B497D" w:rsidRPr="00E8036D">
        <w:t xml:space="preserve"> Deze terugkeer naar het oorspronkelijke gezin wordt goed voorbere</w:t>
      </w:r>
      <w:r w:rsidR="000D0FC9" w:rsidRPr="00E8036D">
        <w:t>id.</w:t>
      </w:r>
      <w:r w:rsidR="000D0FC9" w:rsidRPr="00E8036D">
        <w:rPr>
          <w:rStyle w:val="FootnoteReference"/>
        </w:rPr>
        <w:footnoteReference w:id="189"/>
      </w:r>
    </w:p>
    <w:p w:rsidR="00E5435D" w:rsidRPr="00E5435D" w:rsidRDefault="00E5435D" w:rsidP="00746471">
      <w:pPr>
        <w:pStyle w:val="Heading4"/>
        <w:spacing w:line="360" w:lineRule="auto"/>
        <w:jc w:val="both"/>
      </w:pPr>
      <w:bookmarkStart w:id="50" w:name="_Toc449936734"/>
      <w:r>
        <w:t xml:space="preserve">§2. </w:t>
      </w:r>
      <w:r w:rsidR="009A3C67">
        <w:t>Ontbreken van zeggenschap ten aanzien van het kind</w:t>
      </w:r>
      <w:bookmarkEnd w:id="50"/>
    </w:p>
    <w:p w:rsidR="00F76F99" w:rsidRPr="00E8036D" w:rsidRDefault="007B14CD" w:rsidP="007B14CD">
      <w:pPr>
        <w:spacing w:line="360" w:lineRule="auto"/>
      </w:pPr>
      <w:r w:rsidRPr="00E8036D">
        <w:br/>
      </w:r>
      <w:r w:rsidR="00E87D3E" w:rsidRPr="00E8036D">
        <w:rPr>
          <w:b/>
          <w:bCs/>
        </w:rPr>
        <w:fldChar w:fldCharType="begin"/>
      </w:r>
      <w:r w:rsidRPr="00E8036D">
        <w:rPr>
          <w:b/>
          <w:bCs/>
        </w:rPr>
        <w:instrText xml:space="preserve"> AUTONUMLGL  </w:instrText>
      </w:r>
      <w:r w:rsidR="00E87D3E" w:rsidRPr="00E8036D">
        <w:rPr>
          <w:b/>
          <w:bCs/>
        </w:rPr>
        <w:fldChar w:fldCharType="end"/>
      </w:r>
      <w:r w:rsidRPr="00E8036D">
        <w:rPr>
          <w:b/>
          <w:bCs/>
        </w:rPr>
        <w:t xml:space="preserve"> </w:t>
      </w:r>
      <w:r w:rsidR="00361605" w:rsidRPr="00E8036D">
        <w:t>In de huidi</w:t>
      </w:r>
      <w:r w:rsidR="002E5032" w:rsidRPr="00E8036D">
        <w:t>ge wetgeving bestaat</w:t>
      </w:r>
      <w:r w:rsidR="006E5942" w:rsidRPr="00E8036D">
        <w:t xml:space="preserve"> geen wettelijk statuut voor </w:t>
      </w:r>
      <w:r w:rsidR="00361605" w:rsidRPr="00E8036D">
        <w:t xml:space="preserve">pleegouders. De pleegouders </w:t>
      </w:r>
      <w:r w:rsidR="00361605" w:rsidRPr="00E8036D">
        <w:lastRenderedPageBreak/>
        <w:t>voeden het kind gedurende jaren o</w:t>
      </w:r>
      <w:r w:rsidR="002E5032" w:rsidRPr="00E8036D">
        <w:t>p en toch hebben zij geen</w:t>
      </w:r>
      <w:r w:rsidR="00361605" w:rsidRPr="00E8036D">
        <w:t xml:space="preserve"> zeggenschap ten aanzien van het pleegkind.</w:t>
      </w:r>
      <w:r w:rsidR="00361605" w:rsidRPr="00E8036D">
        <w:rPr>
          <w:rStyle w:val="FootnoteReference"/>
        </w:rPr>
        <w:footnoteReference w:id="190"/>
      </w:r>
      <w:r w:rsidR="00361605" w:rsidRPr="00E8036D">
        <w:t xml:space="preserve"> De pleegouders zijn namelijk geen juridische ouders van het pleegkind</w:t>
      </w:r>
      <w:r w:rsidR="00724A88" w:rsidRPr="00E8036D">
        <w:t xml:space="preserve"> en hebben dus geen ouderlijk gezag</w:t>
      </w:r>
      <w:r w:rsidR="00361605" w:rsidRPr="00E8036D">
        <w:t>.</w:t>
      </w:r>
      <w:r w:rsidR="00724A88" w:rsidRPr="00E8036D">
        <w:rPr>
          <w:rStyle w:val="FootnoteReference"/>
        </w:rPr>
        <w:footnoteReference w:id="191"/>
      </w:r>
      <w:r w:rsidR="00361605" w:rsidRPr="00E8036D">
        <w:t xml:space="preserve"> D</w:t>
      </w:r>
      <w:r w:rsidR="00F76F99" w:rsidRPr="00E8036D">
        <w:t xml:space="preserve">e juridische ouders blijven </w:t>
      </w:r>
      <w:r w:rsidR="00361605" w:rsidRPr="00E8036D">
        <w:t>titularis van de bevoegd</w:t>
      </w:r>
      <w:r w:rsidR="00F76F99" w:rsidRPr="00E8036D">
        <w:t>heden van het ouderlijk gezag</w:t>
      </w:r>
      <w:r w:rsidR="00361605" w:rsidRPr="00E8036D">
        <w:t>.</w:t>
      </w:r>
      <w:r w:rsidR="00361605" w:rsidRPr="00E8036D">
        <w:rPr>
          <w:rStyle w:val="FootnoteReference"/>
        </w:rPr>
        <w:footnoteReference w:id="192"/>
      </w:r>
      <w:r w:rsidR="00AA22F9" w:rsidRPr="00E8036D">
        <w:t xml:space="preserve"> Dit is een groot verschil met pleegvoogdij,</w:t>
      </w:r>
      <w:r w:rsidR="00F37D18" w:rsidRPr="00E8036D">
        <w:t xml:space="preserve"> waarbij de pleegvoogd wel enkele bevoegdheden van het ouderlijk gezag heeft.</w:t>
      </w:r>
      <w:r w:rsidR="00F37D18" w:rsidRPr="00E8036D">
        <w:rPr>
          <w:rStyle w:val="FootnoteReference"/>
        </w:rPr>
        <w:footnoteReference w:id="193"/>
      </w:r>
    </w:p>
    <w:p w:rsidR="00F76F99" w:rsidRPr="00E8036D" w:rsidRDefault="00F76F99" w:rsidP="007B14CD">
      <w:pPr>
        <w:spacing w:line="360" w:lineRule="auto"/>
      </w:pPr>
    </w:p>
    <w:p w:rsidR="00361605" w:rsidRPr="00E8036D" w:rsidRDefault="00E87D3E" w:rsidP="007B14CD">
      <w:pPr>
        <w:spacing w:line="360" w:lineRule="auto"/>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361605" w:rsidRPr="00E8036D">
        <w:t>Dit kan</w:t>
      </w:r>
      <w:r w:rsidR="007E076B" w:rsidRPr="00E8036D">
        <w:t xml:space="preserve"> aanleiding geven tot problemen, bijvoorbee</w:t>
      </w:r>
      <w:r w:rsidR="00F37D18" w:rsidRPr="00E8036D">
        <w:t>ld wanneer</w:t>
      </w:r>
      <w:r w:rsidR="002E5032" w:rsidRPr="00E8036D">
        <w:t xml:space="preserve"> de juridische ouders niet reageren terwijl</w:t>
      </w:r>
      <w:r w:rsidR="007E076B" w:rsidRPr="00E8036D">
        <w:t xml:space="preserve"> hun toestemming noodzakelijk is (</w:t>
      </w:r>
      <w:r w:rsidR="006E5942" w:rsidRPr="00E8036D">
        <w:t xml:space="preserve"> bijvoorbeeld voor de </w:t>
      </w:r>
      <w:r w:rsidR="007E076B" w:rsidRPr="00E8036D">
        <w:t>schoolk</w:t>
      </w:r>
      <w:r w:rsidR="006E5942" w:rsidRPr="00E8036D">
        <w:t>euze van het kind of voor het maken van medische beslissingen</w:t>
      </w:r>
      <w:r w:rsidR="007E076B" w:rsidRPr="00E8036D">
        <w:t>).</w:t>
      </w:r>
      <w:r w:rsidR="007E076B" w:rsidRPr="00E8036D">
        <w:rPr>
          <w:rStyle w:val="FootnoteReference"/>
        </w:rPr>
        <w:footnoteReference w:id="194"/>
      </w:r>
      <w:r w:rsidR="00361605" w:rsidRPr="00E8036D">
        <w:t xml:space="preserve"> De pleegouders kennen de noden van het kind het beste en hebben toch geen inspraak in de opvoeding van het kind.</w:t>
      </w:r>
      <w:r w:rsidR="00361605" w:rsidRPr="00E8036D">
        <w:rPr>
          <w:rStyle w:val="FootnoteReference"/>
        </w:rPr>
        <w:footnoteReference w:id="195"/>
      </w:r>
      <w:r w:rsidR="00361605" w:rsidRPr="00E8036D">
        <w:t xml:space="preserve"> Deze problematiek heeft aanleiding gegeven tot het uitwerken van een wettelijk statuut voor pleegouders.</w:t>
      </w:r>
      <w:r w:rsidR="007E076B" w:rsidRPr="00E8036D">
        <w:rPr>
          <w:rStyle w:val="FootnoteReference"/>
        </w:rPr>
        <w:footnoteReference w:id="196"/>
      </w:r>
      <w:r w:rsidR="000F792A" w:rsidRPr="00E8036D">
        <w:t xml:space="preserve"> Het wetsvoorstel is recent goedgekeurd door de </w:t>
      </w:r>
      <w:r w:rsidR="00AA22F9" w:rsidRPr="00E8036D">
        <w:t>Kamer</w:t>
      </w:r>
      <w:r w:rsidR="000F792A" w:rsidRPr="00E8036D">
        <w:t xml:space="preserve">commissie </w:t>
      </w:r>
      <w:r w:rsidR="00AA22F9" w:rsidRPr="00E8036D">
        <w:t xml:space="preserve">voor </w:t>
      </w:r>
      <w:r w:rsidR="0000346D">
        <w:t>J</w:t>
      </w:r>
      <w:r w:rsidR="000F792A" w:rsidRPr="00E8036D">
        <w:t>ustitie.</w:t>
      </w:r>
      <w:r w:rsidR="000F792A" w:rsidRPr="00E8036D">
        <w:rPr>
          <w:rStyle w:val="FootnoteReference"/>
        </w:rPr>
        <w:footnoteReference w:id="197"/>
      </w:r>
    </w:p>
    <w:p w:rsidR="00361605" w:rsidRPr="00361605" w:rsidRDefault="00361605" w:rsidP="00746471">
      <w:pPr>
        <w:pStyle w:val="Heading4"/>
        <w:spacing w:line="360" w:lineRule="auto"/>
      </w:pPr>
      <w:bookmarkStart w:id="51" w:name="_Toc449936735"/>
      <w:r>
        <w:t>§</w:t>
      </w:r>
      <w:r w:rsidR="00E5435D">
        <w:t>3</w:t>
      </w:r>
      <w:r>
        <w:t>. Wetsvoorstel tot invoering van een wettelijk statuut voor pleegouders</w:t>
      </w:r>
      <w:bookmarkEnd w:id="51"/>
      <w:r>
        <w:br/>
      </w:r>
    </w:p>
    <w:p w:rsidR="00361605" w:rsidRPr="00E8036D" w:rsidRDefault="00E87D3E" w:rsidP="007B14CD">
      <w:pPr>
        <w:spacing w:line="360" w:lineRule="auto"/>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361605" w:rsidRPr="00E8036D">
        <w:t xml:space="preserve">Het principe blijft dat de juridische ouders titularis </w:t>
      </w:r>
      <w:r w:rsidR="0006323C" w:rsidRPr="00E8036D">
        <w:t>zijn van het ouderlijk gezag.</w:t>
      </w:r>
      <w:r w:rsidR="006E5942" w:rsidRPr="00E8036D">
        <w:rPr>
          <w:rStyle w:val="FootnoteReference"/>
        </w:rPr>
        <w:footnoteReference w:id="198"/>
      </w:r>
      <w:r w:rsidR="0006323C" w:rsidRPr="00E8036D">
        <w:t xml:space="preserve"> Het</w:t>
      </w:r>
      <w:r w:rsidR="00361605" w:rsidRPr="00E8036D">
        <w:t xml:space="preserve"> </w:t>
      </w:r>
      <w:r w:rsidR="002E5032" w:rsidRPr="00E8036D">
        <w:t xml:space="preserve">moet evenwel mogelijk </w:t>
      </w:r>
      <w:r w:rsidR="00361605" w:rsidRPr="00E8036D">
        <w:t>zijn dat het ouderlijk gezag of bepaalde bevoegdheden van het ou</w:t>
      </w:r>
      <w:r w:rsidR="002E5032" w:rsidRPr="00E8036D">
        <w:t>derlijk gezag, tijdelijk toekomen</w:t>
      </w:r>
      <w:r w:rsidR="00361605" w:rsidRPr="00E8036D">
        <w:t xml:space="preserve"> aan de pleegouders.</w:t>
      </w:r>
      <w:r w:rsidR="00361605" w:rsidRPr="00E8036D">
        <w:rPr>
          <w:rStyle w:val="FootnoteReference"/>
        </w:rPr>
        <w:footnoteReference w:id="199"/>
      </w:r>
      <w:r w:rsidR="00361605" w:rsidRPr="00E8036D">
        <w:t xml:space="preserve"> </w:t>
      </w:r>
    </w:p>
    <w:p w:rsidR="0006323C" w:rsidRPr="00E8036D" w:rsidRDefault="0006323C" w:rsidP="007B14CD">
      <w:pPr>
        <w:spacing w:line="360" w:lineRule="auto"/>
      </w:pPr>
    </w:p>
    <w:p w:rsidR="00361605" w:rsidRPr="00E8036D" w:rsidRDefault="00E87D3E" w:rsidP="007B14CD">
      <w:pPr>
        <w:spacing w:line="360" w:lineRule="auto"/>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361605" w:rsidRPr="00E8036D">
        <w:t xml:space="preserve">Het wetsvoorstel </w:t>
      </w:r>
      <w:r w:rsidR="0006323C" w:rsidRPr="00E8036D">
        <w:t>maak</w:t>
      </w:r>
      <w:r w:rsidR="00590A60">
        <w:t>t</w:t>
      </w:r>
      <w:r w:rsidR="0006323C" w:rsidRPr="00E8036D">
        <w:t xml:space="preserve"> het mogelijk voor </w:t>
      </w:r>
      <w:r w:rsidR="00361605" w:rsidRPr="00E8036D">
        <w:t>pleegouders</w:t>
      </w:r>
      <w:r w:rsidR="008D0020" w:rsidRPr="00E8036D">
        <w:t xml:space="preserve"> </w:t>
      </w:r>
      <w:r w:rsidR="0006323C" w:rsidRPr="00E8036D">
        <w:t xml:space="preserve">om zelf </w:t>
      </w:r>
      <w:r w:rsidR="00361605" w:rsidRPr="00E8036D">
        <w:t>op</w:t>
      </w:r>
      <w:r w:rsidR="0006323C" w:rsidRPr="00E8036D">
        <w:t xml:space="preserve"> te </w:t>
      </w:r>
      <w:r w:rsidR="00361605" w:rsidRPr="00E8036D">
        <w:t>treden in de dagelijkse aangelegenheden</w:t>
      </w:r>
      <w:r w:rsidR="008D0020" w:rsidRPr="00E8036D">
        <w:t xml:space="preserve">, zoals een kappersbezoek of </w:t>
      </w:r>
      <w:r w:rsidR="002E5032" w:rsidRPr="00E8036D">
        <w:t>een</w:t>
      </w:r>
      <w:r w:rsidR="008D0020" w:rsidRPr="00E8036D">
        <w:t xml:space="preserve"> schooluitstap,</w:t>
      </w:r>
      <w:r w:rsidR="00361605" w:rsidRPr="00E8036D">
        <w:t xml:space="preserve"> en de dringende </w:t>
      </w:r>
      <w:r w:rsidR="00361605" w:rsidRPr="00E8036D">
        <w:lastRenderedPageBreak/>
        <w:t>en noodzakelijke beslissingen</w:t>
      </w:r>
      <w:r w:rsidR="006E5942" w:rsidRPr="00E8036D">
        <w:t xml:space="preserve"> </w:t>
      </w:r>
      <w:r w:rsidR="00361605" w:rsidRPr="00E8036D">
        <w:t>met betrekking tot het kind.</w:t>
      </w:r>
      <w:r w:rsidR="00361605" w:rsidRPr="00E8036D">
        <w:rPr>
          <w:rStyle w:val="FootnoteReference"/>
        </w:rPr>
        <w:footnoteReference w:id="200"/>
      </w:r>
      <w:r w:rsidR="00361605" w:rsidRPr="00E8036D">
        <w:t xml:space="preserve"> Indien de pleegouders gedurende een onafgebroken periode van zes maanden hebben gezorgd voor de opvoeding, </w:t>
      </w:r>
      <w:r w:rsidR="00AA22F9" w:rsidRPr="00E8036D">
        <w:t xml:space="preserve">de </w:t>
      </w:r>
      <w:r w:rsidR="00361605" w:rsidRPr="00E8036D">
        <w:t>o</w:t>
      </w:r>
      <w:r w:rsidR="002E5032" w:rsidRPr="00E8036D">
        <w:t xml:space="preserve">pleiding, </w:t>
      </w:r>
      <w:r w:rsidR="00AA22F9" w:rsidRPr="00E8036D">
        <w:t xml:space="preserve">de </w:t>
      </w:r>
      <w:r w:rsidR="002E5032" w:rsidRPr="00E8036D">
        <w:t>huisvestiging, het l</w:t>
      </w:r>
      <w:r w:rsidR="00361605" w:rsidRPr="00E8036D">
        <w:t>evensonderhoud en het t</w:t>
      </w:r>
      <w:r w:rsidR="002E5032" w:rsidRPr="00E8036D">
        <w:t xml:space="preserve">oezicht van het kind, kunnen </w:t>
      </w:r>
      <w:r w:rsidR="00361605" w:rsidRPr="00E8036D">
        <w:t>andere bevoegdheden van het ouderlijk gezag worden overgedragen. Dit kan gebeuren op basis van een overeenkomst tussen de pleegouders en de juridische ouders</w:t>
      </w:r>
      <w:r w:rsidR="00F76F99" w:rsidRPr="00E8036D">
        <w:t>,</w:t>
      </w:r>
      <w:r w:rsidR="00361605" w:rsidRPr="00E8036D">
        <w:t xml:space="preserve"> dan wel via </w:t>
      </w:r>
      <w:r w:rsidR="006E5942" w:rsidRPr="00E8036D">
        <w:t xml:space="preserve">een </w:t>
      </w:r>
      <w:r w:rsidR="00361605" w:rsidRPr="00E8036D">
        <w:t>rechterlijke beslissing.</w:t>
      </w:r>
      <w:r w:rsidR="00361605" w:rsidRPr="00E8036D">
        <w:rPr>
          <w:rStyle w:val="FootnoteReference"/>
        </w:rPr>
        <w:footnoteReference w:id="201"/>
      </w:r>
      <w:r w:rsidR="008D0020" w:rsidRPr="00E8036D">
        <w:t xml:space="preserve"> </w:t>
      </w:r>
    </w:p>
    <w:p w:rsidR="007B14CD" w:rsidRPr="00E8036D" w:rsidRDefault="007B14CD" w:rsidP="007B14CD">
      <w:pPr>
        <w:spacing w:line="360" w:lineRule="auto"/>
        <w:rPr>
          <w:rFonts w:eastAsia="MS Mincho"/>
          <w:sz w:val="22"/>
          <w:szCs w:val="22"/>
          <w:lang w:eastAsia="zh-TW"/>
        </w:rPr>
      </w:pPr>
    </w:p>
    <w:p w:rsidR="002F5BFE" w:rsidRPr="00E8036D" w:rsidRDefault="00E87D3E" w:rsidP="007B14CD">
      <w:pPr>
        <w:spacing w:line="360" w:lineRule="auto"/>
      </w:pPr>
      <w:r w:rsidRPr="00E8036D">
        <w:rPr>
          <w:b/>
          <w:bCs/>
        </w:rPr>
        <w:fldChar w:fldCharType="begin"/>
      </w:r>
      <w:r w:rsidR="007B14CD" w:rsidRPr="00E8036D">
        <w:rPr>
          <w:b/>
          <w:bCs/>
        </w:rPr>
        <w:instrText xml:space="preserve"> AUTONUMLGL  </w:instrText>
      </w:r>
      <w:r w:rsidRPr="00E8036D">
        <w:rPr>
          <w:b/>
          <w:bCs/>
        </w:rPr>
        <w:fldChar w:fldCharType="end"/>
      </w:r>
      <w:r w:rsidR="007B14CD" w:rsidRPr="00E8036D">
        <w:rPr>
          <w:b/>
          <w:bCs/>
        </w:rPr>
        <w:t xml:space="preserve"> </w:t>
      </w:r>
      <w:r w:rsidR="00361605" w:rsidRPr="00E8036D">
        <w:t>De juridische ouders hebben het recht om toezicht uit te oefenen op de opvoeding van het kind.</w:t>
      </w:r>
      <w:r w:rsidR="00361605" w:rsidRPr="00E8036D">
        <w:rPr>
          <w:rStyle w:val="FootnoteReference"/>
        </w:rPr>
        <w:footnoteReference w:id="202"/>
      </w:r>
      <w:r w:rsidR="00361605" w:rsidRPr="00E8036D">
        <w:t xml:space="preserve"> </w:t>
      </w:r>
      <w:r w:rsidR="008D0020" w:rsidRPr="00E8036D">
        <w:t>Indien de juridische ouders niet akkoord gaan met keuzes van de pleegouders, kunnen zij naar de familierechtbank gaan.</w:t>
      </w:r>
      <w:r w:rsidR="008D0020" w:rsidRPr="00E8036D">
        <w:rPr>
          <w:rStyle w:val="FootnoteReference"/>
        </w:rPr>
        <w:footnoteReference w:id="203"/>
      </w:r>
      <w:r w:rsidR="00AA22F9" w:rsidRPr="00E8036D">
        <w:t xml:space="preserve"> Ze blijven ook contact houden</w:t>
      </w:r>
      <w:r w:rsidR="00361605" w:rsidRPr="00E8036D">
        <w:t xml:space="preserve"> met hun kind. Het doe</w:t>
      </w:r>
      <w:r w:rsidR="0006323C" w:rsidRPr="00E8036D">
        <w:t xml:space="preserve">l van pleegzorg is namelijk </w:t>
      </w:r>
      <w:r w:rsidR="00E8036D">
        <w:t>dat het</w:t>
      </w:r>
      <w:r w:rsidR="0006323C" w:rsidRPr="00E8036D">
        <w:t xml:space="preserve"> kind </w:t>
      </w:r>
      <w:r w:rsidR="00E8036D">
        <w:t xml:space="preserve">weer in </w:t>
      </w:r>
      <w:r w:rsidR="00361605" w:rsidRPr="00E8036D">
        <w:t>in zijn eigen gezin</w:t>
      </w:r>
      <w:r w:rsidR="00E8036D">
        <w:t xml:space="preserve"> wordt opgenomen</w:t>
      </w:r>
      <w:r w:rsidR="00361605" w:rsidRPr="00E8036D">
        <w:t>.</w:t>
      </w:r>
      <w:r w:rsidR="00361605" w:rsidRPr="00E8036D">
        <w:rPr>
          <w:rStyle w:val="FootnoteReference"/>
        </w:rPr>
        <w:footnoteReference w:id="204"/>
      </w:r>
      <w:r w:rsidR="00361605" w:rsidRPr="00E8036D">
        <w:t xml:space="preserve"> Indien het kind terug in zijn eigen gezin wordt opgenomen, verkrijgen de juridische ouders weer alle bevoegdheden van het ouderlijk gezag. </w:t>
      </w:r>
    </w:p>
    <w:p w:rsidR="00ED2CD6" w:rsidRPr="00686D89" w:rsidRDefault="00686D89" w:rsidP="007B14CD">
      <w:pPr>
        <w:spacing w:line="360" w:lineRule="auto"/>
        <w:rPr>
          <w:vertAlign w:val="subscript"/>
        </w:rPr>
      </w:pPr>
      <w:r>
        <w:br w:type="page"/>
      </w:r>
    </w:p>
    <w:p w:rsidR="000C0BD2" w:rsidRDefault="000C0BD2" w:rsidP="00746471">
      <w:pPr>
        <w:pStyle w:val="Heading1"/>
        <w:numPr>
          <w:ilvl w:val="0"/>
          <w:numId w:val="6"/>
        </w:numPr>
        <w:spacing w:line="360" w:lineRule="auto"/>
        <w:jc w:val="both"/>
      </w:pPr>
      <w:bookmarkStart w:id="52" w:name="_Toc449936736"/>
      <w:r>
        <w:lastRenderedPageBreak/>
        <w:t xml:space="preserve">Tekortkomingen </w:t>
      </w:r>
      <w:r w:rsidR="00270C98">
        <w:t>en oplossingen</w:t>
      </w:r>
      <w:bookmarkEnd w:id="52"/>
    </w:p>
    <w:p w:rsidR="000C0BD2" w:rsidRPr="00E8036D" w:rsidRDefault="00E87D3E" w:rsidP="00ED2CD6">
      <w:pPr>
        <w:pStyle w:val="Randnummer"/>
        <w:spacing w:line="360" w:lineRule="auto"/>
        <w:ind w:left="0" w:firstLine="0"/>
      </w:pPr>
      <w:r w:rsidRPr="00E8036D">
        <w:rPr>
          <w:b/>
          <w:bCs/>
        </w:rPr>
        <w:fldChar w:fldCharType="begin"/>
      </w:r>
      <w:r w:rsidR="00ED2CD6" w:rsidRPr="00E8036D">
        <w:rPr>
          <w:b/>
          <w:bCs/>
        </w:rPr>
        <w:instrText xml:space="preserve"> AUTONUMLGL  </w:instrText>
      </w:r>
      <w:r w:rsidRPr="00E8036D">
        <w:rPr>
          <w:b/>
          <w:bCs/>
        </w:rPr>
        <w:fldChar w:fldCharType="end"/>
      </w:r>
      <w:r w:rsidR="00ED2CD6" w:rsidRPr="00E8036D">
        <w:rPr>
          <w:b/>
          <w:bCs/>
        </w:rPr>
        <w:t xml:space="preserve"> </w:t>
      </w:r>
      <w:r w:rsidR="00F979C5" w:rsidRPr="00E8036D">
        <w:t>In hoofdstuk I word</w:t>
      </w:r>
      <w:r w:rsidR="0057296B" w:rsidRPr="00E8036D">
        <w:t>t onderzocht of het recht</w:t>
      </w:r>
      <w:r w:rsidR="00607E01" w:rsidRPr="00E8036D">
        <w:t xml:space="preserve"> nog is aan</w:t>
      </w:r>
      <w:r w:rsidR="0057296B" w:rsidRPr="00E8036D">
        <w:t>gepast aan</w:t>
      </w:r>
      <w:r w:rsidR="00607E01" w:rsidRPr="00E8036D">
        <w:t xml:space="preserve"> de nieuwe gezinssamenstellingen. </w:t>
      </w:r>
      <w:r w:rsidR="00F979C5" w:rsidRPr="00E8036D">
        <w:t xml:space="preserve">In hoofdstuk II </w:t>
      </w:r>
      <w:r w:rsidR="000D6619" w:rsidRPr="00E8036D">
        <w:t>worden vervolgens oplossingen voorgesteld om het recht aan te passen aan de maatschappelijke veranderingen. Dit gebeurt door middel van rechtsvergelijkend onderzoek.</w:t>
      </w:r>
    </w:p>
    <w:p w:rsidR="000C0BD2" w:rsidRPr="00BA4AB3" w:rsidRDefault="00067EA1" w:rsidP="00746471">
      <w:pPr>
        <w:pStyle w:val="Heading2"/>
        <w:numPr>
          <w:ilvl w:val="1"/>
          <w:numId w:val="6"/>
        </w:numPr>
        <w:spacing w:line="360" w:lineRule="auto"/>
        <w:ind w:left="0"/>
        <w:jc w:val="both"/>
      </w:pPr>
      <w:bookmarkStart w:id="53" w:name="_Toc449936737"/>
      <w:r>
        <w:t>Tekortkomingen in het huidige recht</w:t>
      </w:r>
      <w:bookmarkEnd w:id="53"/>
    </w:p>
    <w:p w:rsidR="000C0BD2" w:rsidRDefault="000D6619" w:rsidP="00746471">
      <w:pPr>
        <w:pStyle w:val="Heading3"/>
        <w:spacing w:line="360" w:lineRule="auto"/>
        <w:jc w:val="both"/>
      </w:pPr>
      <w:bookmarkStart w:id="54" w:name="_Toc449936738"/>
      <w:r>
        <w:t xml:space="preserve">Afdeling I. </w:t>
      </w:r>
      <w:r w:rsidR="00270C98">
        <w:t>O</w:t>
      </w:r>
      <w:r>
        <w:t>ntstaan van feitelijke gezagsrelaties</w:t>
      </w:r>
      <w:bookmarkEnd w:id="54"/>
    </w:p>
    <w:p w:rsidR="000C0BD2" w:rsidRDefault="00270C98" w:rsidP="00746471">
      <w:pPr>
        <w:pStyle w:val="Heading4"/>
        <w:numPr>
          <w:ilvl w:val="3"/>
          <w:numId w:val="6"/>
        </w:numPr>
        <w:spacing w:line="360" w:lineRule="auto"/>
        <w:jc w:val="both"/>
      </w:pPr>
      <w:bookmarkStart w:id="55" w:name="_Toc449936739"/>
      <w:r>
        <w:t>Recht vs. realiteit</w:t>
      </w:r>
      <w:bookmarkEnd w:id="55"/>
    </w:p>
    <w:p w:rsidR="000C0BD2" w:rsidRPr="00207085" w:rsidRDefault="00E87D3E" w:rsidP="00ED2CD6">
      <w:pPr>
        <w:pStyle w:val="Randnummer"/>
        <w:spacing w:line="360" w:lineRule="auto"/>
        <w:ind w:left="0" w:firstLine="0"/>
      </w:pPr>
      <w:r w:rsidRPr="00207085">
        <w:rPr>
          <w:b/>
          <w:bCs/>
        </w:rPr>
        <w:fldChar w:fldCharType="begin"/>
      </w:r>
      <w:r w:rsidR="00ED2CD6" w:rsidRPr="00207085">
        <w:rPr>
          <w:b/>
          <w:bCs/>
        </w:rPr>
        <w:instrText xml:space="preserve"> AUTONUMLGL  </w:instrText>
      </w:r>
      <w:r w:rsidRPr="00207085">
        <w:rPr>
          <w:b/>
          <w:bCs/>
        </w:rPr>
        <w:fldChar w:fldCharType="end"/>
      </w:r>
      <w:r w:rsidR="00ED2CD6" w:rsidRPr="00207085">
        <w:rPr>
          <w:b/>
          <w:bCs/>
        </w:rPr>
        <w:t xml:space="preserve"> </w:t>
      </w:r>
      <w:r w:rsidR="000C0BD2" w:rsidRPr="00207085">
        <w:t xml:space="preserve">Medische vooruitgang maakt het mogelijk dat lesbische koppels, koppels </w:t>
      </w:r>
      <w:r w:rsidR="00C10701" w:rsidRPr="00207085">
        <w:t>met vruchtbaarheidsproblemen en</w:t>
      </w:r>
      <w:r w:rsidR="000C0BD2" w:rsidRPr="00207085">
        <w:t xml:space="preserve"> alleenstaande vrouw</w:t>
      </w:r>
      <w:r w:rsidR="00C10701" w:rsidRPr="00207085">
        <w:t>en</w:t>
      </w:r>
      <w:r w:rsidR="000C0BD2" w:rsidRPr="00207085">
        <w:t xml:space="preserve"> nu ook kinderen kunnen krijgen.</w:t>
      </w:r>
      <w:r w:rsidR="000C0BD2" w:rsidRPr="00207085">
        <w:rPr>
          <w:rStyle w:val="FootnoteReference"/>
        </w:rPr>
        <w:footnoteReference w:id="205"/>
      </w:r>
      <w:r w:rsidR="000C0BD2" w:rsidRPr="00207085">
        <w:t xml:space="preserve"> In vitro fertilisatie </w:t>
      </w:r>
      <w:r w:rsidR="00661111" w:rsidRPr="00207085">
        <w:t>en kunstmatige inseminatie geven</w:t>
      </w:r>
      <w:r w:rsidR="000C0BD2" w:rsidRPr="00207085">
        <w:t xml:space="preserve"> aan deze personen de mogelijkheid om hun kinderwens in vervulling te laten gaan.</w:t>
      </w:r>
      <w:r w:rsidR="000C0BD2" w:rsidRPr="00207085">
        <w:rPr>
          <w:rStyle w:val="FootnoteReference"/>
        </w:rPr>
        <w:footnoteReference w:id="206"/>
      </w:r>
    </w:p>
    <w:p w:rsidR="00103D29" w:rsidRPr="00207085" w:rsidRDefault="000C0BD2" w:rsidP="00ED2CD6">
      <w:pPr>
        <w:pStyle w:val="Randnummer"/>
        <w:spacing w:line="360" w:lineRule="auto"/>
        <w:ind w:left="0" w:firstLine="0"/>
      </w:pPr>
      <w:r w:rsidRPr="00207085">
        <w:t xml:space="preserve">De publieke opinie aanvaardt bovendien steeds meer dat het mogelijk moet zijn voor singles en holebi’s om </w:t>
      </w:r>
      <w:r w:rsidR="00661111" w:rsidRPr="00207085">
        <w:t>kinderen te krijgen</w:t>
      </w:r>
      <w:r w:rsidRPr="00207085">
        <w:t>. In Antwerpen vind</w:t>
      </w:r>
      <w:r w:rsidR="00211147" w:rsidRPr="00207085">
        <w:t>t</w:t>
      </w:r>
      <w:r w:rsidR="00310B3C" w:rsidRPr="00207085">
        <w:t xml:space="preserve"> in juni 2016 een </w:t>
      </w:r>
      <w:r w:rsidRPr="00207085">
        <w:t>speeddate plaats waar wensmoeders, wensvaders en donoren met elkaar in contact kunnen komen.</w:t>
      </w:r>
      <w:r w:rsidRPr="00207085">
        <w:rPr>
          <w:rStyle w:val="FootnoteReference"/>
        </w:rPr>
        <w:footnoteReference w:id="207"/>
      </w:r>
      <w:r w:rsidRPr="00207085">
        <w:t xml:space="preserve"> Dit toont aan dat maatschappelijke waarden en normen evolueren. Enkele jaren geleden was dit quasi ondenkbaar. </w:t>
      </w:r>
      <w:r w:rsidR="00C10701" w:rsidRPr="00207085">
        <w:t>Het is bijvoorbeeld</w:t>
      </w:r>
      <w:r w:rsidRPr="00207085">
        <w:t xml:space="preserve"> pas sinds 2006 mogelijk dat personen van hetzelfde geslacht een kind kunnen adopteren.</w:t>
      </w:r>
      <w:r w:rsidRPr="00207085">
        <w:rPr>
          <w:rStyle w:val="FootnoteReference"/>
        </w:rPr>
        <w:footnoteReference w:id="208"/>
      </w:r>
    </w:p>
    <w:p w:rsidR="00103D29" w:rsidRPr="00207085" w:rsidRDefault="00E87D3E" w:rsidP="00ED2CD6">
      <w:pPr>
        <w:pStyle w:val="Randnummer"/>
        <w:spacing w:line="360" w:lineRule="auto"/>
        <w:ind w:left="0" w:firstLine="0"/>
      </w:pPr>
      <w:r w:rsidRPr="00207085">
        <w:rPr>
          <w:b/>
          <w:bCs/>
        </w:rPr>
        <w:fldChar w:fldCharType="begin"/>
      </w:r>
      <w:r w:rsidR="00ED2CD6" w:rsidRPr="00207085">
        <w:rPr>
          <w:b/>
          <w:bCs/>
        </w:rPr>
        <w:instrText xml:space="preserve"> AUTONUMLGL  </w:instrText>
      </w:r>
      <w:r w:rsidRPr="00207085">
        <w:rPr>
          <w:b/>
          <w:bCs/>
        </w:rPr>
        <w:fldChar w:fldCharType="end"/>
      </w:r>
      <w:r w:rsidR="00ED2CD6" w:rsidRPr="00207085">
        <w:rPr>
          <w:b/>
          <w:bCs/>
        </w:rPr>
        <w:t xml:space="preserve"> </w:t>
      </w:r>
      <w:r w:rsidR="00103D29" w:rsidRPr="00207085">
        <w:t>Evoluerende maatschappeli</w:t>
      </w:r>
      <w:r w:rsidR="00661111" w:rsidRPr="00207085">
        <w:t>jke waarden en normen hebben ertoe geleid dat echtsche</w:t>
      </w:r>
      <w:r w:rsidR="008F146C" w:rsidRPr="00207085">
        <w:t>i</w:t>
      </w:r>
      <w:r w:rsidR="00661111" w:rsidRPr="00207085">
        <w:t>dingen geen taboe meer zijn</w:t>
      </w:r>
      <w:r w:rsidR="008F146C" w:rsidRPr="00207085">
        <w:t xml:space="preserve"> en dat nieuwe relaties gemakkelijk aanvaard worden</w:t>
      </w:r>
      <w:r w:rsidR="00103D29" w:rsidRPr="00207085">
        <w:t>.</w:t>
      </w:r>
      <w:r w:rsidR="00103D29" w:rsidRPr="00207085">
        <w:rPr>
          <w:rStyle w:val="FootnoteReference"/>
        </w:rPr>
        <w:footnoteReference w:id="209"/>
      </w:r>
      <w:r w:rsidR="00103D29" w:rsidRPr="00207085">
        <w:t xml:space="preserve"> </w:t>
      </w:r>
      <w:r w:rsidR="00103D29" w:rsidRPr="00207085">
        <w:lastRenderedPageBreak/>
        <w:t>In de</w:t>
      </w:r>
      <w:r w:rsidR="00661111" w:rsidRPr="00207085">
        <w:t xml:space="preserve"> huidige maatschappij bestaan</w:t>
      </w:r>
      <w:r w:rsidR="00103D29" w:rsidRPr="00207085">
        <w:t xml:space="preserve"> dus veel nieuw samengestelde gezinnen, waar de nieuwe partner van </w:t>
      </w:r>
      <w:r w:rsidR="00177A5B" w:rsidRPr="00207085">
        <w:t xml:space="preserve">één van </w:t>
      </w:r>
      <w:r w:rsidR="00103D29" w:rsidRPr="00207085">
        <w:t>de juridische ouder mee instaat voor de opvoeding van het kind.</w:t>
      </w:r>
      <w:r w:rsidR="00177A5B" w:rsidRPr="00207085">
        <w:rPr>
          <w:rStyle w:val="FootnoteReference"/>
        </w:rPr>
        <w:footnoteReference w:id="210"/>
      </w:r>
    </w:p>
    <w:p w:rsidR="000C0BD2" w:rsidRPr="00207085" w:rsidRDefault="00E87D3E" w:rsidP="00ED2CD6">
      <w:pPr>
        <w:pStyle w:val="Randnummer"/>
        <w:spacing w:line="360" w:lineRule="auto"/>
        <w:ind w:left="0" w:firstLine="0"/>
        <w:rPr>
          <w:b/>
          <w:bCs/>
        </w:rPr>
      </w:pPr>
      <w:r w:rsidRPr="00207085">
        <w:rPr>
          <w:b/>
          <w:bCs/>
        </w:rPr>
        <w:fldChar w:fldCharType="begin"/>
      </w:r>
      <w:r w:rsidR="00ED2CD6" w:rsidRPr="00207085">
        <w:rPr>
          <w:b/>
          <w:bCs/>
        </w:rPr>
        <w:instrText xml:space="preserve"> AUTONUMLGL  </w:instrText>
      </w:r>
      <w:r w:rsidRPr="00207085">
        <w:rPr>
          <w:b/>
          <w:bCs/>
        </w:rPr>
        <w:fldChar w:fldCharType="end"/>
      </w:r>
      <w:r w:rsidR="00B750F9" w:rsidRPr="00207085">
        <w:rPr>
          <w:b/>
          <w:bCs/>
        </w:rPr>
        <w:t xml:space="preserve"> </w:t>
      </w:r>
      <w:r w:rsidR="000C0BD2" w:rsidRPr="00207085">
        <w:t>De wetgever heeft deze vooruitgang deels wettelijk omkaderd. Zo is, zoals reeds vermeld, de biologische band niet de enige grondslag voor het vestigen van een afstammingsband.</w:t>
      </w:r>
      <w:r w:rsidR="000C0BD2" w:rsidRPr="00207085">
        <w:rPr>
          <w:rStyle w:val="FootnoteReference"/>
        </w:rPr>
        <w:footnoteReference w:id="211"/>
      </w:r>
      <w:r w:rsidR="000C0BD2" w:rsidRPr="00207085">
        <w:t xml:space="preserve"> De regels die betrekking hebben op het vestigen van een oorspronkelijke afstammingsband houden ook rekening met de intentie.</w:t>
      </w:r>
      <w:r w:rsidR="000C0BD2" w:rsidRPr="00207085">
        <w:rPr>
          <w:rStyle w:val="FootnoteReference"/>
        </w:rPr>
        <w:footnoteReference w:id="212"/>
      </w:r>
      <w:r w:rsidR="000C0BD2" w:rsidRPr="00207085">
        <w:t xml:space="preserve"> </w:t>
      </w:r>
      <w:r w:rsidR="001219C9" w:rsidRPr="00207085">
        <w:t>K</w:t>
      </w:r>
      <w:r w:rsidR="000C0BD2" w:rsidRPr="00207085">
        <w:t xml:space="preserve">oppels met </w:t>
      </w:r>
      <w:r w:rsidR="00211147" w:rsidRPr="00207085">
        <w:t xml:space="preserve">vruchtbaarheidsproblemen </w:t>
      </w:r>
      <w:r w:rsidR="001219C9" w:rsidRPr="00207085">
        <w:t xml:space="preserve">kunnen </w:t>
      </w:r>
      <w:r w:rsidR="000C0BD2" w:rsidRPr="00207085">
        <w:t>via medisch begeleide voortplanting kinderen krijgen. De wetgever heeft ervoor gezorgd dat de wensouders de jurid</w:t>
      </w:r>
      <w:r w:rsidR="008F146C" w:rsidRPr="00207085">
        <w:t>ische ouders zijn, zonder dat</w:t>
      </w:r>
      <w:r w:rsidR="000C0BD2" w:rsidRPr="00207085">
        <w:t xml:space="preserve"> een biologische band vereist is.</w:t>
      </w:r>
      <w:r w:rsidR="000C0BD2" w:rsidRPr="00207085">
        <w:rPr>
          <w:rStyle w:val="FootnoteReference"/>
        </w:rPr>
        <w:footnoteReference w:id="213"/>
      </w:r>
      <w:r w:rsidR="00067EA1" w:rsidRPr="00207085">
        <w:t xml:space="preserve"> De wetgever heeft het recent ook mogelijk gemaakt voor de meemoeder om juridisch ouder te worden zonder de omweg van adoptie.</w:t>
      </w:r>
      <w:r w:rsidR="00067EA1" w:rsidRPr="00207085">
        <w:rPr>
          <w:rStyle w:val="FootnoteReference"/>
        </w:rPr>
        <w:footnoteReference w:id="214"/>
      </w:r>
      <w:r w:rsidR="00067EA1" w:rsidRPr="00207085">
        <w:t xml:space="preserve"> </w:t>
      </w:r>
      <w:r w:rsidR="00E33E9D" w:rsidRPr="00207085">
        <w:t xml:space="preserve">De meemoeder kan </w:t>
      </w:r>
      <w:r w:rsidR="00AA1202" w:rsidRPr="00207085">
        <w:t>een oorspronkelijke afstamm</w:t>
      </w:r>
      <w:r w:rsidR="00067EA1" w:rsidRPr="00207085">
        <w:t>ingsband vestigen met het kind, zonder dat ze een biologische band heeft met het kind.</w:t>
      </w:r>
      <w:r w:rsidR="00067EA1" w:rsidRPr="00207085">
        <w:rPr>
          <w:rStyle w:val="FootnoteReference"/>
        </w:rPr>
        <w:footnoteReference w:id="215"/>
      </w:r>
    </w:p>
    <w:p w:rsidR="000C0BD2" w:rsidRPr="00207085" w:rsidRDefault="00E87D3E" w:rsidP="00ED2CD6">
      <w:pPr>
        <w:pStyle w:val="Randnummer"/>
        <w:spacing w:line="360" w:lineRule="auto"/>
        <w:ind w:left="0" w:firstLine="0"/>
      </w:pPr>
      <w:r w:rsidRPr="00207085">
        <w:rPr>
          <w:b/>
          <w:bCs/>
        </w:rPr>
        <w:fldChar w:fldCharType="begin"/>
      </w:r>
      <w:r w:rsidR="00ED2CD6" w:rsidRPr="00207085">
        <w:rPr>
          <w:b/>
          <w:bCs/>
        </w:rPr>
        <w:instrText xml:space="preserve"> AUTONUMLGL  </w:instrText>
      </w:r>
      <w:r w:rsidRPr="00207085">
        <w:rPr>
          <w:b/>
          <w:bCs/>
        </w:rPr>
        <w:fldChar w:fldCharType="end"/>
      </w:r>
      <w:r w:rsidR="00ED2CD6" w:rsidRPr="00207085">
        <w:rPr>
          <w:b/>
          <w:bCs/>
        </w:rPr>
        <w:t xml:space="preserve"> </w:t>
      </w:r>
      <w:r w:rsidR="00E33E9D" w:rsidRPr="00207085">
        <w:t xml:space="preserve">Medische vooruitgang en </w:t>
      </w:r>
      <w:r w:rsidR="000C0BD2" w:rsidRPr="00207085">
        <w:t xml:space="preserve">nieuwe waarden en normen kunnen </w:t>
      </w:r>
      <w:r w:rsidR="008F146C" w:rsidRPr="00207085">
        <w:t>ertoe leiden dat</w:t>
      </w:r>
      <w:r w:rsidR="000C0BD2" w:rsidRPr="00207085">
        <w:t xml:space="preserve"> meer dan twee personen instaan </w:t>
      </w:r>
      <w:r w:rsidR="00661111" w:rsidRPr="00207085">
        <w:t>voor de opvoeding van het kind.</w:t>
      </w:r>
      <w:r w:rsidR="001219C9" w:rsidRPr="00207085">
        <w:rPr>
          <w:rStyle w:val="FootnoteReference"/>
        </w:rPr>
        <w:footnoteReference w:id="216"/>
      </w:r>
      <w:r w:rsidR="00661111" w:rsidRPr="00207085">
        <w:t xml:space="preserve"> </w:t>
      </w:r>
      <w:r w:rsidR="000C0BD2" w:rsidRPr="00207085">
        <w:t xml:space="preserve">Deze nieuwe ontwikkeling is nog niet wettelijk omkaderd. De wetgever houdt vast aan het principe dat er </w:t>
      </w:r>
      <w:r w:rsidR="001219C9" w:rsidRPr="00207085">
        <w:t xml:space="preserve">maximaal </w:t>
      </w:r>
      <w:r w:rsidR="000C0BD2" w:rsidRPr="00207085">
        <w:t>twee juridische ouders kunnen zijn.</w:t>
      </w:r>
      <w:r w:rsidR="000C0BD2" w:rsidRPr="00207085">
        <w:rPr>
          <w:rStyle w:val="FootnoteReference"/>
        </w:rPr>
        <w:footnoteReference w:id="217"/>
      </w:r>
      <w:r w:rsidR="000C0BD2" w:rsidRPr="00207085">
        <w:t xml:space="preserve"> Dit geeft aanleiding tot problemen in meeroudergezinnen. Dit wordt hieronder besproken.</w:t>
      </w:r>
    </w:p>
    <w:p w:rsidR="000C0BD2" w:rsidRDefault="00270C98" w:rsidP="00746471">
      <w:pPr>
        <w:pStyle w:val="Heading4"/>
        <w:spacing w:line="360" w:lineRule="auto"/>
        <w:jc w:val="both"/>
      </w:pPr>
      <w:bookmarkStart w:id="56" w:name="_Toc449936740"/>
      <w:r>
        <w:lastRenderedPageBreak/>
        <w:t>§2</w:t>
      </w:r>
      <w:r w:rsidR="00F979C5">
        <w:t>.</w:t>
      </w:r>
      <w:r>
        <w:t xml:space="preserve"> Meeroudergezinnen</w:t>
      </w:r>
      <w:bookmarkEnd w:id="56"/>
      <w:r w:rsidR="00F979C5">
        <w:t xml:space="preserve"> </w:t>
      </w:r>
    </w:p>
    <w:p w:rsidR="00270C98" w:rsidRPr="00270C98" w:rsidRDefault="000D6619" w:rsidP="00746471">
      <w:pPr>
        <w:pStyle w:val="Heading5"/>
        <w:spacing w:line="360" w:lineRule="auto"/>
        <w:jc w:val="both"/>
      </w:pPr>
      <w:bookmarkStart w:id="57" w:name="_Toc449936741"/>
      <w:r>
        <w:t xml:space="preserve">A. </w:t>
      </w:r>
      <w:r w:rsidR="00AA1202">
        <w:t>Duiding</w:t>
      </w:r>
      <w:r w:rsidR="00270C98">
        <w:t xml:space="preserve"> begrip</w:t>
      </w:r>
      <w:bookmarkEnd w:id="57"/>
    </w:p>
    <w:p w:rsidR="000C0BD2" w:rsidRPr="00207085" w:rsidRDefault="00E87D3E" w:rsidP="00207085">
      <w:pPr>
        <w:pStyle w:val="Randnummer"/>
        <w:spacing w:line="360" w:lineRule="auto"/>
        <w:ind w:left="0" w:firstLine="0"/>
      </w:pPr>
      <w:r w:rsidRPr="00207085">
        <w:rPr>
          <w:b/>
          <w:bCs/>
        </w:rPr>
        <w:fldChar w:fldCharType="begin"/>
      </w:r>
      <w:r w:rsidR="00ED2CD6" w:rsidRPr="00207085">
        <w:rPr>
          <w:b/>
          <w:bCs/>
        </w:rPr>
        <w:instrText xml:space="preserve"> AUTONUMLGL  </w:instrText>
      </w:r>
      <w:r w:rsidRPr="00207085">
        <w:rPr>
          <w:b/>
          <w:bCs/>
        </w:rPr>
        <w:fldChar w:fldCharType="end"/>
      </w:r>
      <w:r w:rsidR="00ED2CD6" w:rsidRPr="00207085">
        <w:rPr>
          <w:b/>
          <w:bCs/>
        </w:rPr>
        <w:t xml:space="preserve"> </w:t>
      </w:r>
      <w:r w:rsidR="00211147" w:rsidRPr="00207085">
        <w:t>In</w:t>
      </w:r>
      <w:r w:rsidR="00661111" w:rsidRPr="00207085">
        <w:t xml:space="preserve"> de huidige maatschappij bestaan</w:t>
      </w:r>
      <w:r w:rsidR="00211147" w:rsidRPr="00207085">
        <w:t xml:space="preserve"> steeds vaker</w:t>
      </w:r>
      <w:r w:rsidR="000C0BD2" w:rsidRPr="00207085">
        <w:t xml:space="preserve"> meeroudergezi</w:t>
      </w:r>
      <w:r w:rsidR="001219C9" w:rsidRPr="00207085">
        <w:t xml:space="preserve">nnen. Dit zijn </w:t>
      </w:r>
      <w:r w:rsidR="00661111" w:rsidRPr="00207085">
        <w:t xml:space="preserve">gezinnen waar </w:t>
      </w:r>
      <w:r w:rsidR="000C0BD2" w:rsidRPr="00207085">
        <w:t>naast de juridische ouders nog andere personen</w:t>
      </w:r>
      <w:r w:rsidR="007B126F" w:rsidRPr="00207085">
        <w:t xml:space="preserve"> </w:t>
      </w:r>
      <w:r w:rsidR="000C0BD2" w:rsidRPr="00207085">
        <w:t>mee instaan voor de opvoeding van het kind.</w:t>
      </w:r>
      <w:r w:rsidR="000C0BD2" w:rsidRPr="00207085">
        <w:rPr>
          <w:rStyle w:val="FootnoteReference"/>
        </w:rPr>
        <w:footnoteReference w:id="218"/>
      </w:r>
      <w:r w:rsidR="000C0BD2" w:rsidRPr="00207085">
        <w:t xml:space="preserve"> Deze meeroudergezinnen kunnen zowel intentioneel als niet-intentioneel zijn.</w:t>
      </w:r>
    </w:p>
    <w:p w:rsidR="00ED2CD6" w:rsidRPr="00207085" w:rsidRDefault="00E87D3E" w:rsidP="00207085">
      <w:pPr>
        <w:pStyle w:val="Randnummer"/>
        <w:spacing w:line="360" w:lineRule="auto"/>
        <w:ind w:left="0" w:firstLine="0"/>
      </w:pPr>
      <w:r w:rsidRPr="00207085">
        <w:rPr>
          <w:b/>
          <w:bCs/>
        </w:rPr>
        <w:fldChar w:fldCharType="begin"/>
      </w:r>
      <w:r w:rsidR="00ED2CD6" w:rsidRPr="00207085">
        <w:rPr>
          <w:b/>
          <w:bCs/>
        </w:rPr>
        <w:instrText xml:space="preserve"> AUTONUMLGL  </w:instrText>
      </w:r>
      <w:r w:rsidRPr="00207085">
        <w:rPr>
          <w:b/>
          <w:bCs/>
        </w:rPr>
        <w:fldChar w:fldCharType="end"/>
      </w:r>
      <w:r w:rsidR="00ED2CD6" w:rsidRPr="00207085">
        <w:rPr>
          <w:b/>
          <w:bCs/>
        </w:rPr>
        <w:t xml:space="preserve"> </w:t>
      </w:r>
      <w:r w:rsidR="000C0BD2" w:rsidRPr="00207085">
        <w:t>Intentionele meeroude</w:t>
      </w:r>
      <w:r w:rsidR="00661111" w:rsidRPr="00207085">
        <w:t xml:space="preserve">rgezinnen zijn gezinnen waar </w:t>
      </w:r>
      <w:r w:rsidR="000C0BD2" w:rsidRPr="00207085">
        <w:t xml:space="preserve">voor de geboorte van het kind reeds afgesproken is dat een niet-juridische ouder mee </w:t>
      </w:r>
      <w:r w:rsidR="009C133D" w:rsidRPr="00207085">
        <w:t>zal instaan</w:t>
      </w:r>
      <w:r w:rsidR="000C0BD2" w:rsidRPr="00207085">
        <w:t xml:space="preserve"> voor de opvoeding van het kind.</w:t>
      </w:r>
      <w:r w:rsidR="000C0BD2" w:rsidRPr="00207085">
        <w:rPr>
          <w:rStyle w:val="FootnoteReference"/>
        </w:rPr>
        <w:footnoteReference w:id="219"/>
      </w:r>
      <w:r w:rsidR="000C0BD2" w:rsidRPr="00207085">
        <w:t xml:space="preserve"> Het gaat hier om </w:t>
      </w:r>
      <w:r w:rsidR="009C133D" w:rsidRPr="00207085">
        <w:t>een bewuste keuze om het kind met meer dan twee personen op te voeden</w:t>
      </w:r>
      <w:r w:rsidR="000C0BD2" w:rsidRPr="00207085">
        <w:t>.</w:t>
      </w:r>
      <w:r w:rsidR="009C133D" w:rsidRPr="00207085">
        <w:rPr>
          <w:rStyle w:val="FootnoteReference"/>
        </w:rPr>
        <w:footnoteReference w:id="220"/>
      </w:r>
      <w:r w:rsidR="000C0BD2" w:rsidRPr="00207085">
        <w:t xml:space="preserve"> </w:t>
      </w:r>
      <w:r w:rsidR="009C133D" w:rsidRPr="00207085">
        <w:t xml:space="preserve">Er valt te denken aan </w:t>
      </w:r>
      <w:r w:rsidR="00DE0A28" w:rsidRPr="00207085">
        <w:t>een lesbisch koppel</w:t>
      </w:r>
      <w:r w:rsidR="000C0BD2" w:rsidRPr="00207085">
        <w:t xml:space="preserve"> dat met behulp van een bekende donor een kind krijgt</w:t>
      </w:r>
      <w:r w:rsidR="009C133D" w:rsidRPr="00207085">
        <w:t>. Tussen het lesbisch</w:t>
      </w:r>
      <w:r w:rsidR="000C0BD2" w:rsidRPr="00207085">
        <w:t xml:space="preserve"> </w:t>
      </w:r>
      <w:r w:rsidR="00DE0A28" w:rsidRPr="00207085">
        <w:t>koppel</w:t>
      </w:r>
      <w:r w:rsidR="000C0BD2" w:rsidRPr="00207085">
        <w:t xml:space="preserve"> en de donor is a</w:t>
      </w:r>
      <w:r w:rsidR="00877704" w:rsidRPr="00207085">
        <w:t>fgesproken dat de donor mee instaat</w:t>
      </w:r>
      <w:r w:rsidR="000C0BD2" w:rsidRPr="00207085">
        <w:t xml:space="preserve"> voor de opvoeding van het kind. </w:t>
      </w:r>
    </w:p>
    <w:p w:rsidR="000C0BD2" w:rsidRPr="00207085" w:rsidRDefault="00E87D3E" w:rsidP="00207085">
      <w:pPr>
        <w:pStyle w:val="Randnummer"/>
        <w:spacing w:line="360" w:lineRule="auto"/>
        <w:ind w:left="0" w:firstLine="0"/>
      </w:pPr>
      <w:r w:rsidRPr="00207085">
        <w:rPr>
          <w:b/>
          <w:bCs/>
        </w:rPr>
        <w:fldChar w:fldCharType="begin"/>
      </w:r>
      <w:r w:rsidR="00ED2CD6" w:rsidRPr="00207085">
        <w:rPr>
          <w:b/>
          <w:bCs/>
        </w:rPr>
        <w:instrText xml:space="preserve"> AUTONUMLGL  </w:instrText>
      </w:r>
      <w:r w:rsidRPr="00207085">
        <w:rPr>
          <w:b/>
          <w:bCs/>
        </w:rPr>
        <w:fldChar w:fldCharType="end"/>
      </w:r>
      <w:r w:rsidR="002370DF" w:rsidRPr="00207085">
        <w:rPr>
          <w:b/>
          <w:bCs/>
        </w:rPr>
        <w:t xml:space="preserve"> </w:t>
      </w:r>
      <w:r w:rsidR="000C0BD2" w:rsidRPr="00207085">
        <w:t>Naast intention</w:t>
      </w:r>
      <w:r w:rsidR="00DE0A28" w:rsidRPr="00207085">
        <w:t>ele meeroudergezinnen bestaan</w:t>
      </w:r>
      <w:r w:rsidR="000C0BD2" w:rsidRPr="00207085">
        <w:t xml:space="preserve"> ook niet-intentionele meeroudergezinnen. In dit geval was het voor de geboorte van he</w:t>
      </w:r>
      <w:r w:rsidR="00DE0A28" w:rsidRPr="00207085">
        <w:t xml:space="preserve">t kind niet de bedoeling dat </w:t>
      </w:r>
      <w:r w:rsidR="000C0BD2" w:rsidRPr="00207085">
        <w:t>een niet-juridische ouder mee zou instaan voor de opvoeding van het kind.</w:t>
      </w:r>
      <w:r w:rsidR="000C0BD2" w:rsidRPr="00207085">
        <w:rPr>
          <w:rStyle w:val="FootnoteReference"/>
        </w:rPr>
        <w:footnoteReference w:id="221"/>
      </w:r>
      <w:r w:rsidR="000C0BD2" w:rsidRPr="00207085">
        <w:t xml:space="preserve"> </w:t>
      </w:r>
      <w:r w:rsidR="009C133D" w:rsidRPr="00207085">
        <w:t xml:space="preserve">Er valt te denken aan </w:t>
      </w:r>
      <w:r w:rsidR="00DE0A28" w:rsidRPr="00207085">
        <w:t>de</w:t>
      </w:r>
      <w:r w:rsidR="002370DF" w:rsidRPr="00207085">
        <w:t xml:space="preserve"> situatie waarbij éé</w:t>
      </w:r>
      <w:r w:rsidR="000C0BD2" w:rsidRPr="00207085">
        <w:t>n van de ouders hertrouwt en deze</w:t>
      </w:r>
      <w:r w:rsidR="009C133D" w:rsidRPr="00207085">
        <w:t xml:space="preserve"> nieuwe echtgenoot, de stiefouder, </w:t>
      </w:r>
      <w:r w:rsidR="000C0BD2" w:rsidRPr="00207085">
        <w:t>het kind mee opvoedt.</w:t>
      </w:r>
    </w:p>
    <w:p w:rsidR="00607E01" w:rsidRPr="00207085" w:rsidRDefault="00270C98" w:rsidP="00746471">
      <w:pPr>
        <w:pStyle w:val="Heading5"/>
        <w:spacing w:line="360" w:lineRule="auto"/>
        <w:jc w:val="both"/>
      </w:pPr>
      <w:bookmarkStart w:id="58" w:name="_Toc449936742"/>
      <w:r w:rsidRPr="00207085">
        <w:lastRenderedPageBreak/>
        <w:t xml:space="preserve">B. </w:t>
      </w:r>
      <w:r w:rsidR="00607E01" w:rsidRPr="00207085">
        <w:t>Zuiver monistisch systeem</w:t>
      </w:r>
      <w:bookmarkEnd w:id="58"/>
    </w:p>
    <w:p w:rsidR="009C133D" w:rsidRPr="00207085" w:rsidRDefault="00E87D3E" w:rsidP="00207085">
      <w:pPr>
        <w:pStyle w:val="Randnummer"/>
        <w:spacing w:line="360" w:lineRule="auto"/>
        <w:ind w:left="0" w:firstLine="0"/>
      </w:pPr>
      <w:r w:rsidRPr="00207085">
        <w:rPr>
          <w:b/>
          <w:bCs/>
        </w:rPr>
        <w:fldChar w:fldCharType="begin"/>
      </w:r>
      <w:r w:rsidR="00ED2CD6" w:rsidRPr="00207085">
        <w:rPr>
          <w:b/>
          <w:bCs/>
        </w:rPr>
        <w:instrText xml:space="preserve"> AUTONUMLGL  </w:instrText>
      </w:r>
      <w:r w:rsidRPr="00207085">
        <w:rPr>
          <w:b/>
          <w:bCs/>
        </w:rPr>
        <w:fldChar w:fldCharType="end"/>
      </w:r>
      <w:r w:rsidR="00ED2CD6" w:rsidRPr="00207085">
        <w:rPr>
          <w:b/>
          <w:bCs/>
        </w:rPr>
        <w:t xml:space="preserve"> </w:t>
      </w:r>
      <w:r w:rsidR="000C0BD2" w:rsidRPr="00207085">
        <w:t>De bekende donor of stiefouder worden in wat volgt zorgouder genoemd.</w:t>
      </w:r>
      <w:r w:rsidR="000C0BD2" w:rsidRPr="00207085">
        <w:br/>
        <w:t>De bekende donor is een biologische, niet-juridische ou</w:t>
      </w:r>
      <w:r w:rsidR="009C133D" w:rsidRPr="00207085">
        <w:t>der. De stiefouder is de nieuwe echtgenoot</w:t>
      </w:r>
      <w:r w:rsidR="000C0BD2" w:rsidRPr="00207085">
        <w:t xml:space="preserve"> van een</w:t>
      </w:r>
      <w:r w:rsidR="009C133D" w:rsidRPr="00207085">
        <w:t xml:space="preserve"> van de</w:t>
      </w:r>
      <w:r w:rsidR="000C0BD2" w:rsidRPr="00207085">
        <w:t xml:space="preserve"> juridische ouder. De stiefouder heeft geen biologische band met het kind. </w:t>
      </w:r>
    </w:p>
    <w:p w:rsidR="000C0BD2" w:rsidRPr="00207085" w:rsidRDefault="000C0BD2" w:rsidP="00207085">
      <w:pPr>
        <w:pStyle w:val="Randnummer"/>
        <w:spacing w:line="360" w:lineRule="auto"/>
        <w:ind w:left="0" w:firstLine="0"/>
      </w:pPr>
      <w:r w:rsidRPr="00207085">
        <w:t>De zorgouder staat mee in voor de opvoeding van he</w:t>
      </w:r>
      <w:r w:rsidR="00DE0A28" w:rsidRPr="00207085">
        <w:t>t kind.</w:t>
      </w:r>
      <w:r w:rsidR="002370DF" w:rsidRPr="00207085">
        <w:rPr>
          <w:rStyle w:val="FootnoteReference"/>
        </w:rPr>
        <w:footnoteReference w:id="222"/>
      </w:r>
      <w:r w:rsidR="00DE0A28" w:rsidRPr="00207085">
        <w:t xml:space="preserve"> Dit zorgt ervoor dat </w:t>
      </w:r>
      <w:r w:rsidRPr="00207085">
        <w:t>tussen de zorgouder en het kind feitelijke gezagsrelaties ontstaan.</w:t>
      </w:r>
      <w:r w:rsidRPr="00207085">
        <w:rPr>
          <w:rStyle w:val="FootnoteReference"/>
        </w:rPr>
        <w:footnoteReference w:id="223"/>
      </w:r>
      <w:r w:rsidR="005E2576" w:rsidRPr="00207085">
        <w:t xml:space="preserve"> Wanneer de zorgouder het kind daadwerkelijk mee opvoedt, zal de zorgouder immers net zoals de juridische ouders beslissingen nemen ten aanzien van het kind. Er valt te denken a</w:t>
      </w:r>
      <w:r w:rsidR="00AA1202" w:rsidRPr="00207085">
        <w:t>an beslissingen over de kleding</w:t>
      </w:r>
      <w:r w:rsidR="005E2576" w:rsidRPr="00207085">
        <w:t xml:space="preserve">keuze, over de etenskeuze of over de vrijetijdsbesteding van het kind. Wanneer het kind ziek is, bestaat de kans dat </w:t>
      </w:r>
      <w:r w:rsidR="00207085" w:rsidRPr="00207085">
        <w:t>de</w:t>
      </w:r>
      <w:r w:rsidR="005E2576" w:rsidRPr="00207085">
        <w:t xml:space="preserve"> zorgouder met het kind naar de dokter gaat.</w:t>
      </w:r>
    </w:p>
    <w:p w:rsidR="000C0BD2" w:rsidRPr="00207085" w:rsidRDefault="00E87D3E" w:rsidP="00207085">
      <w:pPr>
        <w:pStyle w:val="Randnummer"/>
        <w:spacing w:line="360" w:lineRule="auto"/>
        <w:ind w:left="0" w:firstLine="0"/>
      </w:pPr>
      <w:r w:rsidRPr="00207085">
        <w:rPr>
          <w:b/>
          <w:bCs/>
        </w:rPr>
        <w:fldChar w:fldCharType="begin"/>
      </w:r>
      <w:r w:rsidR="00ED2CD6" w:rsidRPr="00207085">
        <w:rPr>
          <w:b/>
          <w:bCs/>
        </w:rPr>
        <w:instrText xml:space="preserve"> AUTONUMLGL  </w:instrText>
      </w:r>
      <w:r w:rsidRPr="00207085">
        <w:rPr>
          <w:b/>
          <w:bCs/>
        </w:rPr>
        <w:fldChar w:fldCharType="end"/>
      </w:r>
      <w:r w:rsidR="00ED2CD6" w:rsidRPr="00207085">
        <w:rPr>
          <w:b/>
          <w:bCs/>
        </w:rPr>
        <w:t xml:space="preserve"> </w:t>
      </w:r>
      <w:r w:rsidR="000C0BD2" w:rsidRPr="00207085">
        <w:t>De feitelijke gezagsrol die zorgouders op zich nemen, geniet geen wettelijke bescherming.</w:t>
      </w:r>
      <w:r w:rsidR="000C0BD2" w:rsidRPr="00207085">
        <w:rPr>
          <w:rStyle w:val="FootnoteReference"/>
        </w:rPr>
        <w:footnoteReference w:id="224"/>
      </w:r>
      <w:r w:rsidR="00772650" w:rsidRPr="00207085">
        <w:t xml:space="preserve"> Volgens het Belgisch</w:t>
      </w:r>
      <w:r w:rsidR="000C0BD2" w:rsidRPr="00207085">
        <w:t xml:space="preserve"> afstammingsrecht kan een kind maximaal twee juridische ouders hebben.</w:t>
      </w:r>
      <w:r w:rsidR="000C0BD2" w:rsidRPr="00207085">
        <w:rPr>
          <w:rStyle w:val="FootnoteReference"/>
        </w:rPr>
        <w:footnoteReference w:id="225"/>
      </w:r>
      <w:r w:rsidR="000C0BD2" w:rsidRPr="00207085">
        <w:t xml:space="preserve"> Het ouderlijk gezag komt alleen aan deze twee juridische ouders toe, aangezien het een gevolg is van de afstamming.</w:t>
      </w:r>
      <w:r w:rsidR="000C0BD2" w:rsidRPr="00207085">
        <w:rPr>
          <w:rStyle w:val="FootnoteReference"/>
        </w:rPr>
        <w:footnoteReference w:id="226"/>
      </w:r>
      <w:r w:rsidR="000C0BD2" w:rsidRPr="00207085">
        <w:t xml:space="preserve"> </w:t>
      </w:r>
      <w:r w:rsidR="00877704" w:rsidRPr="00207085">
        <w:t xml:space="preserve">België kent </w:t>
      </w:r>
      <w:r w:rsidR="000C0BD2" w:rsidRPr="00207085">
        <w:t>zoals hierboven vermeld</w:t>
      </w:r>
      <w:r w:rsidR="005E2576" w:rsidRPr="00207085">
        <w:t xml:space="preserve">, </w:t>
      </w:r>
      <w:r w:rsidR="005E2576" w:rsidRPr="00207085">
        <w:lastRenderedPageBreak/>
        <w:t>een zuiver monistisch systeem:</w:t>
      </w:r>
      <w:r w:rsidR="000C0BD2" w:rsidRPr="00207085">
        <w:t xml:space="preserve"> afstamming en gezag zijn onlosmakelijk met elkaar verbonden.</w:t>
      </w:r>
      <w:r w:rsidR="000C0BD2" w:rsidRPr="00207085">
        <w:rPr>
          <w:rStyle w:val="FootnoteReference"/>
        </w:rPr>
        <w:footnoteReference w:id="227"/>
      </w:r>
      <w:r w:rsidR="00207085">
        <w:t xml:space="preserve"> </w:t>
      </w:r>
      <w:r w:rsidR="0000346D">
        <w:t>Zorgouders, de n</w:t>
      </w:r>
      <w:r w:rsidR="00207085" w:rsidRPr="004022FE">
        <w:t>iet-juridische ouders</w:t>
      </w:r>
      <w:r w:rsidR="0000346D">
        <w:t>,</w:t>
      </w:r>
      <w:r w:rsidR="00207085" w:rsidRPr="004022FE">
        <w:t xml:space="preserve"> hebben geen bevoegdheden van het ouderlijk gezag.</w:t>
      </w:r>
      <w:r w:rsidR="00207085" w:rsidRPr="004022FE">
        <w:rPr>
          <w:rStyle w:val="FootnoteReference"/>
        </w:rPr>
        <w:footnoteReference w:id="228"/>
      </w:r>
      <w:r w:rsidR="00207085">
        <w:t xml:space="preserve"> </w:t>
      </w:r>
      <w:r w:rsidR="000C0BD2" w:rsidRPr="00207085">
        <w:t>Dit zorgt ervoor dat een zorgouder geen of weinig rechten en plichten kan opnemen ten opzichte van het kind.</w:t>
      </w:r>
      <w:r w:rsidR="000C0BD2" w:rsidRPr="00207085">
        <w:rPr>
          <w:rStyle w:val="FootnoteReference"/>
        </w:rPr>
        <w:footnoteReference w:id="229"/>
      </w:r>
      <w:r w:rsidR="000C0BD2" w:rsidRPr="00207085">
        <w:t xml:space="preserve"> </w:t>
      </w:r>
    </w:p>
    <w:p w:rsidR="000C0BD2" w:rsidRPr="00607E01" w:rsidRDefault="000D6619" w:rsidP="00746471">
      <w:pPr>
        <w:pStyle w:val="Heading5"/>
        <w:spacing w:line="360" w:lineRule="auto"/>
        <w:jc w:val="both"/>
      </w:pPr>
      <w:bookmarkStart w:id="59" w:name="_Toc449936743"/>
      <w:r>
        <w:t xml:space="preserve">C. </w:t>
      </w:r>
      <w:r w:rsidR="00607E01">
        <w:t>Gevolgen van het ontbreken van ouderlijk gezag</w:t>
      </w:r>
      <w:bookmarkEnd w:id="59"/>
    </w:p>
    <w:p w:rsidR="000C0BD2" w:rsidRPr="0000346D" w:rsidRDefault="00E87D3E" w:rsidP="00ED2CD6">
      <w:pPr>
        <w:pStyle w:val="Randnummer"/>
        <w:spacing w:line="360" w:lineRule="auto"/>
        <w:ind w:left="0" w:firstLine="0"/>
      </w:pPr>
      <w:r w:rsidRPr="0000346D">
        <w:rPr>
          <w:b/>
          <w:bCs/>
        </w:rPr>
        <w:fldChar w:fldCharType="begin"/>
      </w:r>
      <w:r w:rsidR="00ED2CD6" w:rsidRPr="0000346D">
        <w:rPr>
          <w:b/>
          <w:bCs/>
        </w:rPr>
        <w:instrText xml:space="preserve"> AUTONUMLGL  </w:instrText>
      </w:r>
      <w:r w:rsidRPr="0000346D">
        <w:rPr>
          <w:b/>
          <w:bCs/>
        </w:rPr>
        <w:fldChar w:fldCharType="end"/>
      </w:r>
      <w:r w:rsidR="00ED2CD6" w:rsidRPr="0000346D">
        <w:rPr>
          <w:b/>
          <w:bCs/>
        </w:rPr>
        <w:t xml:space="preserve"> </w:t>
      </w:r>
      <w:r w:rsidR="000C0BD2" w:rsidRPr="0000346D">
        <w:t>Het feit dat de zorgouder geen ouderlijk gezag heeft, creëert moeilijkheden en rechtsonzekerheid</w:t>
      </w:r>
      <w:r w:rsidR="005E2576" w:rsidRPr="0000346D">
        <w:t xml:space="preserve"> zowel voor het kind als voor de zorgouder</w:t>
      </w:r>
      <w:r w:rsidR="000C0BD2" w:rsidRPr="0000346D">
        <w:t>.</w:t>
      </w:r>
      <w:r w:rsidR="005E2576" w:rsidRPr="0000346D">
        <w:rPr>
          <w:rStyle w:val="FootnoteReference"/>
        </w:rPr>
        <w:footnoteReference w:id="230"/>
      </w:r>
    </w:p>
    <w:p w:rsidR="00807D9B" w:rsidRPr="0000346D" w:rsidRDefault="00E87D3E" w:rsidP="00ED2CD6">
      <w:pPr>
        <w:pStyle w:val="Randnummer"/>
        <w:spacing w:line="360" w:lineRule="auto"/>
        <w:ind w:left="0" w:firstLine="0"/>
      </w:pPr>
      <w:r w:rsidRPr="0000346D">
        <w:rPr>
          <w:b/>
          <w:bCs/>
        </w:rPr>
        <w:fldChar w:fldCharType="begin"/>
      </w:r>
      <w:r w:rsidR="00ED2CD6" w:rsidRPr="0000346D">
        <w:rPr>
          <w:b/>
          <w:bCs/>
        </w:rPr>
        <w:instrText xml:space="preserve"> AUTONUMLGL  </w:instrText>
      </w:r>
      <w:r w:rsidRPr="0000346D">
        <w:rPr>
          <w:b/>
          <w:bCs/>
        </w:rPr>
        <w:fldChar w:fldCharType="end"/>
      </w:r>
      <w:r w:rsidR="00ED2CD6" w:rsidRPr="0000346D">
        <w:rPr>
          <w:b/>
          <w:bCs/>
        </w:rPr>
        <w:t xml:space="preserve"> </w:t>
      </w:r>
      <w:r w:rsidR="000C0BD2" w:rsidRPr="0000346D">
        <w:t>De zorgouder kan geen</w:t>
      </w:r>
      <w:r w:rsidR="00EE7124" w:rsidRPr="0000346D">
        <w:t xml:space="preserve"> </w:t>
      </w:r>
      <w:r w:rsidR="000C0BD2" w:rsidRPr="0000346D">
        <w:t>juridisch bindende beslissing nemen ten aanzien van het kind betreffende de fundamentele opties</w:t>
      </w:r>
      <w:r w:rsidR="00DE0A28" w:rsidRPr="0000346D">
        <w:t>. Dit is immers een bevoegdheid</w:t>
      </w:r>
      <w:r w:rsidR="000C0BD2" w:rsidRPr="0000346D">
        <w:t xml:space="preserve"> van het ouderlijk gezag.</w:t>
      </w:r>
      <w:r w:rsidR="000C0BD2" w:rsidRPr="0000346D">
        <w:rPr>
          <w:rStyle w:val="FootnoteReference"/>
        </w:rPr>
        <w:footnoteReference w:id="231"/>
      </w:r>
      <w:r w:rsidR="000C0BD2" w:rsidRPr="0000346D">
        <w:t xml:space="preserve"> Onder dit beslissingsrecht vallen diverse onderwerpen. </w:t>
      </w:r>
      <w:r w:rsidR="005E2576" w:rsidRPr="0000346D">
        <w:t>De</w:t>
      </w:r>
      <w:r w:rsidR="000C0BD2" w:rsidRPr="0000346D">
        <w:t xml:space="preserve"> zorgouder </w:t>
      </w:r>
      <w:r w:rsidR="00DB229F" w:rsidRPr="0000346D">
        <w:t xml:space="preserve">kan bijvoorbeeld </w:t>
      </w:r>
      <w:r w:rsidR="000C0BD2" w:rsidRPr="0000346D">
        <w:t xml:space="preserve">geen juridisch bindende beslissingen nemen over het lidmaatschap van een </w:t>
      </w:r>
      <w:r w:rsidR="00DB229F" w:rsidRPr="0000346D">
        <w:t xml:space="preserve">jeugd- of </w:t>
      </w:r>
      <w:r w:rsidR="000C0BD2" w:rsidRPr="0000346D">
        <w:t>sportbeweging, de schoolkeuze</w:t>
      </w:r>
      <w:r w:rsidR="00DB229F" w:rsidRPr="0000346D">
        <w:t>, de taalkeuze waarin het kind wordt opgevoed</w:t>
      </w:r>
      <w:r w:rsidR="000C0BD2" w:rsidRPr="0000346D">
        <w:t xml:space="preserve"> en over het feit of het kind al dan niet godsdienstig wordt opgevoed.</w:t>
      </w:r>
      <w:r w:rsidR="000C0BD2" w:rsidRPr="0000346D">
        <w:rPr>
          <w:rStyle w:val="FootnoteReference"/>
        </w:rPr>
        <w:footnoteReference w:id="232"/>
      </w:r>
      <w:r w:rsidR="00DE0A28" w:rsidRPr="0000346D">
        <w:t xml:space="preserve"> De beslissing</w:t>
      </w:r>
      <w:r w:rsidR="000C0BD2" w:rsidRPr="0000346D">
        <w:t xml:space="preserve"> omtrent ernstige medische behandelingen valt ook onder dit beslissingsrecht.</w:t>
      </w:r>
      <w:r w:rsidR="000C0BD2" w:rsidRPr="0000346D">
        <w:rPr>
          <w:rStyle w:val="FootnoteReference"/>
        </w:rPr>
        <w:footnoteReference w:id="233"/>
      </w:r>
      <w:r w:rsidR="00877704" w:rsidRPr="0000346D">
        <w:t xml:space="preserve"> </w:t>
      </w:r>
      <w:r w:rsidR="000C0BD2" w:rsidRPr="0000346D">
        <w:t>Op de website van COC Nederland, een organisatie die opkomt voor de belangen van lesbiennes, homoseksuelen, biseksuelen en transgenders, staat een voorbeeld om deze problematiek te verduidelijken.</w:t>
      </w:r>
      <w:r w:rsidR="000C0BD2" w:rsidRPr="0000346D">
        <w:rPr>
          <w:rStyle w:val="FootnoteReference"/>
        </w:rPr>
        <w:footnoteReference w:id="234"/>
      </w:r>
    </w:p>
    <w:p w:rsidR="000C0BD2" w:rsidRPr="0000346D" w:rsidRDefault="000C0BD2" w:rsidP="00ED2CD6">
      <w:pPr>
        <w:pStyle w:val="Randnummer"/>
        <w:spacing w:line="360" w:lineRule="auto"/>
        <w:ind w:left="0" w:firstLine="0"/>
      </w:pPr>
      <w:r w:rsidRPr="0000346D">
        <w:rPr>
          <w:i/>
          <w:iCs/>
        </w:rPr>
        <w:lastRenderedPageBreak/>
        <w:t>voorbeeld:</w:t>
      </w:r>
      <w:r w:rsidRPr="0000346D">
        <w:t xml:space="preserve"> “Arjen, Liang, Anne en Tamar staan met vier in voor de opvoeding van een tweeling, Rogier en Jessica. De zorg voor de kinderen is gelijk verdeeld, maar volgens de wet zijn alleen Arjen en Tamar de ouders. Als de kinderen naar de dokter moeten, gaat Liang, zelf een arts, altijd mee. Bij een levensbedreigende situatie heeft hij echter niets te zeggen, want hij is officieel geen ouder.”</w:t>
      </w:r>
      <w:r w:rsidRPr="0000346D">
        <w:rPr>
          <w:rStyle w:val="FootnoteReference"/>
        </w:rPr>
        <w:footnoteReference w:id="235"/>
      </w:r>
      <w:r w:rsidRPr="0000346D">
        <w:t xml:space="preserve"> </w:t>
      </w:r>
    </w:p>
    <w:p w:rsidR="000C0BD2" w:rsidRPr="0000346D" w:rsidRDefault="00E87D3E" w:rsidP="00ED2CD6">
      <w:pPr>
        <w:pStyle w:val="Randnummer"/>
        <w:spacing w:line="360" w:lineRule="auto"/>
        <w:ind w:left="0" w:firstLine="0"/>
      </w:pPr>
      <w:r w:rsidRPr="0000346D">
        <w:rPr>
          <w:b/>
          <w:bCs/>
        </w:rPr>
        <w:fldChar w:fldCharType="begin"/>
      </w:r>
      <w:r w:rsidR="00ED2CD6" w:rsidRPr="0000346D">
        <w:rPr>
          <w:b/>
          <w:bCs/>
        </w:rPr>
        <w:instrText xml:space="preserve"> AUTONUMLGL  </w:instrText>
      </w:r>
      <w:r w:rsidRPr="0000346D">
        <w:rPr>
          <w:b/>
          <w:bCs/>
        </w:rPr>
        <w:fldChar w:fldCharType="end"/>
      </w:r>
      <w:r w:rsidR="00ED2CD6" w:rsidRPr="0000346D">
        <w:rPr>
          <w:b/>
          <w:bCs/>
        </w:rPr>
        <w:t xml:space="preserve"> </w:t>
      </w:r>
      <w:r w:rsidR="00CD08AE" w:rsidRPr="0000346D">
        <w:t>De zorgouder heeft bovendien</w:t>
      </w:r>
      <w:r w:rsidR="000C0BD2" w:rsidRPr="0000346D">
        <w:t xml:space="preserve"> geen wettelijke bevoegdheid om beslissingen aangaande de dagelijkse opvoeding van het kind te nemen. Het recht om de dagelijkse opvoeding van het kind waar te nemen, is namelijk een bevoegdheid van het ouderlijk gezag.</w:t>
      </w:r>
      <w:r w:rsidR="000C0BD2" w:rsidRPr="0000346D">
        <w:rPr>
          <w:rStyle w:val="FootnoteReference"/>
        </w:rPr>
        <w:footnoteReference w:id="236"/>
      </w:r>
      <w:r w:rsidR="000C0BD2" w:rsidRPr="0000346D">
        <w:t xml:space="preserve"> </w:t>
      </w:r>
    </w:p>
    <w:p w:rsidR="000C0BD2" w:rsidRPr="0000346D" w:rsidRDefault="00877704" w:rsidP="00ED2CD6">
      <w:pPr>
        <w:pStyle w:val="Randnummer"/>
        <w:spacing w:line="360" w:lineRule="auto"/>
        <w:ind w:left="0" w:firstLine="0"/>
      </w:pPr>
      <w:r w:rsidRPr="0000346D">
        <w:t>Beslissingen</w:t>
      </w:r>
      <w:r w:rsidR="000C0BD2" w:rsidRPr="0000346D">
        <w:t xml:space="preserve"> aangaande het verblijf en verplaatsing van het kind</w:t>
      </w:r>
      <w:r w:rsidR="00CD08AE" w:rsidRPr="0000346D">
        <w:t xml:space="preserve"> vallen</w:t>
      </w:r>
      <w:r w:rsidRPr="0000346D">
        <w:t xml:space="preserve"> onder dit recht</w:t>
      </w:r>
      <w:r w:rsidR="000C0BD2" w:rsidRPr="0000346D">
        <w:t>.</w:t>
      </w:r>
      <w:r w:rsidR="000C0BD2" w:rsidRPr="0000346D">
        <w:rPr>
          <w:rStyle w:val="FootnoteReference"/>
        </w:rPr>
        <w:footnoteReference w:id="237"/>
      </w:r>
      <w:r w:rsidR="000C0BD2" w:rsidRPr="0000346D">
        <w:t xml:space="preserve"> Indien de zorgouder met het kind op vakantie wil, kan hij aan de </w:t>
      </w:r>
      <w:r w:rsidR="00DE0A28" w:rsidRPr="0000346D">
        <w:t xml:space="preserve">grens </w:t>
      </w:r>
      <w:r w:rsidR="000C0BD2" w:rsidRPr="0000346D">
        <w:t>tegengehouden worden. De zorgouder heeft namelijk geen wettelijke bevoegdheid om beslissingen te nemen aangaande de verplaatsing en verblijf van het kind.</w:t>
      </w:r>
      <w:r w:rsidR="000C0BD2" w:rsidRPr="0000346D">
        <w:rPr>
          <w:rStyle w:val="FootnoteReference"/>
        </w:rPr>
        <w:footnoteReference w:id="238"/>
      </w:r>
      <w:r w:rsidR="000C0BD2" w:rsidRPr="0000346D">
        <w:t xml:space="preserve"> </w:t>
      </w:r>
      <w:r w:rsidR="00DB229F" w:rsidRPr="0000346D">
        <w:t>Het recht om het kind lichamelijke zorgen toe te dienen, behoort ook tot de dagelijkse opvoeding.</w:t>
      </w:r>
      <w:r w:rsidR="00EE7124" w:rsidRPr="0000346D">
        <w:rPr>
          <w:rStyle w:val="FootnoteReference"/>
        </w:rPr>
        <w:footnoteReference w:id="239"/>
      </w:r>
      <w:r w:rsidR="00DB229F" w:rsidRPr="0000346D">
        <w:t xml:space="preserve"> Dit kan ertoe leiden dat de zorgouder die met het kind naar de dokter gaat, geweigerd wordt door de dokter.</w:t>
      </w:r>
      <w:r w:rsidR="00EE7124" w:rsidRPr="0000346D">
        <w:rPr>
          <w:rStyle w:val="FootnoteReference"/>
        </w:rPr>
        <w:footnoteReference w:id="240"/>
      </w:r>
      <w:r w:rsidR="00DB229F" w:rsidRPr="0000346D">
        <w:t xml:space="preserve"> De zorgouder heeft immers geen wettelijke bevoegdheid om met het kind naar de dokter te gaan.</w:t>
      </w:r>
    </w:p>
    <w:p w:rsidR="000C0BD2" w:rsidRPr="0000346D" w:rsidRDefault="00E87D3E" w:rsidP="00ED2CD6">
      <w:pPr>
        <w:pStyle w:val="Randnummer"/>
        <w:spacing w:line="360" w:lineRule="auto"/>
        <w:ind w:left="0" w:firstLine="0"/>
      </w:pPr>
      <w:r w:rsidRPr="0000346D">
        <w:rPr>
          <w:b/>
          <w:bCs/>
        </w:rPr>
        <w:fldChar w:fldCharType="begin"/>
      </w:r>
      <w:r w:rsidR="00877704" w:rsidRPr="0000346D">
        <w:rPr>
          <w:b/>
          <w:bCs/>
        </w:rPr>
        <w:instrText xml:space="preserve"> AUTONUMLGL  </w:instrText>
      </w:r>
      <w:r w:rsidRPr="0000346D">
        <w:rPr>
          <w:b/>
          <w:bCs/>
        </w:rPr>
        <w:fldChar w:fldCharType="end"/>
      </w:r>
      <w:r w:rsidR="00B750F9" w:rsidRPr="0000346D">
        <w:rPr>
          <w:b/>
          <w:bCs/>
        </w:rPr>
        <w:t xml:space="preserve"> </w:t>
      </w:r>
      <w:r w:rsidR="000C0BD2" w:rsidRPr="0000346D">
        <w:t xml:space="preserve">Een volgend probleem </w:t>
      </w:r>
      <w:r w:rsidR="0000346D" w:rsidRPr="0000346D">
        <w:t>doet</w:t>
      </w:r>
      <w:r w:rsidR="00877704" w:rsidRPr="0000346D">
        <w:t xml:space="preserve"> zich</w:t>
      </w:r>
      <w:r w:rsidR="000C0BD2" w:rsidRPr="0000346D">
        <w:t xml:space="preserve"> </w:t>
      </w:r>
      <w:r w:rsidR="0000346D" w:rsidRPr="0000346D">
        <w:t xml:space="preserve">voor </w:t>
      </w:r>
      <w:r w:rsidR="000C0BD2" w:rsidRPr="0000346D">
        <w:t xml:space="preserve">wanneer de </w:t>
      </w:r>
      <w:r w:rsidR="00EE7124" w:rsidRPr="0000346D">
        <w:t xml:space="preserve">zorgouder een relatie heeft met één van de </w:t>
      </w:r>
      <w:r w:rsidR="000C0BD2" w:rsidRPr="0000346D">
        <w:t>juridische ouder</w:t>
      </w:r>
      <w:r w:rsidR="00EE7124" w:rsidRPr="0000346D">
        <w:t xml:space="preserve">s en deze juridische ouder </w:t>
      </w:r>
      <w:r w:rsidR="000C0BD2" w:rsidRPr="0000346D">
        <w:t>overlijdt. De zorgouders staan in dit geval in een bijzonder zwakke p</w:t>
      </w:r>
      <w:r w:rsidR="0000346D" w:rsidRPr="0000346D">
        <w:t>ositie. Zij zijn geen juridisch</w:t>
      </w:r>
      <w:r w:rsidR="000C0BD2" w:rsidRPr="0000346D">
        <w:t xml:space="preserve"> ouder </w:t>
      </w:r>
      <w:r w:rsidR="0000346D" w:rsidRPr="0000346D">
        <w:t xml:space="preserve">van het kind </w:t>
      </w:r>
      <w:r w:rsidR="000C0BD2" w:rsidRPr="0000346D">
        <w:t>en hebben bijgevolg niet het recht op het kind op te voeden, aangezien dit een bevoegdheid is van het ouderlijk gezag.</w:t>
      </w:r>
      <w:r w:rsidR="000C0BD2" w:rsidRPr="0000346D">
        <w:rPr>
          <w:rStyle w:val="FootnoteReference"/>
        </w:rPr>
        <w:footnoteReference w:id="241"/>
      </w:r>
      <w:r w:rsidR="000C0BD2" w:rsidRPr="0000346D">
        <w:t xml:space="preserve"> Zij hebben dus na </w:t>
      </w:r>
      <w:r w:rsidR="00CD08AE" w:rsidRPr="0000346D">
        <w:t xml:space="preserve">het </w:t>
      </w:r>
      <w:r w:rsidR="000C0BD2" w:rsidRPr="0000346D">
        <w:t>overlijden van de</w:t>
      </w:r>
      <w:r w:rsidR="00CD08AE" w:rsidRPr="0000346D">
        <w:t xml:space="preserve"> juridische ouder(s) geen enkel</w:t>
      </w:r>
      <w:r w:rsidR="000C0BD2" w:rsidRPr="0000346D">
        <w:t xml:space="preserve"> wettelijke garantie dat zij het kind nog verder kunnen opvoeden, terwijl zij dit misschien al jaren doen.</w:t>
      </w:r>
      <w:r w:rsidR="000C0BD2" w:rsidRPr="0000346D">
        <w:rPr>
          <w:rStyle w:val="FootnoteReference"/>
        </w:rPr>
        <w:footnoteReference w:id="242"/>
      </w:r>
      <w:r w:rsidR="000C0BD2" w:rsidRPr="0000346D">
        <w:t xml:space="preserve"> Dit zorgt voor veel rechtsonzekerheid en is zowel nadelig voor het kind a</w:t>
      </w:r>
      <w:r w:rsidR="0000346D" w:rsidRPr="0000346D">
        <w:t>ls voor de zorgouder</w:t>
      </w:r>
      <w:r w:rsidR="000C0BD2" w:rsidRPr="0000346D">
        <w:t xml:space="preserve">. </w:t>
      </w:r>
    </w:p>
    <w:p w:rsidR="000C0BD2" w:rsidRPr="0000346D" w:rsidRDefault="00CD08AE" w:rsidP="00ED2CD6">
      <w:pPr>
        <w:pStyle w:val="Randnummer"/>
        <w:spacing w:line="360" w:lineRule="auto"/>
        <w:ind w:left="0" w:firstLine="0"/>
      </w:pPr>
      <w:r w:rsidRPr="0000346D">
        <w:lastRenderedPageBreak/>
        <w:t xml:space="preserve">Hetzelfde probleem stelt </w:t>
      </w:r>
      <w:r w:rsidR="00EE7124" w:rsidRPr="0000346D">
        <w:t xml:space="preserve">zich </w:t>
      </w:r>
      <w:r w:rsidR="000C0BD2" w:rsidRPr="0000346D">
        <w:t>ingeval de relatie tussen de</w:t>
      </w:r>
      <w:r w:rsidR="00EE7124" w:rsidRPr="0000346D">
        <w:t xml:space="preserve"> zorgouder</w:t>
      </w:r>
      <w:r w:rsidR="000C0BD2" w:rsidRPr="0000346D">
        <w:t xml:space="preserve"> en de juridis</w:t>
      </w:r>
      <w:r w:rsidR="00EE7124" w:rsidRPr="0000346D">
        <w:t>che ouder eindigt. De zorgouder</w:t>
      </w:r>
      <w:r w:rsidR="000C0BD2" w:rsidRPr="0000346D">
        <w:t xml:space="preserve"> heeft geen enkel</w:t>
      </w:r>
      <w:r w:rsidRPr="0000346D">
        <w:t>e</w:t>
      </w:r>
      <w:r w:rsidR="000C0BD2" w:rsidRPr="0000346D">
        <w:t xml:space="preserve"> wettelijke garantie om het kind verder op te voeden, terwijl hij dit misschien al jaren doet.</w:t>
      </w:r>
      <w:r w:rsidR="000C0BD2" w:rsidRPr="0000346D">
        <w:rPr>
          <w:rStyle w:val="FootnoteReference"/>
        </w:rPr>
        <w:footnoteReference w:id="243"/>
      </w:r>
    </w:p>
    <w:p w:rsidR="000C0BD2" w:rsidRPr="00195987" w:rsidRDefault="000D6619" w:rsidP="00746471">
      <w:pPr>
        <w:pStyle w:val="Heading3"/>
        <w:spacing w:line="360" w:lineRule="auto"/>
        <w:jc w:val="both"/>
      </w:pPr>
      <w:bookmarkStart w:id="60" w:name="_Toc449936744"/>
      <w:r>
        <w:t>Afdeling II.</w:t>
      </w:r>
      <w:r w:rsidR="00F979C5">
        <w:t xml:space="preserve"> </w:t>
      </w:r>
      <w:r>
        <w:t>Bewustwording van tekortkomingen</w:t>
      </w:r>
      <w:bookmarkEnd w:id="60"/>
    </w:p>
    <w:p w:rsidR="000C0BD2" w:rsidRPr="0000346D" w:rsidRDefault="00E87D3E" w:rsidP="00ED2CD6">
      <w:pPr>
        <w:pStyle w:val="Randnummer"/>
        <w:spacing w:line="360" w:lineRule="auto"/>
        <w:ind w:left="0" w:firstLine="0"/>
      </w:pPr>
      <w:r w:rsidRPr="0000346D">
        <w:rPr>
          <w:b/>
          <w:bCs/>
        </w:rPr>
        <w:fldChar w:fldCharType="begin"/>
      </w:r>
      <w:r w:rsidR="00ED2CD6" w:rsidRPr="0000346D">
        <w:rPr>
          <w:b/>
          <w:bCs/>
        </w:rPr>
        <w:instrText xml:space="preserve"> AUTONUMLGL  </w:instrText>
      </w:r>
      <w:r w:rsidRPr="0000346D">
        <w:rPr>
          <w:b/>
          <w:bCs/>
        </w:rPr>
        <w:fldChar w:fldCharType="end"/>
      </w:r>
      <w:r w:rsidR="00ED2CD6" w:rsidRPr="0000346D">
        <w:rPr>
          <w:b/>
          <w:bCs/>
        </w:rPr>
        <w:t xml:space="preserve"> </w:t>
      </w:r>
      <w:r w:rsidR="000C0BD2" w:rsidRPr="0000346D">
        <w:t xml:space="preserve">België is bewust </w:t>
      </w:r>
      <w:r w:rsidR="000D6619" w:rsidRPr="0000346D">
        <w:t>van de tekortkomingen in het huidige recht</w:t>
      </w:r>
      <w:r w:rsidR="000C0BD2" w:rsidRPr="0000346D">
        <w:t xml:space="preserve"> en beseft dat</w:t>
      </w:r>
      <w:r w:rsidR="0000346D" w:rsidRPr="0000346D">
        <w:t xml:space="preserve"> een</w:t>
      </w:r>
      <w:r w:rsidR="000C0BD2" w:rsidRPr="0000346D">
        <w:t xml:space="preserve"> juridische verankering </w:t>
      </w:r>
      <w:r w:rsidR="00A225DC" w:rsidRPr="0000346D">
        <w:t>van d</w:t>
      </w:r>
      <w:r w:rsidR="000C0BD2" w:rsidRPr="0000346D">
        <w:t>e feitelijke</w:t>
      </w:r>
      <w:r w:rsidR="00DE0A28" w:rsidRPr="0000346D">
        <w:t xml:space="preserve"> gezagsrelaties</w:t>
      </w:r>
      <w:r w:rsidR="00A225DC" w:rsidRPr="0000346D">
        <w:t xml:space="preserve"> nodig is</w:t>
      </w:r>
      <w:r w:rsidR="00DE0A28" w:rsidRPr="0000346D">
        <w:t xml:space="preserve">. Dit besef is aanwezig bij zowel </w:t>
      </w:r>
      <w:r w:rsidR="000C0BD2" w:rsidRPr="0000346D">
        <w:t>de wetgevende en</w:t>
      </w:r>
      <w:r w:rsidR="008527A0" w:rsidRPr="0000346D">
        <w:t xml:space="preserve"> de</w:t>
      </w:r>
      <w:r w:rsidR="000C0BD2" w:rsidRPr="0000346D">
        <w:t xml:space="preserve"> rechtsprekende instanties als bij de rechtsleer.</w:t>
      </w:r>
    </w:p>
    <w:p w:rsidR="00984FA3" w:rsidRPr="00361605" w:rsidRDefault="00031FC9" w:rsidP="00746471">
      <w:pPr>
        <w:pStyle w:val="Heading4"/>
        <w:spacing w:line="360" w:lineRule="auto"/>
        <w:jc w:val="both"/>
        <w:rPr>
          <w:rStyle w:val="Emphasis"/>
          <w:i w:val="0"/>
          <w:iCs w:val="0"/>
        </w:rPr>
      </w:pPr>
      <w:bookmarkStart w:id="61" w:name="_Toc449936745"/>
      <w:r>
        <w:t>§1</w:t>
      </w:r>
      <w:r w:rsidR="00F979C5">
        <w:t xml:space="preserve">. </w:t>
      </w:r>
      <w:r w:rsidR="000C0BD2">
        <w:t>Wet</w:t>
      </w:r>
      <w:r w:rsidR="003B2F67">
        <w:t>svoorstellen</w:t>
      </w:r>
      <w:bookmarkEnd w:id="61"/>
    </w:p>
    <w:p w:rsidR="000C0BD2" w:rsidRPr="0000346D" w:rsidRDefault="00E87D3E" w:rsidP="00ED2CD6">
      <w:pPr>
        <w:pStyle w:val="Randnummer"/>
        <w:spacing w:line="360" w:lineRule="auto"/>
        <w:ind w:left="0" w:firstLine="0"/>
      </w:pPr>
      <w:r w:rsidRPr="0000346D">
        <w:rPr>
          <w:b/>
          <w:bCs/>
        </w:rPr>
        <w:fldChar w:fldCharType="begin"/>
      </w:r>
      <w:r w:rsidR="00ED2CD6" w:rsidRPr="0000346D">
        <w:rPr>
          <w:b/>
          <w:bCs/>
        </w:rPr>
        <w:instrText xml:space="preserve"> AUTONUMLGL  </w:instrText>
      </w:r>
      <w:r w:rsidRPr="0000346D">
        <w:rPr>
          <w:b/>
          <w:bCs/>
        </w:rPr>
        <w:fldChar w:fldCharType="end"/>
      </w:r>
      <w:r w:rsidR="00ED2CD6" w:rsidRPr="0000346D">
        <w:rPr>
          <w:b/>
          <w:bCs/>
        </w:rPr>
        <w:t xml:space="preserve"> </w:t>
      </w:r>
      <w:r w:rsidR="000C0BD2" w:rsidRPr="0000346D">
        <w:t>Bij</w:t>
      </w:r>
      <w:r w:rsidR="00DE0A28" w:rsidRPr="0000346D">
        <w:t xml:space="preserve"> de wetgevende instanties bestaat al een bepaalde tijd</w:t>
      </w:r>
      <w:r w:rsidR="000C0BD2" w:rsidRPr="0000346D">
        <w:t xml:space="preserve"> het besef dat de we</w:t>
      </w:r>
      <w:r w:rsidR="00ED2CD6" w:rsidRPr="0000346D">
        <w:t xml:space="preserve">tgeving niet </w:t>
      </w:r>
      <w:r w:rsidR="000C0BD2" w:rsidRPr="0000346D">
        <w:t xml:space="preserve">meer is aangepast aan de maatschappelijke veranderingen. Reeds in een wetsvoorstel van 2003-04, ingediend door de heer </w:t>
      </w:r>
      <w:r w:rsidR="00C61702" w:rsidRPr="0000346D">
        <w:t>BOURGEOIS</w:t>
      </w:r>
      <w:r w:rsidR="003757CD" w:rsidRPr="0000346D">
        <w:t>, werd voorgesteld om</w:t>
      </w:r>
      <w:r w:rsidR="000C0BD2" w:rsidRPr="0000346D">
        <w:t xml:space="preserve"> zorgoudersch</w:t>
      </w:r>
      <w:r w:rsidR="00772650" w:rsidRPr="0000346D">
        <w:t>ap in te voeren in het Belgisch</w:t>
      </w:r>
      <w:r w:rsidR="000C0BD2" w:rsidRPr="0000346D">
        <w:t xml:space="preserve"> recht.</w:t>
      </w:r>
      <w:r w:rsidR="000C0BD2" w:rsidRPr="0000346D">
        <w:rPr>
          <w:rStyle w:val="FootnoteReference"/>
        </w:rPr>
        <w:footnoteReference w:id="244"/>
      </w:r>
      <w:r w:rsidR="000C0BD2" w:rsidRPr="0000346D">
        <w:t xml:space="preserve"> </w:t>
      </w:r>
      <w:r w:rsidR="003757CD" w:rsidRPr="0000346D">
        <w:t xml:space="preserve">Door de invoering van </w:t>
      </w:r>
      <w:r w:rsidR="004B67ED" w:rsidRPr="0000346D">
        <w:t>zorgouderschap wordt het ouderlijk gezag losgekoppeld van de afstamming en</w:t>
      </w:r>
      <w:r w:rsidR="000C0BD2" w:rsidRPr="0000346D">
        <w:t xml:space="preserve"> kunnen de bevoegdheden van het o</w:t>
      </w:r>
      <w:r w:rsidR="003757CD" w:rsidRPr="0000346D">
        <w:t xml:space="preserve">uderlijk gezag toekomen aan </w:t>
      </w:r>
      <w:r w:rsidR="000C0BD2" w:rsidRPr="0000346D">
        <w:t>niet-juridische ouder</w:t>
      </w:r>
      <w:r w:rsidR="003757CD" w:rsidRPr="0000346D">
        <w:t>s</w:t>
      </w:r>
      <w:r w:rsidR="000C0BD2" w:rsidRPr="0000346D">
        <w:t>.</w:t>
      </w:r>
      <w:r w:rsidR="000C0BD2" w:rsidRPr="0000346D">
        <w:rPr>
          <w:rStyle w:val="FootnoteReference"/>
        </w:rPr>
        <w:footnoteReference w:id="245"/>
      </w:r>
      <w:r w:rsidR="008527A0" w:rsidRPr="0000346D">
        <w:t xml:space="preserve"> Doorheen de jaren zijn </w:t>
      </w:r>
      <w:r w:rsidR="000C0BD2" w:rsidRPr="0000346D">
        <w:t>versc</w:t>
      </w:r>
      <w:r w:rsidR="008527A0" w:rsidRPr="0000346D">
        <w:t>hillende wetsvoorstellen ingediend</w:t>
      </w:r>
      <w:r w:rsidR="000C0BD2" w:rsidRPr="0000346D">
        <w:t xml:space="preserve"> </w:t>
      </w:r>
      <w:r w:rsidR="003757CD" w:rsidRPr="0000346D">
        <w:t>betreffende de invoering van</w:t>
      </w:r>
      <w:r w:rsidR="000C0BD2" w:rsidRPr="0000346D">
        <w:t xml:space="preserve"> </w:t>
      </w:r>
      <w:r w:rsidR="003757CD" w:rsidRPr="0000346D">
        <w:t>zorgouderschap. In deze ma</w:t>
      </w:r>
      <w:r w:rsidR="000C0BD2" w:rsidRPr="0000346D">
        <w:t>s</w:t>
      </w:r>
      <w:r w:rsidR="003757CD" w:rsidRPr="0000346D">
        <w:t>terproef worden enkel de twee meest recente</w:t>
      </w:r>
      <w:r w:rsidR="000C0BD2" w:rsidRPr="0000346D">
        <w:t xml:space="preserve"> </w:t>
      </w:r>
      <w:r w:rsidR="003757CD" w:rsidRPr="0000346D">
        <w:t>wets</w:t>
      </w:r>
      <w:r w:rsidR="000C0BD2" w:rsidRPr="0000346D">
        <w:t xml:space="preserve">voorstellen besproken, namelijk </w:t>
      </w:r>
      <w:r w:rsidR="003757CD" w:rsidRPr="0000346D">
        <w:t>wets</w:t>
      </w:r>
      <w:r w:rsidR="000C0BD2" w:rsidRPr="0000346D">
        <w:t xml:space="preserve">voorstel nr. 54-/001 en </w:t>
      </w:r>
      <w:r w:rsidR="003757CD" w:rsidRPr="0000346D">
        <w:t>wets</w:t>
      </w:r>
      <w:r w:rsidR="000C0BD2" w:rsidRPr="0000346D">
        <w:t>voorstel nr. 54-0194/001</w:t>
      </w:r>
      <w:r w:rsidR="003B2F67" w:rsidRPr="0000346D">
        <w:t xml:space="preserve"> (zie infra)</w:t>
      </w:r>
      <w:r w:rsidR="000C0BD2" w:rsidRPr="0000346D">
        <w:t>.</w:t>
      </w:r>
      <w:r w:rsidR="000C0BD2" w:rsidRPr="0000346D">
        <w:rPr>
          <w:rStyle w:val="FootnoteReference"/>
        </w:rPr>
        <w:footnoteReference w:id="246"/>
      </w:r>
      <w:r w:rsidR="000C0BD2" w:rsidRPr="0000346D">
        <w:t xml:space="preserve"> Deze </w:t>
      </w:r>
      <w:r w:rsidR="003757CD" w:rsidRPr="0000346D">
        <w:t>wets</w:t>
      </w:r>
      <w:r w:rsidR="000C0BD2" w:rsidRPr="0000346D">
        <w:t xml:space="preserve">voorstellen zijn ingediend door </w:t>
      </w:r>
      <w:r w:rsidR="003757CD" w:rsidRPr="0000346D">
        <w:t xml:space="preserve">de </w:t>
      </w:r>
      <w:r w:rsidR="00C61702" w:rsidRPr="0000346D">
        <w:t xml:space="preserve">heer TERWINGEN, mevrouw BECQ </w:t>
      </w:r>
      <w:r w:rsidR="000C0BD2" w:rsidRPr="0000346D">
        <w:t xml:space="preserve">en de heer </w:t>
      </w:r>
      <w:r w:rsidR="00C61702" w:rsidRPr="0000346D">
        <w:t>VERHERSTRAETEN</w:t>
      </w:r>
      <w:r w:rsidR="003757CD" w:rsidRPr="0000346D">
        <w:t xml:space="preserve"> respectievelijk de heer BROTCORNE, </w:t>
      </w:r>
      <w:r w:rsidR="000C0BD2" w:rsidRPr="0000346D">
        <w:t>allen lid van de politieke partij CD&amp;V.</w:t>
      </w:r>
    </w:p>
    <w:p w:rsidR="000C0BD2" w:rsidRPr="0000346D" w:rsidRDefault="00E87D3E" w:rsidP="00ED2CD6">
      <w:pPr>
        <w:pStyle w:val="Randnummer"/>
        <w:spacing w:line="360" w:lineRule="auto"/>
        <w:ind w:left="0" w:firstLine="0"/>
      </w:pPr>
      <w:r w:rsidRPr="0000346D">
        <w:rPr>
          <w:b/>
          <w:bCs/>
        </w:rPr>
        <w:fldChar w:fldCharType="begin"/>
      </w:r>
      <w:r w:rsidR="00ED2CD6" w:rsidRPr="0000346D">
        <w:rPr>
          <w:b/>
          <w:bCs/>
        </w:rPr>
        <w:instrText xml:space="preserve"> AUTONUMLGL  </w:instrText>
      </w:r>
      <w:r w:rsidRPr="0000346D">
        <w:rPr>
          <w:b/>
          <w:bCs/>
        </w:rPr>
        <w:fldChar w:fldCharType="end"/>
      </w:r>
      <w:r w:rsidR="00ED2CD6" w:rsidRPr="0000346D">
        <w:rPr>
          <w:b/>
          <w:bCs/>
        </w:rPr>
        <w:t xml:space="preserve"> </w:t>
      </w:r>
      <w:r w:rsidR="00DE0A28" w:rsidRPr="0000346D">
        <w:t>Recent is</w:t>
      </w:r>
      <w:r w:rsidR="000C0BD2" w:rsidRPr="0000346D">
        <w:t xml:space="preserve"> een verzoek</w:t>
      </w:r>
      <w:r w:rsidR="00DE0A28" w:rsidRPr="0000346D">
        <w:t xml:space="preserve"> ingediend</w:t>
      </w:r>
      <w:r w:rsidR="000C0BD2" w:rsidRPr="0000346D">
        <w:t xml:space="preserve"> tot </w:t>
      </w:r>
      <w:r w:rsidR="00DE0A28" w:rsidRPr="0000346D">
        <w:t xml:space="preserve">het </w:t>
      </w:r>
      <w:r w:rsidR="000C0BD2" w:rsidRPr="0000346D">
        <w:t>opstellen van een informatieverslag betreffende een onderzoek van de mogelijkheden voor een wettelijke r</w:t>
      </w:r>
      <w:r w:rsidR="0000346D" w:rsidRPr="0000346D">
        <w:t>egeling van</w:t>
      </w:r>
      <w:r w:rsidR="000C0BD2" w:rsidRPr="0000346D">
        <w:t xml:space="preserve"> meeoudersc</w:t>
      </w:r>
      <w:r w:rsidR="00DE0A28" w:rsidRPr="0000346D">
        <w:t>hap</w:t>
      </w:r>
      <w:r w:rsidR="000C0BD2" w:rsidRPr="0000346D">
        <w:t>.</w:t>
      </w:r>
      <w:r w:rsidR="000C0BD2" w:rsidRPr="0000346D">
        <w:rPr>
          <w:rStyle w:val="FootnoteReference"/>
        </w:rPr>
        <w:footnoteReference w:id="247"/>
      </w:r>
      <w:r w:rsidR="000C0BD2" w:rsidRPr="0000346D">
        <w:t xml:space="preserve"> Dit verzoek is ingediend door onder andere de heer</w:t>
      </w:r>
      <w:r w:rsidR="00C61702" w:rsidRPr="0000346D">
        <w:t xml:space="preserve"> DE GUCHT</w:t>
      </w:r>
      <w:r w:rsidR="00A95FF5" w:rsidRPr="0000346D">
        <w:t>.</w:t>
      </w:r>
      <w:r w:rsidR="000C0BD2" w:rsidRPr="0000346D">
        <w:t xml:space="preserve"> De focus ligt op de legalisering van draagmoederschap. In het kader van dit onderzoek werd eind 2015 een addendum </w:t>
      </w:r>
      <w:r w:rsidR="000C0BD2" w:rsidRPr="0000346D">
        <w:lastRenderedPageBreak/>
        <w:t>opgemaakt.</w:t>
      </w:r>
      <w:r w:rsidR="000C0BD2" w:rsidRPr="0000346D">
        <w:rPr>
          <w:rStyle w:val="FootnoteReference"/>
        </w:rPr>
        <w:footnoteReference w:id="248"/>
      </w:r>
      <w:r w:rsidR="000C0BD2" w:rsidRPr="0000346D">
        <w:t xml:space="preserve"> In dit addendum wordt de vra</w:t>
      </w:r>
      <w:r w:rsidR="0090423D" w:rsidRPr="0000346D">
        <w:t xml:space="preserve">ag gesteld naar meerouderschap, namelijk </w:t>
      </w:r>
      <w:r w:rsidR="000C0BD2" w:rsidRPr="0000346D">
        <w:t xml:space="preserve">of het mogelijk moet zijn dat </w:t>
      </w:r>
      <w:r w:rsidR="008527A0" w:rsidRPr="0000346D">
        <w:t xml:space="preserve">er </w:t>
      </w:r>
      <w:r w:rsidR="000C0BD2" w:rsidRPr="0000346D">
        <w:t xml:space="preserve">meer dan </w:t>
      </w:r>
      <w:r w:rsidR="008527A0" w:rsidRPr="0000346D">
        <w:t>twee juridische ouders</w:t>
      </w:r>
      <w:r w:rsidR="000C0BD2" w:rsidRPr="0000346D">
        <w:t xml:space="preserve"> zijn. Het opstellen van een informatieverslag betreffende meerouderschap moet een stap richting toekomstige </w:t>
      </w:r>
      <w:r w:rsidR="003757CD" w:rsidRPr="0000346D">
        <w:t>parlementaire werkzaamheden zijn.</w:t>
      </w:r>
      <w:r w:rsidR="000C0BD2" w:rsidRPr="0000346D">
        <w:rPr>
          <w:rStyle w:val="FootnoteReference"/>
        </w:rPr>
        <w:footnoteReference w:id="249"/>
      </w:r>
      <w:r w:rsidR="004B67ED" w:rsidRPr="0000346D">
        <w:t xml:space="preserve"> Voorlopig is er </w:t>
      </w:r>
      <w:r w:rsidR="000C0BD2" w:rsidRPr="0000346D">
        <w:t>nog geen wetsvoorstel betreffende meerouderschap ingediend.</w:t>
      </w:r>
    </w:p>
    <w:p w:rsidR="0090423D" w:rsidRPr="0000346D" w:rsidRDefault="00E87D3E" w:rsidP="00ED2CD6">
      <w:pPr>
        <w:pStyle w:val="Randnummer"/>
        <w:spacing w:line="360" w:lineRule="auto"/>
        <w:ind w:left="0" w:firstLine="0"/>
      </w:pPr>
      <w:r w:rsidRPr="0000346D">
        <w:rPr>
          <w:b/>
          <w:bCs/>
        </w:rPr>
        <w:fldChar w:fldCharType="begin"/>
      </w:r>
      <w:r w:rsidR="00ED2CD6" w:rsidRPr="0000346D">
        <w:rPr>
          <w:b/>
          <w:bCs/>
        </w:rPr>
        <w:instrText xml:space="preserve"> AUTONUMLGL  </w:instrText>
      </w:r>
      <w:r w:rsidRPr="0000346D">
        <w:rPr>
          <w:b/>
          <w:bCs/>
        </w:rPr>
        <w:fldChar w:fldCharType="end"/>
      </w:r>
      <w:r w:rsidR="00ED2CD6" w:rsidRPr="0000346D">
        <w:rPr>
          <w:b/>
          <w:bCs/>
        </w:rPr>
        <w:t xml:space="preserve"> </w:t>
      </w:r>
      <w:r w:rsidR="00C61702" w:rsidRPr="0000346D">
        <w:t xml:space="preserve">Ook de heer </w:t>
      </w:r>
      <w:r w:rsidR="0090423D" w:rsidRPr="0000346D">
        <w:t>G</w:t>
      </w:r>
      <w:r w:rsidR="00C61702" w:rsidRPr="0000346D">
        <w:t>EENS</w:t>
      </w:r>
      <w:r w:rsidR="0000346D">
        <w:t>, m</w:t>
      </w:r>
      <w:r w:rsidR="0090423D" w:rsidRPr="0000346D">
        <w:t xml:space="preserve">inister van Justitie, beseft dat </w:t>
      </w:r>
      <w:r w:rsidR="001C59F1" w:rsidRPr="0000346D">
        <w:t>de huidige wetgeving verouderd is</w:t>
      </w:r>
      <w:r w:rsidR="0090423D" w:rsidRPr="0000346D">
        <w:t xml:space="preserve">. </w:t>
      </w:r>
      <w:r w:rsidR="00EF3538" w:rsidRPr="0000346D">
        <w:t xml:space="preserve">In het verslag van de Kamer van </w:t>
      </w:r>
      <w:r w:rsidR="00E12C59" w:rsidRPr="0000346D">
        <w:t xml:space="preserve">24 </w:t>
      </w:r>
      <w:r w:rsidR="00EF3538" w:rsidRPr="0000346D">
        <w:t>februari</w:t>
      </w:r>
      <w:r w:rsidR="00E12C59" w:rsidRPr="0000346D">
        <w:t xml:space="preserve"> 2016</w:t>
      </w:r>
      <w:r w:rsidR="00EF3538" w:rsidRPr="0000346D">
        <w:t xml:space="preserve">, stelt </w:t>
      </w:r>
      <w:r w:rsidR="00C61702" w:rsidRPr="0000346D">
        <w:t>GEENS</w:t>
      </w:r>
      <w:r w:rsidR="00EF3538" w:rsidRPr="0000346D">
        <w:t xml:space="preserve"> dat een grondige hervorming van het afstammingsrecht noodzakelijk is.</w:t>
      </w:r>
      <w:r w:rsidR="001C59F1" w:rsidRPr="0000346D">
        <w:rPr>
          <w:rStyle w:val="FootnoteReference"/>
        </w:rPr>
        <w:footnoteReference w:id="250"/>
      </w:r>
      <w:r w:rsidR="00EF3538" w:rsidRPr="0000346D">
        <w:t xml:space="preserve"> Gelet op de nieuwe gezinsvormen</w:t>
      </w:r>
      <w:r w:rsidR="001C59F1" w:rsidRPr="0000346D">
        <w:t xml:space="preserve"> en de medische vooruitgang</w:t>
      </w:r>
      <w:r w:rsidR="00EF3538" w:rsidRPr="0000346D">
        <w:t>, moet deze hervorming verder gaan dan het aanpassen van de wetgeving aan de rechtsp</w:t>
      </w:r>
      <w:r w:rsidR="001C59F1" w:rsidRPr="0000346D">
        <w:t>raak van het Grondwettelijk Hof.</w:t>
      </w:r>
      <w:r w:rsidR="002E293C" w:rsidRPr="0000346D">
        <w:rPr>
          <w:rStyle w:val="FootnoteReference"/>
        </w:rPr>
        <w:footnoteReference w:id="251"/>
      </w:r>
      <w:r w:rsidR="00DE0A28" w:rsidRPr="0000346D">
        <w:t xml:space="preserve"> Er moet een </w:t>
      </w:r>
      <w:r w:rsidR="005002CA" w:rsidRPr="0000346D">
        <w:t>wettelijke omkadering van deze nieuwe gezinsvormen k</w:t>
      </w:r>
      <w:r w:rsidR="00DE0A28" w:rsidRPr="0000346D">
        <w:t xml:space="preserve">omen. </w:t>
      </w:r>
      <w:r w:rsidR="001C59F1" w:rsidRPr="0000346D">
        <w:t>Ook in zijn beleidsnota stelde</w:t>
      </w:r>
      <w:r w:rsidR="00C61702" w:rsidRPr="0000346D">
        <w:t xml:space="preserve"> </w:t>
      </w:r>
      <w:r w:rsidR="0000346D">
        <w:t>m</w:t>
      </w:r>
      <w:r w:rsidR="007709A7" w:rsidRPr="0000346D">
        <w:t xml:space="preserve">inister </w:t>
      </w:r>
      <w:r w:rsidR="00C61702" w:rsidRPr="0000346D">
        <w:t>GEENS</w:t>
      </w:r>
      <w:r w:rsidR="001C59F1" w:rsidRPr="0000346D">
        <w:t xml:space="preserve"> reeds dat een grondige hervo</w:t>
      </w:r>
      <w:r w:rsidR="00AA1202" w:rsidRPr="0000346D">
        <w:t>r</w:t>
      </w:r>
      <w:r w:rsidR="001C59F1" w:rsidRPr="0000346D">
        <w:t>ming van het afstammingsrecht noodzakelijk is.</w:t>
      </w:r>
      <w:r w:rsidR="00E12C59" w:rsidRPr="0000346D">
        <w:rPr>
          <w:rStyle w:val="FootnoteReference"/>
        </w:rPr>
        <w:footnoteReference w:id="252"/>
      </w:r>
    </w:p>
    <w:p w:rsidR="000C0BD2" w:rsidRDefault="00031FC9" w:rsidP="00746471">
      <w:pPr>
        <w:pStyle w:val="Heading4"/>
        <w:spacing w:line="360" w:lineRule="auto"/>
        <w:jc w:val="both"/>
      </w:pPr>
      <w:bookmarkStart w:id="62" w:name="_Toc449936746"/>
      <w:r>
        <w:t>§2.</w:t>
      </w:r>
      <w:r w:rsidR="00F979C5">
        <w:t xml:space="preserve"> </w:t>
      </w:r>
      <w:r w:rsidR="000C0BD2">
        <w:t>Rechtspraak</w:t>
      </w:r>
      <w:bookmarkEnd w:id="62"/>
    </w:p>
    <w:p w:rsidR="000C0BD2" w:rsidRPr="00376249" w:rsidRDefault="00E87D3E" w:rsidP="00ED2CD6">
      <w:pPr>
        <w:pStyle w:val="Randnummer"/>
        <w:spacing w:line="360" w:lineRule="auto"/>
        <w:ind w:left="0" w:firstLine="0"/>
      </w:pPr>
      <w:r w:rsidRPr="00376249">
        <w:rPr>
          <w:b/>
          <w:bCs/>
        </w:rPr>
        <w:fldChar w:fldCharType="begin"/>
      </w:r>
      <w:r w:rsidR="00ED2CD6" w:rsidRPr="00376249">
        <w:rPr>
          <w:b/>
          <w:bCs/>
        </w:rPr>
        <w:instrText xml:space="preserve"> AUTONUMLGL  </w:instrText>
      </w:r>
      <w:r w:rsidRPr="00376249">
        <w:rPr>
          <w:b/>
          <w:bCs/>
        </w:rPr>
        <w:fldChar w:fldCharType="end"/>
      </w:r>
      <w:r w:rsidR="00ED2CD6" w:rsidRPr="00376249">
        <w:rPr>
          <w:b/>
          <w:bCs/>
        </w:rPr>
        <w:t xml:space="preserve"> </w:t>
      </w:r>
      <w:r w:rsidR="000C0BD2" w:rsidRPr="00376249">
        <w:t xml:space="preserve">In het arrest van 8 oktober 2003 heeft het Arbitragehof zich uitgesproken </w:t>
      </w:r>
      <w:r w:rsidR="00E65179" w:rsidRPr="00376249">
        <w:t xml:space="preserve">over </w:t>
      </w:r>
      <w:r w:rsidR="000C0BD2" w:rsidRPr="00376249">
        <w:t>de afstamming als exclusieve grondslag van het ouderlijk gezag.</w:t>
      </w:r>
      <w:r w:rsidR="000C0BD2" w:rsidRPr="00376249">
        <w:rPr>
          <w:rStyle w:val="FootnoteReference"/>
        </w:rPr>
        <w:footnoteReference w:id="253"/>
      </w:r>
      <w:r w:rsidR="000C0BD2" w:rsidRPr="00376249">
        <w:t xml:space="preserve"> In het kader</w:t>
      </w:r>
      <w:r w:rsidR="004B67ED" w:rsidRPr="00376249">
        <w:t xml:space="preserve"> van een prejudiciële vraag diende</w:t>
      </w:r>
      <w:r w:rsidR="000C0BD2" w:rsidRPr="00376249">
        <w:t xml:space="preserve"> het </w:t>
      </w:r>
      <w:r w:rsidR="00D14F69" w:rsidRPr="00376249">
        <w:t>Arbitrageh</w:t>
      </w:r>
      <w:r w:rsidR="000C0BD2" w:rsidRPr="00376249">
        <w:t xml:space="preserve">of uitspraak </w:t>
      </w:r>
      <w:r w:rsidR="004B67ED" w:rsidRPr="00376249">
        <w:t xml:space="preserve">te </w:t>
      </w:r>
      <w:r w:rsidR="000C0BD2" w:rsidRPr="00376249">
        <w:t>doen over de vraag of de artikelen 371 e.v. BW. een schending inhouden van de artikelen 10 en 11 GW., in zoverre het ouderlijk gezag alleen kan toekomen aan personen die een afstammingsband hebben met het kind.</w:t>
      </w:r>
    </w:p>
    <w:p w:rsidR="000C0BD2" w:rsidRPr="00376249" w:rsidRDefault="00E87D3E" w:rsidP="00ED2CD6">
      <w:pPr>
        <w:pStyle w:val="Randnummer"/>
        <w:spacing w:line="360" w:lineRule="auto"/>
        <w:ind w:left="0" w:firstLine="0"/>
      </w:pPr>
      <w:r w:rsidRPr="00376249">
        <w:rPr>
          <w:b/>
          <w:bCs/>
        </w:rPr>
        <w:fldChar w:fldCharType="begin"/>
      </w:r>
      <w:r w:rsidR="00ED2CD6" w:rsidRPr="00376249">
        <w:rPr>
          <w:b/>
          <w:bCs/>
        </w:rPr>
        <w:instrText xml:space="preserve"> AUTONUMLGL  </w:instrText>
      </w:r>
      <w:r w:rsidRPr="00376249">
        <w:rPr>
          <w:b/>
          <w:bCs/>
        </w:rPr>
        <w:fldChar w:fldCharType="end"/>
      </w:r>
      <w:r w:rsidR="00ED2CD6" w:rsidRPr="00376249">
        <w:rPr>
          <w:b/>
          <w:bCs/>
        </w:rPr>
        <w:t xml:space="preserve"> </w:t>
      </w:r>
      <w:r w:rsidR="000C0BD2" w:rsidRPr="00376249">
        <w:t>In casu gaat het over een lesbisch koppel dat gedurende tien jaar heeft samenge</w:t>
      </w:r>
      <w:r w:rsidR="00E65179" w:rsidRPr="00376249">
        <w:t xml:space="preserve">woond. Tijdens deze periode brengt </w:t>
      </w:r>
      <w:r w:rsidR="000C0BD2" w:rsidRPr="00376249">
        <w:t>een van de vrouwen een kind ter wereld door middel van kunstmatige inseminatie met behulp van een donor. Bei</w:t>
      </w:r>
      <w:r w:rsidR="00D14F69" w:rsidRPr="00376249">
        <w:t>de vrouwen zijn akkoord met de</w:t>
      </w:r>
      <w:r w:rsidR="000C0BD2" w:rsidRPr="00376249">
        <w:t xml:space="preserve"> bevruchting en voeden het kind samen op. Wa</w:t>
      </w:r>
      <w:r w:rsidR="00E65179" w:rsidRPr="00376249">
        <w:t>nneer de samenwoning wordt stop</w:t>
      </w:r>
      <w:r w:rsidR="000C0BD2" w:rsidRPr="00376249">
        <w:t xml:space="preserve">gezet, hebben ze een overeenkomst gesloten waarbij de juridische moeder het recht van materiële bewaring heeft en aan de meemoeder een ruim omgangsrecht wordt gegeven. In 2002 wenst de juridische moeder de regeling te wijzigen. </w:t>
      </w:r>
      <w:r w:rsidR="00E65179" w:rsidRPr="00376249">
        <w:t>Tijdens</w:t>
      </w:r>
      <w:r w:rsidR="000C0BD2" w:rsidRPr="00376249">
        <w:t xml:space="preserve"> de procedure bereiken ze een akkoord en </w:t>
      </w:r>
      <w:r w:rsidR="000C0BD2" w:rsidRPr="00376249">
        <w:lastRenderedPageBreak/>
        <w:t>vragen ze aan de jeugdrechtbank te Antwerpen de gezamenlijke uitoefening van het ouderlijk gezag.</w:t>
      </w:r>
      <w:r w:rsidR="000C0BD2" w:rsidRPr="00376249">
        <w:rPr>
          <w:rStyle w:val="FootnoteReference"/>
        </w:rPr>
        <w:footnoteReference w:id="254"/>
      </w:r>
      <w:r w:rsidR="000C0BD2" w:rsidRPr="00376249">
        <w:t xml:space="preserve"> </w:t>
      </w:r>
    </w:p>
    <w:p w:rsidR="000C0BD2" w:rsidRPr="00376249" w:rsidRDefault="00E87D3E" w:rsidP="00ED2CD6">
      <w:pPr>
        <w:pStyle w:val="Randnummer"/>
        <w:spacing w:line="360" w:lineRule="auto"/>
        <w:ind w:left="0" w:firstLine="0"/>
      </w:pPr>
      <w:r w:rsidRPr="00376249">
        <w:rPr>
          <w:b/>
          <w:bCs/>
        </w:rPr>
        <w:fldChar w:fldCharType="begin"/>
      </w:r>
      <w:r w:rsidR="00ED2CD6" w:rsidRPr="00376249">
        <w:rPr>
          <w:b/>
          <w:bCs/>
        </w:rPr>
        <w:instrText xml:space="preserve"> AUTONUMLGL  </w:instrText>
      </w:r>
      <w:r w:rsidRPr="00376249">
        <w:rPr>
          <w:b/>
          <w:bCs/>
        </w:rPr>
        <w:fldChar w:fldCharType="end"/>
      </w:r>
      <w:r w:rsidR="00ED2CD6" w:rsidRPr="00376249">
        <w:rPr>
          <w:b/>
          <w:bCs/>
        </w:rPr>
        <w:t xml:space="preserve"> </w:t>
      </w:r>
      <w:r w:rsidR="000C0BD2" w:rsidRPr="00376249">
        <w:t>De Antwerpse jeugdrechtbank oo</w:t>
      </w:r>
      <w:r w:rsidR="00772650" w:rsidRPr="00376249">
        <w:t>rdeelt dat volgens het Belgisch</w:t>
      </w:r>
      <w:r w:rsidR="000C0BD2" w:rsidRPr="00376249">
        <w:t xml:space="preserve"> recht het ouderlijk gezag alleen kan toekomen aan personen die een juridisch vastgestelde afstammingsband hebben met het kind.</w:t>
      </w:r>
      <w:r w:rsidR="000C0BD2" w:rsidRPr="00376249">
        <w:rPr>
          <w:rStyle w:val="FootnoteReference"/>
        </w:rPr>
        <w:footnoteReference w:id="255"/>
      </w:r>
      <w:r w:rsidR="008527A0" w:rsidRPr="00376249">
        <w:t xml:space="preserve"> Het ouderlijk gezag kan</w:t>
      </w:r>
      <w:r w:rsidR="000C0BD2" w:rsidRPr="00376249">
        <w:t xml:space="preserve"> niet toekomen aan de meemoeder, aangezien zij geen afstammingsband heeft met het kind.</w:t>
      </w:r>
      <w:r w:rsidR="00A544A7" w:rsidRPr="00376249">
        <w:t xml:space="preserve"> </w:t>
      </w:r>
      <w:r w:rsidR="000C0BD2" w:rsidRPr="00376249">
        <w:t>De jeugdrechtbank stelt aan het Arbitragehof de prejudiciële vraag of de artikelen 371 e.v. BW. een schending inhouden van de artikelen 10 en 11 GW., in zoverre het ouderlijk gezag alleen kan toekomen aan personen die een afstammingsband hebben met het kind.</w:t>
      </w:r>
      <w:r w:rsidR="000C0BD2" w:rsidRPr="00376249">
        <w:rPr>
          <w:rStyle w:val="FootnoteReference"/>
        </w:rPr>
        <w:footnoteReference w:id="256"/>
      </w:r>
    </w:p>
    <w:p w:rsidR="000C0BD2" w:rsidRPr="00376249" w:rsidRDefault="00E87D3E" w:rsidP="00ED2CD6">
      <w:pPr>
        <w:pStyle w:val="Randnummer"/>
        <w:spacing w:line="360" w:lineRule="auto"/>
        <w:ind w:left="0" w:firstLine="0"/>
      </w:pPr>
      <w:r w:rsidRPr="00376249">
        <w:rPr>
          <w:b/>
          <w:bCs/>
        </w:rPr>
        <w:fldChar w:fldCharType="begin"/>
      </w:r>
      <w:r w:rsidR="00ED2CD6" w:rsidRPr="00376249">
        <w:rPr>
          <w:b/>
          <w:bCs/>
        </w:rPr>
        <w:instrText xml:space="preserve"> AUTONUMLGL  </w:instrText>
      </w:r>
      <w:r w:rsidRPr="00376249">
        <w:rPr>
          <w:b/>
          <w:bCs/>
        </w:rPr>
        <w:fldChar w:fldCharType="end"/>
      </w:r>
      <w:r w:rsidR="00ED2CD6" w:rsidRPr="00376249">
        <w:rPr>
          <w:b/>
          <w:bCs/>
        </w:rPr>
        <w:t xml:space="preserve"> </w:t>
      </w:r>
      <w:r w:rsidR="000C0BD2" w:rsidRPr="00376249">
        <w:t>Het Arbitragehof stelt in het arrest va</w:t>
      </w:r>
      <w:r w:rsidR="00E65179" w:rsidRPr="00376249">
        <w:t>n 8 oktober 2003 het volgende: “</w:t>
      </w:r>
      <w:r w:rsidR="000C0BD2" w:rsidRPr="00376249">
        <w:rPr>
          <w:i/>
          <w:iCs/>
        </w:rPr>
        <w:t xml:space="preserve">Het ouderlijk gezag kan thans enkel worden gevestigd ten aanzien van de personen die een afstammingsband hebben met het kind. Bijgevolg zouden kinderen die slechts één ouder hebben ten aanzien van wie de afstamming vaststaat maar op duurzame wijze leven binnen een gezin dat wordt gevormd door die ouder en een derde die beiden instaan voor het onderhoud van het kind plots, in geval van scheiding van het paar en in het bijzonder geval van overlijden van de ouder die een afstammingsband met het kind had, elk recht op verzorging, hieronder begrepen het recht op onderhoud en op bescherming van de persoon die het kind heeft opgevoed, kunnen verliezen. Deze categorie </w:t>
      </w:r>
      <w:r w:rsidR="00E65179" w:rsidRPr="00376249">
        <w:rPr>
          <w:i/>
          <w:iCs/>
        </w:rPr>
        <w:t xml:space="preserve">van </w:t>
      </w:r>
      <w:r w:rsidR="000C0BD2" w:rsidRPr="00376249">
        <w:rPr>
          <w:i/>
          <w:iCs/>
        </w:rPr>
        <w:t>kinderen wordt zonder toelaatbare verantwoording verschillend behandeld, maar het behoort aan de wetgever te preciseren in welke vorm, onder welke voorwaarden en volgens welke procedure het ouderlijk gezag, in het belang van het kind, zou kunnen worden uitgebreid tot andere personen die geen afstammingsband met het kind hebben.</w:t>
      </w:r>
      <w:r w:rsidR="00445E58" w:rsidRPr="00376249">
        <w:rPr>
          <w:i/>
          <w:iCs/>
        </w:rPr>
        <w:t xml:space="preserve"> </w:t>
      </w:r>
      <w:r w:rsidR="000C0BD2" w:rsidRPr="00376249">
        <w:rPr>
          <w:i/>
          <w:iCs/>
        </w:rPr>
        <w:t>De artikelen 371 tot 387bis BW. schenden het grondwettelijk gelijkheids- en non-discriminatiebeginsel niet.”</w:t>
      </w:r>
      <w:r w:rsidR="000C0BD2" w:rsidRPr="00376249">
        <w:rPr>
          <w:rStyle w:val="FootnoteReference"/>
          <w:i/>
          <w:iCs/>
        </w:rPr>
        <w:footnoteReference w:id="257"/>
      </w:r>
    </w:p>
    <w:p w:rsidR="00AB7292" w:rsidRPr="00552CAE" w:rsidRDefault="00E87D3E" w:rsidP="00ED2CD6">
      <w:pPr>
        <w:pStyle w:val="Randnummer"/>
        <w:spacing w:line="360" w:lineRule="auto"/>
        <w:ind w:left="0" w:firstLine="0"/>
      </w:pPr>
      <w:r w:rsidRPr="00376249">
        <w:rPr>
          <w:b/>
          <w:bCs/>
        </w:rPr>
        <w:fldChar w:fldCharType="begin"/>
      </w:r>
      <w:r w:rsidR="00ED2CD6" w:rsidRPr="00376249">
        <w:rPr>
          <w:b/>
          <w:bCs/>
        </w:rPr>
        <w:instrText xml:space="preserve"> AUTONUMLGL  </w:instrText>
      </w:r>
      <w:r w:rsidRPr="00376249">
        <w:rPr>
          <w:b/>
          <w:bCs/>
        </w:rPr>
        <w:fldChar w:fldCharType="end"/>
      </w:r>
      <w:r w:rsidR="00ED2CD6" w:rsidRPr="00376249">
        <w:rPr>
          <w:b/>
          <w:bCs/>
        </w:rPr>
        <w:t xml:space="preserve"> </w:t>
      </w:r>
      <w:r w:rsidR="004D3932" w:rsidRPr="00376249">
        <w:t xml:space="preserve">Wanneer </w:t>
      </w:r>
      <w:r w:rsidR="009827B7" w:rsidRPr="00376249">
        <w:t>het Arbitrageh</w:t>
      </w:r>
      <w:r w:rsidR="004B67ED" w:rsidRPr="00376249">
        <w:t>of toetst</w:t>
      </w:r>
      <w:r w:rsidR="004D3932" w:rsidRPr="00376249">
        <w:t xml:space="preserve"> aan het gelijkheids- en non discriminatiebeginsel en uit de prejudiciële vraag niet blijkt welke twee categorieën met elkaar </w:t>
      </w:r>
      <w:r w:rsidR="004B67ED" w:rsidRPr="00376249">
        <w:t>dienen</w:t>
      </w:r>
      <w:r w:rsidR="004D3932" w:rsidRPr="00376249">
        <w:t xml:space="preserve"> vergeleken </w:t>
      </w:r>
      <w:r w:rsidR="004B67ED" w:rsidRPr="00376249">
        <w:t xml:space="preserve">te </w:t>
      </w:r>
      <w:r w:rsidR="004D3932" w:rsidRPr="00376249">
        <w:t>wo</w:t>
      </w:r>
      <w:r w:rsidR="00D14F69" w:rsidRPr="00376249">
        <w:t>rden, bepaalt het Arbitrageh</w:t>
      </w:r>
      <w:r w:rsidR="004B67ED" w:rsidRPr="00376249">
        <w:t xml:space="preserve">of zelf </w:t>
      </w:r>
      <w:r w:rsidR="004D3932" w:rsidRPr="00376249">
        <w:t>de twee</w:t>
      </w:r>
      <w:r w:rsidR="004B67ED" w:rsidRPr="00376249">
        <w:t xml:space="preserve"> te vergelijken categorieën</w:t>
      </w:r>
      <w:r w:rsidR="004D3932" w:rsidRPr="00376249">
        <w:t>.</w:t>
      </w:r>
      <w:r w:rsidR="004D3932" w:rsidRPr="00376249">
        <w:rPr>
          <w:rStyle w:val="FootnoteReference"/>
        </w:rPr>
        <w:footnoteReference w:id="258"/>
      </w:r>
      <w:r w:rsidR="004D3932" w:rsidRPr="00376249">
        <w:rPr>
          <w:i/>
          <w:iCs/>
        </w:rPr>
        <w:t xml:space="preserve"> </w:t>
      </w:r>
      <w:r w:rsidR="009827B7" w:rsidRPr="00376249">
        <w:t>Het Arbitrageh</w:t>
      </w:r>
      <w:r w:rsidR="004D3932" w:rsidRPr="00376249">
        <w:t xml:space="preserve">of </w:t>
      </w:r>
      <w:r w:rsidR="004D3932" w:rsidRPr="00376249">
        <w:lastRenderedPageBreak/>
        <w:t>heeft in casu</w:t>
      </w:r>
      <w:r w:rsidR="00AB7292" w:rsidRPr="00376249">
        <w:t xml:space="preserve"> de vergelijking gemaakt tussen de situatie waar een kind slechts één ouder heeft ten aanzien van wie de afstamming vaststaat</w:t>
      </w:r>
      <w:r w:rsidR="004D3932" w:rsidRPr="00376249">
        <w:t>, maar op duurzame wijze heeft geleefd binnen een gezin dat uit die ouder en een derde wordt gevormd</w:t>
      </w:r>
      <w:r w:rsidR="00AB7292" w:rsidRPr="00376249">
        <w:t xml:space="preserve"> en de situatie waar een kind twee ouders heeft ten aanzien van wie de afstamming vaststaat</w:t>
      </w:r>
      <w:r w:rsidR="004D3932" w:rsidRPr="00376249">
        <w:t>.</w:t>
      </w:r>
      <w:r w:rsidR="00AB7292" w:rsidRPr="00376249">
        <w:rPr>
          <w:rStyle w:val="FootnoteReference"/>
        </w:rPr>
        <w:footnoteReference w:id="259"/>
      </w:r>
      <w:r w:rsidR="009827B7" w:rsidRPr="00376249">
        <w:t xml:space="preserve"> Het Arbitrageh</w:t>
      </w:r>
      <w:r w:rsidR="006F46E9" w:rsidRPr="00376249">
        <w:t xml:space="preserve">of </w:t>
      </w:r>
      <w:r w:rsidR="00D14F69" w:rsidRPr="00376249">
        <w:t>oordeelt</w:t>
      </w:r>
      <w:r w:rsidR="004B67ED" w:rsidRPr="00376249">
        <w:t xml:space="preserve"> dat de </w:t>
      </w:r>
      <w:r w:rsidR="006F46E9" w:rsidRPr="00376249">
        <w:t>e</w:t>
      </w:r>
      <w:r w:rsidR="004B67ED" w:rsidRPr="00376249">
        <w:t>erste</w:t>
      </w:r>
      <w:r w:rsidR="006F46E9" w:rsidRPr="00376249">
        <w:t xml:space="preserve"> categorie van kinderen zonder toelaatbare verantwoordi</w:t>
      </w:r>
      <w:r w:rsidR="004B67ED" w:rsidRPr="00376249">
        <w:t>ng verschillend behandeld wordt</w:t>
      </w:r>
      <w:r w:rsidR="006F46E9" w:rsidRPr="00376249">
        <w:t>, maar dat het aan de wetgever is om te preciseren op welke manier het ouderlijk gezag kan toekomen aan personen die geen afstammingsband hebben met het kind.</w:t>
      </w:r>
      <w:r w:rsidR="006F46E9" w:rsidRPr="00376249">
        <w:rPr>
          <w:rStyle w:val="FootnoteReference"/>
        </w:rPr>
        <w:footnoteReference w:id="260"/>
      </w:r>
      <w:r w:rsidR="006F46E9" w:rsidRPr="00376249">
        <w:t xml:space="preserve"> </w:t>
      </w:r>
      <w:r w:rsidR="0009742C" w:rsidRPr="00376249">
        <w:t xml:space="preserve"> </w:t>
      </w:r>
    </w:p>
    <w:p w:rsidR="004D3932" w:rsidRPr="00376249" w:rsidRDefault="0009742C" w:rsidP="00ED2CD6">
      <w:pPr>
        <w:pStyle w:val="Randnummer"/>
        <w:spacing w:line="360" w:lineRule="auto"/>
        <w:ind w:left="0" w:firstLine="0"/>
        <w:rPr>
          <w:i/>
          <w:iCs/>
        </w:rPr>
      </w:pPr>
      <w:r w:rsidRPr="00376249">
        <w:t xml:space="preserve">De vraag </w:t>
      </w:r>
      <w:r w:rsidR="00AB7292" w:rsidRPr="00376249">
        <w:t>is of deze redenering ook toepasselijk is indien het kind wel twee juridische ouders heeft</w:t>
      </w:r>
      <w:r w:rsidR="00552CAE">
        <w:t xml:space="preserve"> en er daarbij nog een niet-juridische ouder mee instaat voor de opvoeding van het kind. Er valt te denken aan de situatie waar de juridische ouders uit elkaar zijn en één van de juridische ouders een nieuwe echtgenoot heeft. Deze nieuwe echtgenoot staat mee in voor de opvoeding van het kind.</w:t>
      </w:r>
      <w:r w:rsidR="00AB7292" w:rsidRPr="00376249">
        <w:t xml:space="preserve"> </w:t>
      </w:r>
      <w:r w:rsidR="00BB2128" w:rsidRPr="00376249">
        <w:t>Uit de wetsvoorstellen blijkt dat</w:t>
      </w:r>
      <w:r w:rsidR="00A544A7" w:rsidRPr="00376249">
        <w:t xml:space="preserve"> dit mogelijk is</w:t>
      </w:r>
      <w:r w:rsidR="00BB2128" w:rsidRPr="00376249">
        <w:t>.</w:t>
      </w:r>
      <w:r w:rsidR="00A544A7" w:rsidRPr="00376249">
        <w:t xml:space="preserve"> In de wetsvoorstellen nr. 54-0114/001 en voorstel nr. 54-0194/001, die later besproken worden, wordt wel een onderscheid</w:t>
      </w:r>
      <w:r w:rsidR="00E65179" w:rsidRPr="00376249">
        <w:t xml:space="preserve"> gemaakt</w:t>
      </w:r>
      <w:r w:rsidR="00A544A7" w:rsidRPr="00376249">
        <w:t xml:space="preserve"> tussen deze twee situaties.</w:t>
      </w:r>
      <w:r w:rsidR="00A544A7" w:rsidRPr="00376249">
        <w:rPr>
          <w:rStyle w:val="FootnoteReference"/>
        </w:rPr>
        <w:footnoteReference w:id="261"/>
      </w:r>
      <w:r w:rsidR="00A544A7" w:rsidRPr="00376249">
        <w:t xml:space="preserve"> Indien het kind twee juridische ouders heeft, is de omvang van de bevoegdheden van het ouderlijk gezag dat aan een nie</w:t>
      </w:r>
      <w:r w:rsidR="00376249" w:rsidRPr="00376249">
        <w:t>t-juridische ouder kan toekomen</w:t>
      </w:r>
      <w:r w:rsidR="00A544A7" w:rsidRPr="00376249">
        <w:t xml:space="preserve"> beperkter.</w:t>
      </w:r>
      <w:r w:rsidR="00A544A7" w:rsidRPr="00376249">
        <w:rPr>
          <w:rStyle w:val="FootnoteReference"/>
        </w:rPr>
        <w:footnoteReference w:id="262"/>
      </w:r>
    </w:p>
    <w:p w:rsidR="000C0BD2" w:rsidRDefault="00031FC9" w:rsidP="00746471">
      <w:pPr>
        <w:pStyle w:val="Heading4"/>
        <w:spacing w:line="360" w:lineRule="auto"/>
        <w:jc w:val="both"/>
      </w:pPr>
      <w:bookmarkStart w:id="63" w:name="_Toc449936747"/>
      <w:r>
        <w:t>§3</w:t>
      </w:r>
      <w:r w:rsidR="00F979C5">
        <w:t xml:space="preserve">. </w:t>
      </w:r>
      <w:r w:rsidR="000C0BD2">
        <w:t>Rechtsleer</w:t>
      </w:r>
      <w:bookmarkEnd w:id="63"/>
    </w:p>
    <w:p w:rsidR="000C0BD2" w:rsidRPr="00376249" w:rsidRDefault="00E87D3E" w:rsidP="00ED2CD6">
      <w:pPr>
        <w:pStyle w:val="Randnummer"/>
        <w:spacing w:line="360" w:lineRule="auto"/>
        <w:ind w:left="0" w:firstLine="0"/>
      </w:pPr>
      <w:r w:rsidRPr="00376249">
        <w:rPr>
          <w:b/>
          <w:bCs/>
        </w:rPr>
        <w:fldChar w:fldCharType="begin"/>
      </w:r>
      <w:r w:rsidR="00ED2CD6" w:rsidRPr="00376249">
        <w:rPr>
          <w:b/>
          <w:bCs/>
        </w:rPr>
        <w:instrText xml:space="preserve"> AUTONUMLGL  </w:instrText>
      </w:r>
      <w:r w:rsidRPr="00376249">
        <w:rPr>
          <w:b/>
          <w:bCs/>
        </w:rPr>
        <w:fldChar w:fldCharType="end"/>
      </w:r>
      <w:r w:rsidR="00ED2CD6" w:rsidRPr="00376249">
        <w:rPr>
          <w:b/>
          <w:bCs/>
        </w:rPr>
        <w:t xml:space="preserve"> </w:t>
      </w:r>
      <w:r w:rsidR="000C0BD2" w:rsidRPr="00376249">
        <w:t>Het arrest van het Arbitragehof van 8 oktober 2003 heeft reactie uitgelokt</w:t>
      </w:r>
      <w:r w:rsidR="00D14F69" w:rsidRPr="00376249">
        <w:t xml:space="preserve"> in de rechtsleer</w:t>
      </w:r>
      <w:r w:rsidR="000C0BD2" w:rsidRPr="00376249">
        <w:t>. Verschillende auteurs bevestigen dat het Arbitragehof met dit arrest de deuren openzet naar een afstammingsloos gezag.</w:t>
      </w:r>
      <w:r w:rsidR="000C0BD2" w:rsidRPr="00376249">
        <w:rPr>
          <w:rStyle w:val="FootnoteReference"/>
        </w:rPr>
        <w:footnoteReference w:id="263"/>
      </w:r>
    </w:p>
    <w:p w:rsidR="000C0BD2" w:rsidRPr="00376249" w:rsidRDefault="00E87D3E" w:rsidP="00ED2CD6">
      <w:pPr>
        <w:pStyle w:val="Randnummer"/>
        <w:spacing w:line="360" w:lineRule="auto"/>
        <w:ind w:left="0" w:firstLine="0"/>
      </w:pPr>
      <w:r w:rsidRPr="00376249">
        <w:rPr>
          <w:b/>
          <w:bCs/>
        </w:rPr>
        <w:fldChar w:fldCharType="begin"/>
      </w:r>
      <w:r w:rsidR="00ED2CD6" w:rsidRPr="00376249">
        <w:rPr>
          <w:b/>
          <w:bCs/>
        </w:rPr>
        <w:instrText xml:space="preserve"> AUTONUMLGL  </w:instrText>
      </w:r>
      <w:r w:rsidRPr="00376249">
        <w:rPr>
          <w:b/>
          <w:bCs/>
        </w:rPr>
        <w:fldChar w:fldCharType="end"/>
      </w:r>
      <w:r w:rsidR="00ED2CD6" w:rsidRPr="00376249">
        <w:rPr>
          <w:b/>
          <w:bCs/>
        </w:rPr>
        <w:t xml:space="preserve"> </w:t>
      </w:r>
      <w:r w:rsidR="004C07D0" w:rsidRPr="00376249">
        <w:t>Auteur</w:t>
      </w:r>
      <w:r w:rsidR="003B2F67" w:rsidRPr="00376249">
        <w:t xml:space="preserve"> Nicole </w:t>
      </w:r>
      <w:r w:rsidR="00E77C84" w:rsidRPr="00376249">
        <w:t>GALLUS</w:t>
      </w:r>
      <w:r w:rsidR="000C0BD2" w:rsidRPr="00376249">
        <w:t xml:space="preserve"> verdedigt de stelling van het </w:t>
      </w:r>
      <w:r w:rsidR="00D14F69" w:rsidRPr="00376249">
        <w:t>Arbitrageh</w:t>
      </w:r>
      <w:r w:rsidR="00376249" w:rsidRPr="00376249">
        <w:t xml:space="preserve">of. </w:t>
      </w:r>
      <w:r w:rsidR="000C0BD2" w:rsidRPr="00376249">
        <w:t xml:space="preserve">Het debat draait rond de mogelijkheid om alle of een deel van de bevoegdheden van het ouderlijk gezag toe te laten </w:t>
      </w:r>
      <w:r w:rsidR="000C0BD2" w:rsidRPr="00376249">
        <w:lastRenderedPageBreak/>
        <w:t xml:space="preserve">komen aan een niet-juridische ouder. Het gaat dus over een loskoppeling van de afstamming en het ouderlijk gezag, </w:t>
      </w:r>
      <w:r w:rsidR="009827B7" w:rsidRPr="00376249">
        <w:t xml:space="preserve">namelijk </w:t>
      </w:r>
      <w:r w:rsidR="000C0BD2" w:rsidRPr="00376249">
        <w:t>een afstammingsloos gezag.</w:t>
      </w:r>
      <w:r w:rsidR="000C0BD2" w:rsidRPr="00376249">
        <w:rPr>
          <w:rStyle w:val="FootnoteReference"/>
        </w:rPr>
        <w:footnoteReference w:id="264"/>
      </w:r>
      <w:r w:rsidR="00376249" w:rsidRPr="00376249">
        <w:t xml:space="preserve"> </w:t>
      </w:r>
      <w:r w:rsidR="000C0BD2" w:rsidRPr="00376249">
        <w:t>Zij is van mening dat een niet-juridische ouder die mee instaat voor de opvoeding van het kind, juridisch bindende beslissingen moet kunnen maken aangaande de dagelijkse opvoeding van het kind.</w:t>
      </w:r>
      <w:r w:rsidR="000C0BD2" w:rsidRPr="00376249">
        <w:rPr>
          <w:rStyle w:val="FootnoteReference"/>
        </w:rPr>
        <w:footnoteReference w:id="265"/>
      </w:r>
      <w:r w:rsidR="000C0BD2" w:rsidRPr="00376249">
        <w:t xml:space="preserve"> Hieronder vallen onder andere de keuze van een medische behandeling en het onderhouden van relaties met de school van het kind.</w:t>
      </w:r>
      <w:r w:rsidR="000C0BD2" w:rsidRPr="00376249">
        <w:rPr>
          <w:rStyle w:val="FootnoteReference"/>
        </w:rPr>
        <w:footnoteReference w:id="266"/>
      </w:r>
      <w:r w:rsidR="000C0BD2" w:rsidRPr="00376249">
        <w:t xml:space="preserve"> Dit kan gerealiseerd worden do</w:t>
      </w:r>
      <w:r w:rsidR="00D14F69" w:rsidRPr="00376249">
        <w:t>or het tot stand brengen van</w:t>
      </w:r>
      <w:r w:rsidR="000C0BD2" w:rsidRPr="00376249">
        <w:t xml:space="preserve"> zorgouderschap, zoals voorgesteld in de wetsvoorstellen nr. 54-0114/001 en nr. 54-0194/001.</w:t>
      </w:r>
      <w:r w:rsidR="000C0BD2" w:rsidRPr="00376249">
        <w:rPr>
          <w:rStyle w:val="FootnoteReference"/>
        </w:rPr>
        <w:footnoteReference w:id="267"/>
      </w:r>
      <w:r w:rsidR="000C0BD2" w:rsidRPr="00376249">
        <w:t xml:space="preserve"> </w:t>
      </w:r>
    </w:p>
    <w:p w:rsidR="000C0BD2" w:rsidRPr="00376249" w:rsidRDefault="00E87D3E" w:rsidP="00B05740">
      <w:pPr>
        <w:pStyle w:val="Randnummer"/>
        <w:spacing w:line="360" w:lineRule="auto"/>
        <w:ind w:left="0" w:firstLine="0"/>
        <w:rPr>
          <w:rStyle w:val="Hyperlink"/>
          <w:i w:val="0"/>
          <w:iCs w:val="0"/>
        </w:rPr>
      </w:pPr>
      <w:r w:rsidRPr="00376249">
        <w:rPr>
          <w:b/>
          <w:bCs/>
        </w:rPr>
        <w:fldChar w:fldCharType="begin"/>
      </w:r>
      <w:r w:rsidR="00B05740" w:rsidRPr="00376249">
        <w:rPr>
          <w:b/>
          <w:bCs/>
        </w:rPr>
        <w:instrText xml:space="preserve"> AUTONUMLGL  </w:instrText>
      </w:r>
      <w:r w:rsidRPr="00376249">
        <w:rPr>
          <w:b/>
          <w:bCs/>
        </w:rPr>
        <w:fldChar w:fldCharType="end"/>
      </w:r>
      <w:r w:rsidR="00B05740" w:rsidRPr="00376249">
        <w:rPr>
          <w:b/>
          <w:bCs/>
        </w:rPr>
        <w:t xml:space="preserve"> </w:t>
      </w:r>
      <w:r w:rsidR="00376249" w:rsidRPr="00376249">
        <w:t>P</w:t>
      </w:r>
      <w:r w:rsidR="00D14F69" w:rsidRPr="00376249">
        <w:t xml:space="preserve">rofessor dr. </w:t>
      </w:r>
      <w:r w:rsidR="00E77C84" w:rsidRPr="00376249">
        <w:t>SWENNEN</w:t>
      </w:r>
      <w:r w:rsidR="000C0BD2" w:rsidRPr="00376249">
        <w:t xml:space="preserve"> is van men</w:t>
      </w:r>
      <w:r w:rsidR="00E65179" w:rsidRPr="00376249">
        <w:t xml:space="preserve">ing dat het uitgangspunt dat er </w:t>
      </w:r>
      <w:r w:rsidR="000C0BD2" w:rsidRPr="00376249">
        <w:t>maximaal twee</w:t>
      </w:r>
      <w:r w:rsidR="00C860A2" w:rsidRPr="00376249">
        <w:t xml:space="preserve"> juridische ouders kunnen zijn </w:t>
      </w:r>
      <w:r w:rsidR="000C0BD2" w:rsidRPr="00376249">
        <w:t>achterhaald is.</w:t>
      </w:r>
      <w:r w:rsidR="000C0BD2" w:rsidRPr="00376249">
        <w:rPr>
          <w:rStyle w:val="FootnoteReference"/>
        </w:rPr>
        <w:footnoteReference w:id="268"/>
      </w:r>
      <w:r w:rsidR="00C860A2" w:rsidRPr="00376249">
        <w:t xml:space="preserve"> Hij stelt dat het mogelijk dient te</w:t>
      </w:r>
      <w:r w:rsidR="000C0BD2" w:rsidRPr="00376249">
        <w:t xml:space="preserve"> zijn dat een kind met meer dan twee ouders juridisch beschermde banden heeft.</w:t>
      </w:r>
      <w:r w:rsidR="000C0BD2" w:rsidRPr="00376249">
        <w:rPr>
          <w:rStyle w:val="FootnoteReference"/>
        </w:rPr>
        <w:footnoteReference w:id="269"/>
      </w:r>
    </w:p>
    <w:p w:rsidR="000C0BD2" w:rsidRDefault="00031FC9" w:rsidP="00746471">
      <w:pPr>
        <w:pStyle w:val="Heading2"/>
        <w:spacing w:line="360" w:lineRule="auto"/>
        <w:jc w:val="both"/>
      </w:pPr>
      <w:bookmarkStart w:id="64" w:name="_Toc449936748"/>
      <w:r>
        <w:t xml:space="preserve">HOOFDSTUK II. </w:t>
      </w:r>
      <w:r w:rsidR="001B6D6A">
        <w:t>Mogelijke oplossingen</w:t>
      </w:r>
      <w:bookmarkEnd w:id="64"/>
    </w:p>
    <w:p w:rsidR="000C0BD2" w:rsidRPr="00552CAE" w:rsidRDefault="00E87D3E" w:rsidP="00B05740">
      <w:pPr>
        <w:pStyle w:val="Randnummer"/>
        <w:spacing w:line="360" w:lineRule="auto"/>
        <w:ind w:left="0" w:firstLine="0"/>
      </w:pPr>
      <w:r w:rsidRPr="00552CAE">
        <w:rPr>
          <w:b/>
          <w:bCs/>
        </w:rPr>
        <w:fldChar w:fldCharType="begin"/>
      </w:r>
      <w:r w:rsidR="00B05740" w:rsidRPr="00552CAE">
        <w:rPr>
          <w:b/>
          <w:bCs/>
        </w:rPr>
        <w:instrText xml:space="preserve"> AUTONUMLGL  </w:instrText>
      </w:r>
      <w:r w:rsidRPr="00552CAE">
        <w:rPr>
          <w:b/>
          <w:bCs/>
        </w:rPr>
        <w:fldChar w:fldCharType="end"/>
      </w:r>
      <w:r w:rsidR="00B05740" w:rsidRPr="00552CAE">
        <w:rPr>
          <w:b/>
          <w:bCs/>
        </w:rPr>
        <w:t xml:space="preserve"> </w:t>
      </w:r>
      <w:r w:rsidR="00E33E9D" w:rsidRPr="00552CAE">
        <w:t>In het huidige Belgische recht zijn</w:t>
      </w:r>
      <w:r w:rsidR="000C0BD2" w:rsidRPr="00552CAE">
        <w:t xml:space="preserve"> duidelijk grenzen waar te nemen. De gezagsrelatie die ontstaat tussen een niet-juridische ouder en het kind</w:t>
      </w:r>
      <w:r w:rsidR="00552CAE" w:rsidRPr="00552CAE">
        <w:t>,</w:t>
      </w:r>
      <w:r w:rsidR="000C0BD2" w:rsidRPr="00552CAE">
        <w:t xml:space="preserve"> wordt niet w</w:t>
      </w:r>
      <w:r w:rsidR="00E33E9D" w:rsidRPr="00552CAE">
        <w:t>ettelijk bescherm</w:t>
      </w:r>
      <w:r w:rsidR="00047A96" w:rsidRPr="00552CAE">
        <w:t>d. In België bestaat</w:t>
      </w:r>
      <w:r w:rsidR="000C0BD2" w:rsidRPr="00552CAE">
        <w:t xml:space="preserve"> nog geen wetgeving die tegemoet komt aan dit probleem. In dit </w:t>
      </w:r>
      <w:r w:rsidR="00E33E9D" w:rsidRPr="00552CAE">
        <w:t>hoofdstuk</w:t>
      </w:r>
      <w:r w:rsidR="000C0BD2" w:rsidRPr="00552CAE">
        <w:t xml:space="preserve"> worden twee</w:t>
      </w:r>
      <w:r w:rsidR="00660BA4" w:rsidRPr="00552CAE">
        <w:t xml:space="preserve"> mogelijke manieren besproken</w:t>
      </w:r>
      <w:r w:rsidR="000C0BD2" w:rsidRPr="00552CAE">
        <w:t xml:space="preserve"> </w:t>
      </w:r>
      <w:r w:rsidR="00E33E9D" w:rsidRPr="00552CAE">
        <w:t xml:space="preserve">om de gezagsrelaties te beschermen, namelijk </w:t>
      </w:r>
      <w:r w:rsidR="000C0BD2" w:rsidRPr="00552CAE">
        <w:t xml:space="preserve">meerouderschap en afstammingsloos gezag. </w:t>
      </w:r>
      <w:r w:rsidR="00660BA4" w:rsidRPr="00552CAE">
        <w:t xml:space="preserve">Deze rechtsfiguren bestaan reeds in Canada respectievelijk Engeland. </w:t>
      </w:r>
      <w:r w:rsidR="000C0BD2" w:rsidRPr="00552CAE">
        <w:t xml:space="preserve">Er wordt aan </w:t>
      </w:r>
      <w:r w:rsidR="00660BA4" w:rsidRPr="00552CAE">
        <w:t xml:space="preserve">rechtsvergelijking gedaan om </w:t>
      </w:r>
      <w:r w:rsidR="000C0BD2" w:rsidRPr="00552CAE">
        <w:t xml:space="preserve">een beeld te krijgen van deze rechtsfiguren. </w:t>
      </w:r>
    </w:p>
    <w:p w:rsidR="000C0BD2" w:rsidRPr="006B0B89" w:rsidRDefault="000D6619" w:rsidP="00746471">
      <w:pPr>
        <w:pStyle w:val="Heading3"/>
        <w:spacing w:line="360" w:lineRule="auto"/>
        <w:jc w:val="both"/>
        <w:rPr>
          <w:rStyle w:val="Heading4Char"/>
          <w:b w:val="0"/>
          <w:bCs w:val="0"/>
          <w:lang w:val="nl-BE"/>
        </w:rPr>
      </w:pPr>
      <w:bookmarkStart w:id="65" w:name="_Toc449936749"/>
      <w:r>
        <w:rPr>
          <w:rStyle w:val="Heading4Char"/>
          <w:b w:val="0"/>
          <w:bCs w:val="0"/>
        </w:rPr>
        <w:lastRenderedPageBreak/>
        <w:t>Afdeling I</w:t>
      </w:r>
      <w:r w:rsidR="00607E01">
        <w:rPr>
          <w:rStyle w:val="Heading4Char"/>
          <w:b w:val="0"/>
          <w:bCs w:val="0"/>
        </w:rPr>
        <w:t xml:space="preserve">. </w:t>
      </w:r>
      <w:r>
        <w:rPr>
          <w:rStyle w:val="Heading4Char"/>
          <w:b w:val="0"/>
          <w:bCs w:val="0"/>
        </w:rPr>
        <w:t>Meerouderschap</w:t>
      </w:r>
      <w:bookmarkEnd w:id="65"/>
    </w:p>
    <w:p w:rsidR="000C0BD2" w:rsidRPr="006B0B89" w:rsidRDefault="00031FC9" w:rsidP="00746471">
      <w:pPr>
        <w:pStyle w:val="Heading4"/>
        <w:spacing w:line="360" w:lineRule="auto"/>
        <w:jc w:val="both"/>
        <w:rPr>
          <w:rStyle w:val="Heading4Char"/>
          <w:lang w:val="nl-BE"/>
        </w:rPr>
      </w:pPr>
      <w:bookmarkStart w:id="66" w:name="_Toc449936750"/>
      <w:r>
        <w:rPr>
          <w:rStyle w:val="Heading4Char"/>
          <w:b/>
          <w:bCs/>
          <w:lang w:val="nl-BE"/>
        </w:rPr>
        <w:t xml:space="preserve">§1. </w:t>
      </w:r>
      <w:r w:rsidR="000C0BD2">
        <w:rPr>
          <w:rStyle w:val="Heading4Char"/>
          <w:b/>
          <w:bCs/>
          <w:lang w:val="nl-BE"/>
        </w:rPr>
        <w:t>Duiding begrip</w:t>
      </w:r>
      <w:bookmarkEnd w:id="66"/>
    </w:p>
    <w:p w:rsidR="000C0BD2" w:rsidRPr="00552CAE" w:rsidRDefault="00E87D3E" w:rsidP="00B05740">
      <w:pPr>
        <w:pStyle w:val="Randnummer"/>
        <w:spacing w:line="360" w:lineRule="auto"/>
        <w:ind w:left="0" w:firstLine="0"/>
      </w:pPr>
      <w:r w:rsidRPr="00552CAE">
        <w:rPr>
          <w:b/>
          <w:bCs/>
        </w:rPr>
        <w:fldChar w:fldCharType="begin"/>
      </w:r>
      <w:r w:rsidR="00B05740" w:rsidRPr="00552CAE">
        <w:rPr>
          <w:b/>
          <w:bCs/>
        </w:rPr>
        <w:instrText xml:space="preserve"> AUTONUMLGL  </w:instrText>
      </w:r>
      <w:r w:rsidRPr="00552CAE">
        <w:rPr>
          <w:b/>
          <w:bCs/>
        </w:rPr>
        <w:fldChar w:fldCharType="end"/>
      </w:r>
      <w:r w:rsidR="00B05740" w:rsidRPr="00552CAE">
        <w:rPr>
          <w:b/>
          <w:bCs/>
        </w:rPr>
        <w:t xml:space="preserve"> </w:t>
      </w:r>
      <w:r w:rsidR="000C0BD2" w:rsidRPr="00552CAE">
        <w:t xml:space="preserve">Meerouderschap </w:t>
      </w:r>
      <w:r w:rsidR="00552CAE" w:rsidRPr="00552CAE">
        <w:t>maakt het mogelijk dat er mee</w:t>
      </w:r>
      <w:r w:rsidR="00ED2934">
        <w:t>r dan twee</w:t>
      </w:r>
      <w:r w:rsidR="00552CAE" w:rsidRPr="00552CAE">
        <w:t xml:space="preserve"> juridische ouders</w:t>
      </w:r>
      <w:r w:rsidR="000C0BD2" w:rsidRPr="00552CAE">
        <w:t xml:space="preserve"> kunnen zijn.</w:t>
      </w:r>
      <w:r w:rsidR="000C0BD2" w:rsidRPr="00552CAE">
        <w:rPr>
          <w:rStyle w:val="FootnoteReference"/>
        </w:rPr>
        <w:footnoteReference w:id="270"/>
      </w:r>
      <w:r w:rsidR="00552CAE" w:rsidRPr="00552CAE">
        <w:t xml:space="preserve"> </w:t>
      </w:r>
      <w:r w:rsidR="000C0BD2" w:rsidRPr="00552CAE">
        <w:t>Het kind kan met meer dan twee ouders juridisch beschermde banden hebben.</w:t>
      </w:r>
      <w:r w:rsidR="000C0BD2" w:rsidRPr="00552CAE">
        <w:rPr>
          <w:rStyle w:val="FootnoteReference"/>
        </w:rPr>
        <w:footnoteReference w:id="271"/>
      </w:r>
      <w:r w:rsidR="000C0BD2" w:rsidRPr="00552CAE">
        <w:t xml:space="preserve"> </w:t>
      </w:r>
    </w:p>
    <w:p w:rsidR="000334BB" w:rsidRPr="00552CAE" w:rsidRDefault="00E87D3E" w:rsidP="00B05740">
      <w:pPr>
        <w:pStyle w:val="Randnummer"/>
        <w:spacing w:line="360" w:lineRule="auto"/>
        <w:ind w:left="0" w:firstLine="0"/>
      </w:pPr>
      <w:r w:rsidRPr="00552CAE">
        <w:rPr>
          <w:b/>
          <w:bCs/>
        </w:rPr>
        <w:fldChar w:fldCharType="begin"/>
      </w:r>
      <w:r w:rsidR="00B05740" w:rsidRPr="00552CAE">
        <w:rPr>
          <w:b/>
          <w:bCs/>
        </w:rPr>
        <w:instrText xml:space="preserve"> AUTONUMLGL  </w:instrText>
      </w:r>
      <w:r w:rsidRPr="00552CAE">
        <w:rPr>
          <w:b/>
          <w:bCs/>
        </w:rPr>
        <w:fldChar w:fldCharType="end"/>
      </w:r>
      <w:r w:rsidR="00B05740" w:rsidRPr="00552CAE">
        <w:rPr>
          <w:b/>
          <w:bCs/>
        </w:rPr>
        <w:t xml:space="preserve"> </w:t>
      </w:r>
      <w:r w:rsidR="000C0BD2" w:rsidRPr="00552CAE">
        <w:t>Meerouderschap bestaat nog niet in België. Er is wel reeds een verzoek ingediend om een onderzoek te doen naar de mogelijkheden van meerouderschap.</w:t>
      </w:r>
      <w:r w:rsidR="000C0BD2" w:rsidRPr="00552CAE">
        <w:rPr>
          <w:rStyle w:val="FootnoteReference"/>
        </w:rPr>
        <w:footnoteReference w:id="272"/>
      </w:r>
      <w:r w:rsidR="000C0BD2" w:rsidRPr="00552CAE">
        <w:t xml:space="preserve"> Dit onderzoek moet een stap zijn naar toekomstige parlementaire werkzaamheden betreffende meerouderschap.</w:t>
      </w:r>
      <w:r w:rsidR="000C0BD2" w:rsidRPr="00552CAE">
        <w:rPr>
          <w:rStyle w:val="FootnoteReference"/>
        </w:rPr>
        <w:footnoteReference w:id="273"/>
      </w:r>
      <w:r w:rsidR="000C0BD2" w:rsidRPr="00552CAE">
        <w:t xml:space="preserve"> </w:t>
      </w:r>
    </w:p>
    <w:p w:rsidR="000C0BD2" w:rsidRPr="00552CAE" w:rsidRDefault="00E87D3E" w:rsidP="00B05740">
      <w:pPr>
        <w:pStyle w:val="Randnummer"/>
        <w:spacing w:line="360" w:lineRule="auto"/>
        <w:ind w:left="0" w:firstLine="0"/>
      </w:pPr>
      <w:r w:rsidRPr="00552CAE">
        <w:rPr>
          <w:b/>
          <w:bCs/>
        </w:rPr>
        <w:fldChar w:fldCharType="begin"/>
      </w:r>
      <w:r w:rsidR="00B05740" w:rsidRPr="00552CAE">
        <w:rPr>
          <w:b/>
          <w:bCs/>
        </w:rPr>
        <w:instrText xml:space="preserve"> AUTONUMLGL  </w:instrText>
      </w:r>
      <w:r w:rsidRPr="00552CAE">
        <w:rPr>
          <w:b/>
          <w:bCs/>
        </w:rPr>
        <w:fldChar w:fldCharType="end"/>
      </w:r>
      <w:r w:rsidR="00B05740" w:rsidRPr="00552CAE">
        <w:rPr>
          <w:b/>
          <w:bCs/>
        </w:rPr>
        <w:t xml:space="preserve"> </w:t>
      </w:r>
      <w:r w:rsidR="000C0BD2" w:rsidRPr="00552CAE">
        <w:t>Om een beter beeld te krijgen van meerouderschap, wordt het familierecht van de Canadese provincie British Columbia bestudeerd</w:t>
      </w:r>
      <w:r w:rsidR="000334BB" w:rsidRPr="00552CAE">
        <w:t>. In British Columbia is meerouderschap wel al mogelijk.</w:t>
      </w:r>
    </w:p>
    <w:p w:rsidR="000C0BD2" w:rsidRDefault="00031FC9" w:rsidP="00746471">
      <w:pPr>
        <w:pStyle w:val="Heading4"/>
        <w:spacing w:line="360" w:lineRule="auto"/>
        <w:jc w:val="both"/>
      </w:pPr>
      <w:bookmarkStart w:id="67" w:name="_Toc449936751"/>
      <w:r>
        <w:t>§2</w:t>
      </w:r>
      <w:r w:rsidR="00607E01">
        <w:t xml:space="preserve">. </w:t>
      </w:r>
      <w:r w:rsidR="000C0BD2">
        <w:t>Meerouderschap in Canada</w:t>
      </w:r>
      <w:bookmarkEnd w:id="67"/>
    </w:p>
    <w:p w:rsidR="000C0BD2" w:rsidRDefault="00031FC9" w:rsidP="00746471">
      <w:pPr>
        <w:pStyle w:val="Heading5"/>
        <w:spacing w:line="360" w:lineRule="auto"/>
        <w:jc w:val="both"/>
      </w:pPr>
      <w:bookmarkStart w:id="68" w:name="_Toc449936752"/>
      <w:r>
        <w:t>A</w:t>
      </w:r>
      <w:r w:rsidR="00607E01">
        <w:t xml:space="preserve">. </w:t>
      </w:r>
      <w:r w:rsidR="000C0BD2">
        <w:t>Staatsstelsel Canada</w:t>
      </w:r>
      <w:bookmarkEnd w:id="68"/>
    </w:p>
    <w:p w:rsidR="000C0BD2" w:rsidRPr="00A17A00" w:rsidRDefault="00E87D3E" w:rsidP="00B05740">
      <w:pPr>
        <w:pStyle w:val="Randnummer"/>
        <w:spacing w:line="360" w:lineRule="auto"/>
        <w:ind w:left="0" w:firstLine="0"/>
      </w:pPr>
      <w:r w:rsidRPr="00A17A00">
        <w:rPr>
          <w:b/>
          <w:bCs/>
        </w:rPr>
        <w:fldChar w:fldCharType="begin"/>
      </w:r>
      <w:r w:rsidR="00B05740" w:rsidRPr="00A17A00">
        <w:rPr>
          <w:b/>
          <w:bCs/>
        </w:rPr>
        <w:instrText xml:space="preserve"> AUTONUMLGL  </w:instrText>
      </w:r>
      <w:r w:rsidRPr="00A17A00">
        <w:rPr>
          <w:b/>
          <w:bCs/>
        </w:rPr>
        <w:fldChar w:fldCharType="end"/>
      </w:r>
      <w:r w:rsidR="00B05740" w:rsidRPr="00A17A00">
        <w:rPr>
          <w:b/>
          <w:bCs/>
        </w:rPr>
        <w:t xml:space="preserve"> </w:t>
      </w:r>
      <w:r w:rsidR="000C0BD2" w:rsidRPr="00A17A00">
        <w:t>Canada is een federale staat bestaande uit deelstaten, namelijk 10 provincies en 3 territoria, en een federaal niveau.</w:t>
      </w:r>
      <w:r w:rsidR="000C0BD2" w:rsidRPr="00A17A00">
        <w:rPr>
          <w:rStyle w:val="FootnoteReference"/>
        </w:rPr>
        <w:footnoteReference w:id="274"/>
      </w:r>
      <w:r w:rsidR="000C0BD2" w:rsidRPr="00A17A00">
        <w:t xml:space="preserve"> Zowel de deelstaten als het federale niveau hebben de bevoegdheid om wetten te maken. De wetten van het federale parlement zijn van toepassing in heel Canada.</w:t>
      </w:r>
      <w:r w:rsidR="000C0BD2" w:rsidRPr="00A17A00">
        <w:rPr>
          <w:rStyle w:val="FootnoteReference"/>
        </w:rPr>
        <w:footnoteReference w:id="275"/>
      </w:r>
      <w:r w:rsidR="000C0BD2" w:rsidRPr="00A17A00">
        <w:t xml:space="preserve"> Het federale parlement heeft enkel wetgevende bevoe</w:t>
      </w:r>
      <w:r w:rsidR="00D566B7" w:rsidRPr="00A17A00">
        <w:t>gdheid in domeinen die door de G</w:t>
      </w:r>
      <w:r w:rsidR="000C0BD2" w:rsidRPr="00A17A00">
        <w:t>rondwet aan het federale parlement zijn voorbehouden. De wetten van de provincies en territoria zijn enkel toepasselijk in de provincie respectievelijk territoria waar de wet tot stand is gekomen.</w:t>
      </w:r>
      <w:r w:rsidR="000C0BD2" w:rsidRPr="00A17A00">
        <w:rPr>
          <w:rStyle w:val="FootnoteReference"/>
        </w:rPr>
        <w:footnoteReference w:id="276"/>
      </w:r>
      <w:r w:rsidR="001C651F" w:rsidRPr="00A17A00">
        <w:t xml:space="preserve"> In </w:t>
      </w:r>
      <w:r w:rsidR="00E33E9D" w:rsidRPr="00A17A00">
        <w:t>wat volgt</w:t>
      </w:r>
      <w:r w:rsidR="001C651F" w:rsidRPr="00A17A00">
        <w:t xml:space="preserve"> wordt het familierecht van de provincie British Columbia besproken.</w:t>
      </w:r>
    </w:p>
    <w:p w:rsidR="000C0BD2" w:rsidRPr="000D6619" w:rsidRDefault="00031FC9" w:rsidP="00746471">
      <w:pPr>
        <w:pStyle w:val="Heading5"/>
        <w:spacing w:line="360" w:lineRule="auto"/>
        <w:jc w:val="both"/>
        <w:rPr>
          <w:lang w:val="en-US"/>
        </w:rPr>
      </w:pPr>
      <w:bookmarkStart w:id="69" w:name="_Toc449936753"/>
      <w:r w:rsidRPr="000D6619">
        <w:rPr>
          <w:lang w:val="en-US"/>
        </w:rPr>
        <w:lastRenderedPageBreak/>
        <w:t>B</w:t>
      </w:r>
      <w:r w:rsidR="00607E01" w:rsidRPr="000D6619">
        <w:rPr>
          <w:lang w:val="en-US"/>
        </w:rPr>
        <w:t xml:space="preserve">. </w:t>
      </w:r>
      <w:r w:rsidR="000C0BD2" w:rsidRPr="000D6619">
        <w:rPr>
          <w:lang w:val="en-US"/>
        </w:rPr>
        <w:t>Totstandkoming Family Law Act</w:t>
      </w:r>
      <w:bookmarkEnd w:id="69"/>
    </w:p>
    <w:p w:rsidR="000C0BD2" w:rsidRPr="000D6619" w:rsidRDefault="00031FC9" w:rsidP="00746471">
      <w:pPr>
        <w:pStyle w:val="Heading6"/>
        <w:spacing w:line="360" w:lineRule="auto"/>
        <w:jc w:val="both"/>
        <w:rPr>
          <w:lang w:val="en-US"/>
        </w:rPr>
      </w:pPr>
      <w:bookmarkStart w:id="70" w:name="_Toc449936754"/>
      <w:proofErr w:type="gramStart"/>
      <w:r w:rsidRPr="000D6619">
        <w:rPr>
          <w:lang w:val="en-US"/>
        </w:rPr>
        <w:t>1</w:t>
      </w:r>
      <w:r w:rsidR="00607E01" w:rsidRPr="000D6619">
        <w:rPr>
          <w:lang w:val="en-US"/>
        </w:rPr>
        <w:t>.</w:t>
      </w:r>
      <w:r w:rsidR="00E33E9D">
        <w:rPr>
          <w:lang w:val="en-US"/>
        </w:rPr>
        <w:t>Situatie</w:t>
      </w:r>
      <w:proofErr w:type="gramEnd"/>
      <w:r w:rsidR="00E33E9D">
        <w:rPr>
          <w:lang w:val="en-US"/>
        </w:rPr>
        <w:t xml:space="preserve"> </w:t>
      </w:r>
      <w:r w:rsidR="00047A96" w:rsidRPr="000D6619">
        <w:rPr>
          <w:lang w:val="en-US"/>
        </w:rPr>
        <w:t xml:space="preserve">voor </w:t>
      </w:r>
      <w:r w:rsidR="000C0BD2" w:rsidRPr="000D6619">
        <w:rPr>
          <w:lang w:val="en-US"/>
        </w:rPr>
        <w:t>de Family Law Act</w:t>
      </w:r>
      <w:bookmarkEnd w:id="70"/>
    </w:p>
    <w:p w:rsidR="000C0BD2" w:rsidRPr="00A17A00" w:rsidRDefault="00E87D3E" w:rsidP="00B05740">
      <w:pPr>
        <w:pStyle w:val="Randnummer"/>
        <w:spacing w:line="360" w:lineRule="auto"/>
        <w:ind w:left="0" w:firstLine="0"/>
      </w:pPr>
      <w:r w:rsidRPr="00A17A00">
        <w:rPr>
          <w:b/>
          <w:bCs/>
        </w:rPr>
        <w:fldChar w:fldCharType="begin"/>
      </w:r>
      <w:r w:rsidR="00B05740" w:rsidRPr="00A17A00">
        <w:rPr>
          <w:b/>
          <w:bCs/>
        </w:rPr>
        <w:instrText xml:space="preserve"> AUTONUMLGL  </w:instrText>
      </w:r>
      <w:r w:rsidRPr="00A17A00">
        <w:rPr>
          <w:b/>
          <w:bCs/>
        </w:rPr>
        <w:fldChar w:fldCharType="end"/>
      </w:r>
      <w:r w:rsidR="00B05740" w:rsidRPr="00A17A00">
        <w:rPr>
          <w:b/>
          <w:bCs/>
        </w:rPr>
        <w:t xml:space="preserve"> </w:t>
      </w:r>
      <w:r w:rsidR="001C651F" w:rsidRPr="00A17A00">
        <w:t xml:space="preserve">Reeds voor de totstandkoming van de Family Law Act </w:t>
      </w:r>
      <w:r w:rsidR="00D76C20" w:rsidRPr="00A17A00">
        <w:t>(hierna FLA</w:t>
      </w:r>
      <w:r w:rsidR="00A17A00" w:rsidRPr="00A17A00">
        <w:t>.</w:t>
      </w:r>
      <w:r w:rsidR="00D76C20" w:rsidRPr="00A17A00">
        <w:t xml:space="preserve">) </w:t>
      </w:r>
      <w:r w:rsidR="001C651F" w:rsidRPr="00A17A00">
        <w:t>w</w:t>
      </w:r>
      <w:r w:rsidR="003743B0" w:rsidRPr="00A17A00">
        <w:t>erd naast de biologische band</w:t>
      </w:r>
      <w:r w:rsidR="00D76C20" w:rsidRPr="00A17A00">
        <w:t xml:space="preserve"> </w:t>
      </w:r>
      <w:r w:rsidR="001C651F" w:rsidRPr="00A17A00">
        <w:t>rekening gehouden met de intentie</w:t>
      </w:r>
      <w:r w:rsidR="00D76C20" w:rsidRPr="00A17A00">
        <w:t xml:space="preserve"> als grondslag voor de vestiging van een afstammingsband</w:t>
      </w:r>
      <w:r w:rsidR="001C651F" w:rsidRPr="00A17A00">
        <w:t>.</w:t>
      </w:r>
      <w:r w:rsidR="000C0BD2" w:rsidRPr="00A17A00">
        <w:rPr>
          <w:rStyle w:val="FootnoteReference"/>
        </w:rPr>
        <w:footnoteReference w:id="277"/>
      </w:r>
      <w:r w:rsidR="000C0BD2" w:rsidRPr="00A17A00">
        <w:t xml:space="preserve"> </w:t>
      </w:r>
    </w:p>
    <w:p w:rsidR="000C0BD2" w:rsidRPr="00A17A00" w:rsidRDefault="00E87D3E" w:rsidP="00B05740">
      <w:pPr>
        <w:pStyle w:val="Randnummer"/>
        <w:spacing w:line="360" w:lineRule="auto"/>
        <w:ind w:left="0" w:firstLine="0"/>
      </w:pPr>
      <w:r w:rsidRPr="00A17A00">
        <w:rPr>
          <w:b/>
          <w:bCs/>
        </w:rPr>
        <w:fldChar w:fldCharType="begin"/>
      </w:r>
      <w:r w:rsidR="00B05740" w:rsidRPr="00A17A00">
        <w:rPr>
          <w:b/>
          <w:bCs/>
        </w:rPr>
        <w:instrText xml:space="preserve"> AUTONUMLGL  </w:instrText>
      </w:r>
      <w:r w:rsidRPr="00A17A00">
        <w:rPr>
          <w:b/>
          <w:bCs/>
        </w:rPr>
        <w:fldChar w:fldCharType="end"/>
      </w:r>
      <w:r w:rsidR="00B05740" w:rsidRPr="00A17A00">
        <w:rPr>
          <w:b/>
          <w:bCs/>
        </w:rPr>
        <w:t xml:space="preserve"> </w:t>
      </w:r>
      <w:r w:rsidR="00D76C20" w:rsidRPr="00A17A00">
        <w:t>Voor de totstandkoming van de FLA was het aantal juridische ouders beperkt tot twee</w:t>
      </w:r>
      <w:r w:rsidR="00047A96" w:rsidRPr="00A17A00">
        <w:t xml:space="preserve"> personen</w:t>
      </w:r>
      <w:r w:rsidR="00D76C20" w:rsidRPr="00A17A00">
        <w:t>.</w:t>
      </w:r>
      <w:r w:rsidR="00D76C20" w:rsidRPr="00A17A00">
        <w:rPr>
          <w:rStyle w:val="FootnoteReference"/>
        </w:rPr>
        <w:footnoteReference w:id="278"/>
      </w:r>
      <w:r w:rsidR="00D76C20" w:rsidRPr="00A17A00">
        <w:t xml:space="preserve"> </w:t>
      </w:r>
      <w:r w:rsidR="00047A96" w:rsidRPr="00A17A00">
        <w:t>De juridische ouders hebben</w:t>
      </w:r>
      <w:r w:rsidR="000C0BD2" w:rsidRPr="00A17A00">
        <w:t xml:space="preserve"> ouderlijk gezag.</w:t>
      </w:r>
      <w:r w:rsidR="000C0BD2" w:rsidRPr="00A17A00">
        <w:rPr>
          <w:rStyle w:val="FootnoteReference"/>
        </w:rPr>
        <w:footnoteReference w:id="279"/>
      </w:r>
      <w:r w:rsidR="00D566B7" w:rsidRPr="00A17A00">
        <w:t xml:space="preserve"> Wanneer </w:t>
      </w:r>
      <w:r w:rsidR="000C0BD2" w:rsidRPr="00A17A00">
        <w:t>een kind feitelijk wordt opgev</w:t>
      </w:r>
      <w:r w:rsidR="001631E4" w:rsidRPr="00A17A00">
        <w:t>oed door drie personen,</w:t>
      </w:r>
      <w:r w:rsidR="00A17A00" w:rsidRPr="00A17A00">
        <w:t xml:space="preserve"> geniet de gezagsrelatie </w:t>
      </w:r>
      <w:r w:rsidR="003743B0" w:rsidRPr="00A17A00">
        <w:t>die ontstaat tussen het kind en de niet-juridische ouder geen wettelijke bescherming</w:t>
      </w:r>
      <w:r w:rsidR="000C0BD2" w:rsidRPr="00A17A00">
        <w:t>.</w:t>
      </w:r>
      <w:r w:rsidR="000C0BD2" w:rsidRPr="00A17A00">
        <w:rPr>
          <w:rStyle w:val="FootnoteReference"/>
        </w:rPr>
        <w:footnoteReference w:id="280"/>
      </w:r>
    </w:p>
    <w:p w:rsidR="000C0BD2" w:rsidRPr="00A17A00" w:rsidRDefault="000C0BD2" w:rsidP="00B05740">
      <w:pPr>
        <w:pStyle w:val="Randnummer"/>
        <w:spacing w:line="360" w:lineRule="auto"/>
        <w:ind w:left="0" w:firstLine="0"/>
      </w:pPr>
      <w:r w:rsidRPr="00A17A00">
        <w:t xml:space="preserve">Het arrest AA </w:t>
      </w:r>
      <w:r w:rsidRPr="00A17A00">
        <w:rPr>
          <w:i/>
          <w:iCs/>
        </w:rPr>
        <w:t>v.</w:t>
      </w:r>
      <w:r w:rsidR="002F070F" w:rsidRPr="00A17A00">
        <w:t xml:space="preserve"> BB, </w:t>
      </w:r>
      <w:r w:rsidR="000334BB" w:rsidRPr="00A17A00">
        <w:t>uitgaande van</w:t>
      </w:r>
      <w:r w:rsidR="002F070F" w:rsidRPr="00A17A00">
        <w:t xml:space="preserve"> de Ontaria Court of Appeal, </w:t>
      </w:r>
      <w:r w:rsidR="00E33E9D" w:rsidRPr="00A17A00">
        <w:t>is een belangrijk arrest m.b.t.</w:t>
      </w:r>
      <w:r w:rsidRPr="00A17A00">
        <w:t xml:space="preserve"> deze problematiek.</w:t>
      </w:r>
      <w:r w:rsidRPr="00A17A00">
        <w:rPr>
          <w:rStyle w:val="FootnoteReference"/>
        </w:rPr>
        <w:footnoteReference w:id="281"/>
      </w:r>
      <w:r w:rsidRPr="00A17A00">
        <w:t xml:space="preserve"> In casu gaat</w:t>
      </w:r>
      <w:r w:rsidR="00047A96" w:rsidRPr="00A17A00">
        <w:t xml:space="preserve"> het over een lesbisch koppel</w:t>
      </w:r>
      <w:r w:rsidRPr="00A17A00">
        <w:t xml:space="preserve"> dat met behulp va</w:t>
      </w:r>
      <w:r w:rsidR="00E33E9D" w:rsidRPr="00A17A00">
        <w:t>n een bekende donor een kind heeft</w:t>
      </w:r>
      <w:r w:rsidR="002B16E8" w:rsidRPr="00A17A00">
        <w:t xml:space="preserve"> gekregen. Tussen het lesbisch</w:t>
      </w:r>
      <w:r w:rsidRPr="00A17A00">
        <w:t xml:space="preserve"> koppel en de donor is afgesproken dat de donor</w:t>
      </w:r>
      <w:r w:rsidR="002B16E8" w:rsidRPr="00A17A00">
        <w:t>, biologische vader, een rol zal</w:t>
      </w:r>
      <w:r w:rsidRPr="00A17A00">
        <w:t xml:space="preserve"> spelen in het leven van het kind. </w:t>
      </w:r>
      <w:r w:rsidR="00A17A00">
        <w:t xml:space="preserve">De donor en de vrouw die van het kind bevallen is, zijn de juridische ouders van het kind. </w:t>
      </w:r>
      <w:r w:rsidR="000334BB" w:rsidRPr="00A17A00">
        <w:t>De</w:t>
      </w:r>
      <w:r w:rsidRPr="00A17A00">
        <w:t xml:space="preserve"> vrouwelijke partner van de biologische moeder</w:t>
      </w:r>
      <w:r w:rsidR="001D0824" w:rsidRPr="00A17A00">
        <w:t xml:space="preserve"> wil</w:t>
      </w:r>
      <w:r w:rsidRPr="00A17A00">
        <w:t xml:space="preserve"> juridisch ouder worden, naast de biologische vader en</w:t>
      </w:r>
      <w:r w:rsidR="002B16E8" w:rsidRPr="00A17A00">
        <w:t xml:space="preserve"> de</w:t>
      </w:r>
      <w:r w:rsidRPr="00A17A00">
        <w:t xml:space="preserve"> moeder.</w:t>
      </w:r>
      <w:r w:rsidR="002B16E8" w:rsidRPr="00A17A00">
        <w:rPr>
          <w:rStyle w:val="FootnoteReference"/>
        </w:rPr>
        <w:t xml:space="preserve"> </w:t>
      </w:r>
      <w:r w:rsidR="002B16E8" w:rsidRPr="00A17A00">
        <w:rPr>
          <w:rStyle w:val="FootnoteReference"/>
        </w:rPr>
        <w:footnoteReference w:id="282"/>
      </w:r>
      <w:r w:rsidRPr="00A17A00">
        <w:t xml:space="preserve"> De vrouwelijke partner wil juridisch ouder worden om zo alle rechten en v</w:t>
      </w:r>
      <w:r w:rsidR="002B16E8" w:rsidRPr="00A17A00">
        <w:t xml:space="preserve">erplichtingen </w:t>
      </w:r>
      <w:r w:rsidR="0063661E">
        <w:t xml:space="preserve">te krijgen </w:t>
      </w:r>
      <w:r w:rsidR="002B16E8" w:rsidRPr="00A17A00">
        <w:t>die to</w:t>
      </w:r>
      <w:r w:rsidR="0063661E">
        <w:t>ekomen aan een juridische ouder</w:t>
      </w:r>
      <w:r w:rsidRPr="00A17A00">
        <w:t>.</w:t>
      </w:r>
      <w:r w:rsidR="005E5152" w:rsidRPr="00A17A00">
        <w:rPr>
          <w:rStyle w:val="FootnoteReference"/>
        </w:rPr>
        <w:footnoteReference w:id="283"/>
      </w:r>
      <w:r w:rsidRPr="00A17A00">
        <w:t xml:space="preserve"> De Ontaria Court of Appeal oordeelt dat t</w:t>
      </w:r>
      <w:r w:rsidR="000334BB" w:rsidRPr="00A17A00">
        <w:t xml:space="preserve">echnologische vooruitgang en </w:t>
      </w:r>
      <w:r w:rsidRPr="00A17A00">
        <w:t xml:space="preserve">alternatieven gezinsvormen </w:t>
      </w:r>
      <w:r w:rsidRPr="00A17A00">
        <w:lastRenderedPageBreak/>
        <w:t>resulteren in een onaangepaste wetgeving.</w:t>
      </w:r>
      <w:r w:rsidR="005E5152" w:rsidRPr="00A17A00">
        <w:rPr>
          <w:rStyle w:val="FootnoteReference"/>
        </w:rPr>
        <w:footnoteReference w:id="284"/>
      </w:r>
      <w:r w:rsidRPr="00A17A00">
        <w:t xml:space="preserve"> Dit gebrek kon ten tijde van het opstellen van de wetgeving niet voorzien worden.</w:t>
      </w:r>
      <w:r w:rsidR="005E5152" w:rsidRPr="00A17A00">
        <w:rPr>
          <w:rStyle w:val="FootnoteReference"/>
        </w:rPr>
        <w:footnoteReference w:id="285"/>
      </w:r>
      <w:r w:rsidRPr="00A17A00">
        <w:t xml:space="preserve"> De Court of Appeal beslist dat een kind drie juridische ouders kan hebben. Het zou strijdig zijn met de belangen van het kind indien men weigert</w:t>
      </w:r>
      <w:r w:rsidR="003743B0" w:rsidRPr="00A17A00">
        <w:t xml:space="preserve"> het juridisch ouderschap van éé</w:t>
      </w:r>
      <w:r w:rsidRPr="00A17A00">
        <w:t>n van zijn moeders vast te stellen.</w:t>
      </w:r>
      <w:r w:rsidR="005E5152" w:rsidRPr="00A17A00">
        <w:rPr>
          <w:rStyle w:val="FootnoteReference"/>
        </w:rPr>
        <w:footnoteReference w:id="286"/>
      </w:r>
      <w:r w:rsidRPr="00A17A00">
        <w:t xml:space="preserve"> </w:t>
      </w:r>
      <w:r w:rsidR="000334BB" w:rsidRPr="00A17A00">
        <w:t>In dit arrest is geen onderliggen</w:t>
      </w:r>
      <w:r w:rsidR="001631E4" w:rsidRPr="00A17A00">
        <w:t>d</w:t>
      </w:r>
      <w:r w:rsidRPr="00A17A00">
        <w:t xml:space="preserve"> conflict tussen de drie partijen. Ze zijn allemaal voorstander om de sociale ouder als juridisch</w:t>
      </w:r>
      <w:r w:rsidR="003743B0" w:rsidRPr="00A17A00">
        <w:t>e</w:t>
      </w:r>
      <w:r w:rsidRPr="00A17A00">
        <w:t xml:space="preserve"> ouder te erkennen.</w:t>
      </w:r>
      <w:r w:rsidRPr="00A17A00">
        <w:rPr>
          <w:rStyle w:val="FootnoteReference"/>
        </w:rPr>
        <w:footnoteReference w:id="287"/>
      </w:r>
      <w:r w:rsidRPr="00A17A00">
        <w:t xml:space="preserve"> </w:t>
      </w:r>
    </w:p>
    <w:p w:rsidR="000C0BD2" w:rsidRDefault="00031FC9" w:rsidP="00746471">
      <w:pPr>
        <w:pStyle w:val="Heading6"/>
        <w:spacing w:line="360" w:lineRule="auto"/>
        <w:jc w:val="both"/>
      </w:pPr>
      <w:bookmarkStart w:id="71" w:name="_Toc449936755"/>
      <w:r>
        <w:t>2</w:t>
      </w:r>
      <w:r w:rsidR="00607E01">
        <w:t>.</w:t>
      </w:r>
      <w:r w:rsidR="0061211C">
        <w:t xml:space="preserve">Totstandkoming </w:t>
      </w:r>
      <w:r w:rsidR="000C0BD2">
        <w:t>Family Law Act</w:t>
      </w:r>
      <w:bookmarkEnd w:id="71"/>
    </w:p>
    <w:p w:rsidR="000C0BD2" w:rsidRPr="00A17A00" w:rsidRDefault="00E87D3E" w:rsidP="00B05740">
      <w:pPr>
        <w:pStyle w:val="Randnummer"/>
        <w:spacing w:line="360" w:lineRule="auto"/>
        <w:ind w:left="0" w:firstLine="0"/>
      </w:pPr>
      <w:r w:rsidRPr="00A17A00">
        <w:rPr>
          <w:b/>
          <w:bCs/>
        </w:rPr>
        <w:fldChar w:fldCharType="begin"/>
      </w:r>
      <w:r w:rsidR="00B05740" w:rsidRPr="00A17A00">
        <w:rPr>
          <w:b/>
          <w:bCs/>
        </w:rPr>
        <w:instrText xml:space="preserve"> AUTONUMLGL  </w:instrText>
      </w:r>
      <w:r w:rsidRPr="00A17A00">
        <w:rPr>
          <w:b/>
          <w:bCs/>
        </w:rPr>
        <w:fldChar w:fldCharType="end"/>
      </w:r>
      <w:r w:rsidR="00B05740" w:rsidRPr="00A17A00">
        <w:rPr>
          <w:b/>
          <w:bCs/>
        </w:rPr>
        <w:t xml:space="preserve"> </w:t>
      </w:r>
      <w:r w:rsidR="0061211C" w:rsidRPr="00A17A00">
        <w:t>De Family Law Act is een gevolg van een herzie</w:t>
      </w:r>
      <w:r w:rsidR="001631E4" w:rsidRPr="00A17A00">
        <w:t>ning van het familierecht in de</w:t>
      </w:r>
      <w:r w:rsidR="000C0BD2" w:rsidRPr="00A17A00">
        <w:t xml:space="preserve"> p</w:t>
      </w:r>
      <w:r w:rsidR="0061211C" w:rsidRPr="00A17A00">
        <w:t>rovincie British Columbia.</w:t>
      </w:r>
      <w:r w:rsidR="000C0BD2" w:rsidRPr="00A17A00">
        <w:rPr>
          <w:rStyle w:val="FootnoteReference"/>
        </w:rPr>
        <w:footnoteReference w:id="288"/>
      </w:r>
      <w:r w:rsidR="000C0BD2" w:rsidRPr="00A17A00">
        <w:t xml:space="preserve"> </w:t>
      </w:r>
      <w:r w:rsidR="002B16E8" w:rsidRPr="00A17A00">
        <w:t>Het doel van de hervorming</w:t>
      </w:r>
      <w:r w:rsidR="000C0BD2" w:rsidRPr="00A17A00">
        <w:t xml:space="preserve"> was het tot stand brengen van een regeling voor het bepalen van het juridisch ouderschap op een manier die het belang van het kind beschermt en stabiele familiale betrekkingen promoot.</w:t>
      </w:r>
      <w:r w:rsidR="000C0BD2" w:rsidRPr="00A17A00">
        <w:rPr>
          <w:rStyle w:val="FootnoteReference"/>
        </w:rPr>
        <w:footnoteReference w:id="289"/>
      </w:r>
    </w:p>
    <w:p w:rsidR="000C0BD2" w:rsidRPr="00A17A00" w:rsidRDefault="00E87D3E" w:rsidP="00B05740">
      <w:pPr>
        <w:pStyle w:val="Randnummer"/>
        <w:spacing w:line="360" w:lineRule="auto"/>
        <w:ind w:left="0" w:firstLine="0"/>
      </w:pPr>
      <w:r w:rsidRPr="00A17A00">
        <w:rPr>
          <w:b/>
          <w:bCs/>
        </w:rPr>
        <w:fldChar w:fldCharType="begin"/>
      </w:r>
      <w:r w:rsidR="00B05740" w:rsidRPr="00A17A00">
        <w:rPr>
          <w:b/>
          <w:bCs/>
        </w:rPr>
        <w:instrText xml:space="preserve"> AUTONUMLGL  </w:instrText>
      </w:r>
      <w:r w:rsidRPr="00A17A00">
        <w:rPr>
          <w:b/>
          <w:bCs/>
        </w:rPr>
        <w:fldChar w:fldCharType="end"/>
      </w:r>
      <w:r w:rsidR="00B05740" w:rsidRPr="00A17A00">
        <w:rPr>
          <w:b/>
          <w:bCs/>
        </w:rPr>
        <w:t xml:space="preserve"> </w:t>
      </w:r>
      <w:r w:rsidR="000C0BD2" w:rsidRPr="00A17A00">
        <w:t>De Family Law Act is in 2013 in werking getreden en regelt meerouderschap en meeroudergezag.</w:t>
      </w:r>
      <w:r w:rsidR="000C0BD2" w:rsidRPr="00A17A00">
        <w:rPr>
          <w:rStyle w:val="FootnoteReference"/>
        </w:rPr>
        <w:footnoteReference w:id="290"/>
      </w:r>
      <w:r w:rsidR="000C0BD2" w:rsidRPr="00A17A00">
        <w:t xml:space="preserve"> Sinds de inwerkingtreding van de Family Law Act is het aantal juridische ouders niet meer beperkt tot maximaal twee personen. </w:t>
      </w:r>
    </w:p>
    <w:p w:rsidR="000C0BD2" w:rsidRDefault="00031FC9" w:rsidP="00746471">
      <w:pPr>
        <w:pStyle w:val="Heading5"/>
        <w:spacing w:line="360" w:lineRule="auto"/>
        <w:jc w:val="both"/>
      </w:pPr>
      <w:bookmarkStart w:id="72" w:name="_Toc449936756"/>
      <w:r>
        <w:t>C</w:t>
      </w:r>
      <w:r w:rsidR="00607E01">
        <w:t xml:space="preserve">. </w:t>
      </w:r>
      <w:r w:rsidR="000C0BD2">
        <w:t>Meerouderschap v</w:t>
      </w:r>
      <w:r w:rsidR="00106D6E">
        <w:t xml:space="preserve">olgens </w:t>
      </w:r>
      <w:r w:rsidR="000C0BD2">
        <w:t>Family Law Act</w:t>
      </w:r>
      <w:bookmarkEnd w:id="72"/>
    </w:p>
    <w:p w:rsidR="0063661E" w:rsidRPr="0063661E" w:rsidRDefault="00031FC9" w:rsidP="00746471">
      <w:pPr>
        <w:pStyle w:val="Heading6"/>
        <w:spacing w:line="360" w:lineRule="auto"/>
        <w:jc w:val="both"/>
      </w:pPr>
      <w:bookmarkStart w:id="73" w:name="_Toc449936757"/>
      <w:r>
        <w:t>1</w:t>
      </w:r>
      <w:r w:rsidR="003743B0">
        <w:t xml:space="preserve">. </w:t>
      </w:r>
      <w:r w:rsidR="000C0BD2">
        <w:t>Juridische ouders</w:t>
      </w:r>
      <w:bookmarkEnd w:id="73"/>
    </w:p>
    <w:p w:rsidR="0063661E" w:rsidRDefault="00E87D3E" w:rsidP="0063661E">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0C0BD2" w:rsidRPr="003F4866">
        <w:t>De Family Law Act voorziet aparte bepalingen voor het juridisch ouderschap na geslachtsgemeenschap en het juridisch ouderschap na kunstmatige voortplanting.</w:t>
      </w:r>
    </w:p>
    <w:p w:rsidR="0063661E" w:rsidRPr="003F4866" w:rsidRDefault="0063661E" w:rsidP="001D7263">
      <w:pPr>
        <w:pStyle w:val="Heading8"/>
        <w:spacing w:line="360" w:lineRule="auto"/>
        <w:jc w:val="both"/>
      </w:pPr>
      <w:bookmarkStart w:id="74" w:name="_Toc449936758"/>
      <w:r>
        <w:lastRenderedPageBreak/>
        <w:t>i. Juridisch ouderschap na geslachtsgemeenschap</w:t>
      </w:r>
      <w:bookmarkEnd w:id="74"/>
    </w:p>
    <w:p w:rsidR="00184653" w:rsidRDefault="00E87D3E" w:rsidP="003F4866">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374693" w:rsidRPr="003F4866">
        <w:t>Indien het</w:t>
      </w:r>
      <w:r w:rsidR="000C0BD2" w:rsidRPr="003F4866">
        <w:t xml:space="preserve"> kind verwekt </w:t>
      </w:r>
      <w:r w:rsidR="00374693" w:rsidRPr="003F4866">
        <w:t>is via</w:t>
      </w:r>
      <w:r w:rsidR="000C0BD2" w:rsidRPr="003F4866">
        <w:t xml:space="preserve"> geslachtsgemeenschap, </w:t>
      </w:r>
      <w:r w:rsidR="00374693" w:rsidRPr="003F4866">
        <w:t xml:space="preserve">is de </w:t>
      </w:r>
      <w:r w:rsidR="000C0BD2" w:rsidRPr="003F4866">
        <w:t>geboortemoeder</w:t>
      </w:r>
      <w:r w:rsidR="00D306BD" w:rsidRPr="003F4866">
        <w:t xml:space="preserve"> </w:t>
      </w:r>
      <w:r w:rsidR="00374693" w:rsidRPr="003F4866">
        <w:t>van rechtswege</w:t>
      </w:r>
      <w:r w:rsidR="00076268" w:rsidRPr="003F4866">
        <w:t xml:space="preserve"> juridisch</w:t>
      </w:r>
      <w:r w:rsidR="00784A3A" w:rsidRPr="003F4866">
        <w:t>e</w:t>
      </w:r>
      <w:r w:rsidR="00374693" w:rsidRPr="003F4866">
        <w:t xml:space="preserve"> ouder</w:t>
      </w:r>
      <w:r w:rsidR="000C0BD2" w:rsidRPr="003F4866">
        <w:t>.</w:t>
      </w:r>
      <w:r w:rsidR="000C0BD2" w:rsidRPr="003F4866">
        <w:rPr>
          <w:rStyle w:val="FootnoteReference"/>
        </w:rPr>
        <w:footnoteReference w:id="291"/>
      </w:r>
      <w:r w:rsidR="00374693" w:rsidRPr="003F4866">
        <w:t xml:space="preserve"> </w:t>
      </w:r>
      <w:r w:rsidR="002B16E8" w:rsidRPr="003F4866">
        <w:t xml:space="preserve">De geboortemoeder is de vrouw die van het kind bevalt, </w:t>
      </w:r>
      <w:r w:rsidR="00A25108" w:rsidRPr="003F4866">
        <w:t>ongeacht of haar eigen</w:t>
      </w:r>
      <w:r w:rsidR="00CC387A">
        <w:t xml:space="preserve"> </w:t>
      </w:r>
      <w:r w:rsidR="00A25108" w:rsidRPr="003F4866">
        <w:t>reproductief materiaal</w:t>
      </w:r>
      <w:r w:rsidR="00544CAD">
        <w:t xml:space="preserve"> dan wel het reproductief materiaal van iemand anders,</w:t>
      </w:r>
      <w:r w:rsidR="00D306BD" w:rsidRPr="003F4866">
        <w:t xml:space="preserve"> gebruikt</w:t>
      </w:r>
      <w:r w:rsidR="00544CAD">
        <w:t xml:space="preserve"> is</w:t>
      </w:r>
      <w:r w:rsidR="00D306BD" w:rsidRPr="003F4866">
        <w:t xml:space="preserve"> in de bevruchting van het kind.</w:t>
      </w:r>
      <w:r w:rsidR="00D306BD" w:rsidRPr="003F4866">
        <w:rPr>
          <w:rStyle w:val="FootnoteReference"/>
        </w:rPr>
        <w:footnoteReference w:id="292"/>
      </w:r>
      <w:r w:rsidR="00D306BD" w:rsidRPr="003F4866">
        <w:t xml:space="preserve"> </w:t>
      </w:r>
      <w:r w:rsidR="00374693" w:rsidRPr="003F4866">
        <w:t>De biologische vader is de juridische vader.</w:t>
      </w:r>
      <w:r w:rsidR="00374693" w:rsidRPr="003F4866">
        <w:rPr>
          <w:rStyle w:val="FootnoteReference"/>
        </w:rPr>
        <w:footnoteReference w:id="293"/>
      </w:r>
      <w:r w:rsidR="000C0BD2" w:rsidRPr="003F4866">
        <w:t xml:space="preserve"> </w:t>
      </w:r>
      <w:r w:rsidR="00D306BD" w:rsidRPr="003F4866">
        <w:t>In een aantal ge</w:t>
      </w:r>
      <w:r w:rsidR="00374693" w:rsidRPr="003F4866">
        <w:t xml:space="preserve">vallen </w:t>
      </w:r>
      <w:r w:rsidR="00184653" w:rsidRPr="003F4866">
        <w:t xml:space="preserve">wordt </w:t>
      </w:r>
      <w:r w:rsidR="00590A60">
        <w:t xml:space="preserve">vermoed dat </w:t>
      </w:r>
      <w:r w:rsidR="00184653" w:rsidRPr="003F4866">
        <w:t xml:space="preserve">de </w:t>
      </w:r>
      <w:r w:rsidR="00590A60">
        <w:t xml:space="preserve">man </w:t>
      </w:r>
      <w:r w:rsidR="00184653" w:rsidRPr="003F4866">
        <w:t xml:space="preserve">de </w:t>
      </w:r>
      <w:r w:rsidR="00374693" w:rsidRPr="003F4866">
        <w:t>biologische vader</w:t>
      </w:r>
      <w:r w:rsidR="00184653" w:rsidRPr="003F4866">
        <w:t xml:space="preserve"> van het kind</w:t>
      </w:r>
      <w:r w:rsidR="00374693" w:rsidRPr="003F4866">
        <w:t xml:space="preserve"> </w:t>
      </w:r>
      <w:r w:rsidR="00590A60">
        <w:t>is</w:t>
      </w:r>
      <w:r w:rsidR="000A6092" w:rsidRPr="003F4866">
        <w:t>, tenzij het tegendeel bewezen is</w:t>
      </w:r>
      <w:r w:rsidR="00374693" w:rsidRPr="003F4866">
        <w:t>.</w:t>
      </w:r>
      <w:r w:rsidR="00374693" w:rsidRPr="003F4866">
        <w:rPr>
          <w:rStyle w:val="FootnoteReference"/>
        </w:rPr>
        <w:footnoteReference w:id="294"/>
      </w:r>
      <w:r w:rsidR="00376C1C" w:rsidRPr="003F4866">
        <w:t xml:space="preserve"> Dit is onder ande</w:t>
      </w:r>
      <w:r w:rsidR="00374693" w:rsidRPr="003F4866">
        <w:t>r</w:t>
      </w:r>
      <w:r w:rsidR="00376C1C" w:rsidRPr="003F4866">
        <w:t>e</w:t>
      </w:r>
      <w:r w:rsidR="00374693" w:rsidRPr="003F4866">
        <w:t xml:space="preserve"> het geval indien de </w:t>
      </w:r>
      <w:r w:rsidR="005B2A12" w:rsidRPr="003F4866">
        <w:t>man getrouwd is met de geboorte</w:t>
      </w:r>
      <w:r w:rsidR="00374693" w:rsidRPr="003F4866">
        <w:t>moeder op het moment dat het kind wordt geboren of indien de man en de moeder erkennen dat hij de vader is en zijn naam op het geboortecertificaat hebben gezet.</w:t>
      </w:r>
      <w:r w:rsidR="00374693" w:rsidRPr="003F4866">
        <w:rPr>
          <w:rStyle w:val="FootnoteReference"/>
        </w:rPr>
        <w:footnoteReference w:id="295"/>
      </w:r>
      <w:r w:rsidR="00374693" w:rsidRPr="003F4866">
        <w:t xml:space="preserve"> </w:t>
      </w:r>
    </w:p>
    <w:p w:rsidR="0063661E" w:rsidRPr="003F4866" w:rsidRDefault="0063661E" w:rsidP="001D7263">
      <w:pPr>
        <w:pStyle w:val="Heading8"/>
        <w:spacing w:line="360" w:lineRule="auto"/>
        <w:jc w:val="both"/>
      </w:pPr>
      <w:bookmarkStart w:id="75" w:name="_Toc449936759"/>
      <w:r>
        <w:t>ii. Juridisch ouderschap na kunstmatige voortplanting</w:t>
      </w:r>
      <w:bookmarkEnd w:id="75"/>
    </w:p>
    <w:p w:rsidR="00B05740" w:rsidRPr="003F4866" w:rsidRDefault="00E87D3E" w:rsidP="003F4866">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0C0BD2" w:rsidRPr="003F4866">
        <w:t>Indien het kind verwekt is door</w:t>
      </w:r>
      <w:r w:rsidR="00D306BD" w:rsidRPr="003F4866">
        <w:t xml:space="preserve"> middel van</w:t>
      </w:r>
      <w:r w:rsidR="000C0BD2" w:rsidRPr="003F4866">
        <w:t xml:space="preserve"> kunstmatige voortplanting, </w:t>
      </w:r>
      <w:r w:rsidR="00184653" w:rsidRPr="003F4866">
        <w:t>worden twee situaties bestudeerd:</w:t>
      </w:r>
    </w:p>
    <w:p w:rsidR="00184653" w:rsidRPr="003F4866" w:rsidRDefault="00184653" w:rsidP="003F4866">
      <w:pPr>
        <w:pStyle w:val="Randnummer"/>
        <w:spacing w:line="360" w:lineRule="auto"/>
        <w:ind w:left="0" w:firstLine="0"/>
      </w:pPr>
      <w:r w:rsidRPr="003F4866">
        <w:t>- Een draagmoeder draagt een kind voor de wensouders</w:t>
      </w:r>
      <w:r w:rsidRPr="003F4866">
        <w:rPr>
          <w:rStyle w:val="FootnoteReference"/>
        </w:rPr>
        <w:footnoteReference w:id="296"/>
      </w:r>
      <w:r w:rsidRPr="003F4866">
        <w:t>. Na de geboorte wordt het kind overgedragen</w:t>
      </w:r>
      <w:r w:rsidR="0030541C" w:rsidRPr="003F4866">
        <w:t xml:space="preserve"> aan de wensouders en worden de wensouders</w:t>
      </w:r>
      <w:r w:rsidRPr="003F4866">
        <w:t xml:space="preserve"> de juridische ouders van het kind. De regeling voor het juridisch ouderschap na draagmoederschap is t</w:t>
      </w:r>
      <w:r w:rsidR="003743B0" w:rsidRPr="003F4866">
        <w:t>erug te vinden in sectie 29 FLA;</w:t>
      </w:r>
    </w:p>
    <w:p w:rsidR="00184653" w:rsidRPr="003F4866" w:rsidRDefault="0030541C" w:rsidP="003F4866">
      <w:pPr>
        <w:pStyle w:val="Randnummer"/>
        <w:spacing w:line="360" w:lineRule="auto"/>
        <w:ind w:left="0" w:firstLine="0"/>
      </w:pPr>
      <w:r w:rsidRPr="003F4866">
        <w:t>- e</w:t>
      </w:r>
      <w:r w:rsidR="000C0BD2" w:rsidRPr="003F4866">
        <w:t>en vrouw draagt zelf het kind dat verwekt is door middel van een donor.</w:t>
      </w:r>
      <w:r w:rsidR="005B2A12" w:rsidRPr="003F4866">
        <w:t xml:space="preserve"> Het kan gaan om zowel een eicel</w:t>
      </w:r>
      <w:r w:rsidRPr="003F4866">
        <w:t>donor</w:t>
      </w:r>
      <w:r w:rsidR="005B2A12" w:rsidRPr="003F4866">
        <w:t xml:space="preserve"> als een zaadcel</w:t>
      </w:r>
      <w:r w:rsidRPr="003F4866">
        <w:t>donor</w:t>
      </w:r>
      <w:r w:rsidR="005B2A12" w:rsidRPr="003F4866">
        <w:t>.</w:t>
      </w:r>
      <w:r w:rsidR="005B2A12" w:rsidRPr="003F4866">
        <w:rPr>
          <w:rStyle w:val="FootnoteReference"/>
        </w:rPr>
        <w:footnoteReference w:id="297"/>
      </w:r>
      <w:r w:rsidR="000C0BD2" w:rsidRPr="003F4866">
        <w:t xml:space="preserve"> De geboortemoeder</w:t>
      </w:r>
      <w:r w:rsidR="00047A96" w:rsidRPr="003F4866">
        <w:t xml:space="preserve"> </w:t>
      </w:r>
      <w:r w:rsidR="000C0BD2" w:rsidRPr="003F4866">
        <w:t>is juridisch ouder. De partner van de geboortemoeder is juridisch</w:t>
      </w:r>
      <w:r w:rsidR="00784A3A" w:rsidRPr="003F4866">
        <w:t>e</w:t>
      </w:r>
      <w:r w:rsidR="000C0BD2" w:rsidRPr="003F4866">
        <w:t xml:space="preserve"> ouder</w:t>
      </w:r>
      <w:r w:rsidR="00ED2934">
        <w:t xml:space="preserve"> van het kind</w:t>
      </w:r>
      <w:r w:rsidR="000C0BD2" w:rsidRPr="003F4866">
        <w:t xml:space="preserve"> als </w:t>
      </w:r>
      <w:r w:rsidR="00184653" w:rsidRPr="003F4866">
        <w:t xml:space="preserve">hij of </w:t>
      </w:r>
      <w:r w:rsidR="000C0BD2" w:rsidRPr="003F4866">
        <w:t>zij voor de conceptie van het kind heeft ingestemd met het juridisch ouderschap</w:t>
      </w:r>
      <w:r w:rsidR="00184653" w:rsidRPr="003F4866">
        <w:t xml:space="preserve"> en deze instemming niet heeft ingetrokken</w:t>
      </w:r>
      <w:r w:rsidR="000C0BD2" w:rsidRPr="003F4866">
        <w:t>.</w:t>
      </w:r>
      <w:r w:rsidR="000C0BD2" w:rsidRPr="003F4866">
        <w:rPr>
          <w:rStyle w:val="FootnoteReference"/>
        </w:rPr>
        <w:footnoteReference w:id="298"/>
      </w:r>
    </w:p>
    <w:p w:rsidR="00770D5D" w:rsidRPr="003F4866" w:rsidRDefault="00031FC9" w:rsidP="001D7263">
      <w:pPr>
        <w:pStyle w:val="Heading6"/>
        <w:spacing w:line="360" w:lineRule="auto"/>
        <w:jc w:val="both"/>
      </w:pPr>
      <w:bookmarkStart w:id="78" w:name="_Toc449936760"/>
      <w:r w:rsidRPr="003F4866">
        <w:lastRenderedPageBreak/>
        <w:t>2</w:t>
      </w:r>
      <w:r w:rsidR="00770D5D" w:rsidRPr="003F4866">
        <w:t>. Mogelijkheid van meerouderschap</w:t>
      </w:r>
      <w:bookmarkEnd w:id="78"/>
    </w:p>
    <w:p w:rsidR="00B05740" w:rsidRPr="003F4866" w:rsidRDefault="00E87D3E" w:rsidP="003F4866">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0C0BD2" w:rsidRPr="003F4866">
        <w:t xml:space="preserve">Ingeval van kunstmatige voortplanting </w:t>
      </w:r>
      <w:r w:rsidR="003F29F5" w:rsidRPr="003F4866">
        <w:t xml:space="preserve">heeft een kind </w:t>
      </w:r>
      <w:r w:rsidR="00184653" w:rsidRPr="003F4866">
        <w:t>dus twee juridische ouders, ofwel de wensouders (situatie 1), o</w:t>
      </w:r>
      <w:r w:rsidR="000C0BD2" w:rsidRPr="003F4866">
        <w:t>fwel de geboortemo</w:t>
      </w:r>
      <w:r w:rsidR="00184653" w:rsidRPr="003F4866">
        <w:t>eder en haar partner (situatie 2</w:t>
      </w:r>
      <w:r w:rsidR="000C0BD2" w:rsidRPr="003F4866">
        <w:t>)</w:t>
      </w:r>
      <w:r w:rsidR="003743B0" w:rsidRPr="003F4866">
        <w:t>.</w:t>
      </w:r>
      <w:r w:rsidR="00184653" w:rsidRPr="003F4866">
        <w:t xml:space="preserve"> </w:t>
      </w:r>
      <w:r w:rsidR="000C0BD2" w:rsidRPr="003F4866">
        <w:t xml:space="preserve">De Family Law Act </w:t>
      </w:r>
      <w:r w:rsidR="0030541C" w:rsidRPr="003F4866">
        <w:t xml:space="preserve">voorziet in deze twee </w:t>
      </w:r>
      <w:r w:rsidR="003F4866" w:rsidRPr="003F4866">
        <w:t>situaties</w:t>
      </w:r>
      <w:r w:rsidR="000C0BD2" w:rsidRPr="003F4866">
        <w:t xml:space="preserve"> de mogelijkheid van meerouderschap:</w:t>
      </w:r>
    </w:p>
    <w:p w:rsidR="00184653" w:rsidRPr="003F4866" w:rsidRDefault="00184653" w:rsidP="003F4866">
      <w:pPr>
        <w:pStyle w:val="Randnummer"/>
        <w:spacing w:line="360" w:lineRule="auto"/>
        <w:ind w:left="0" w:firstLine="0"/>
      </w:pPr>
      <w:r w:rsidRPr="003F4866">
        <w:t>- Indien de wensouders een kind verwekken met behulp van een geboortemoeder (dr</w:t>
      </w:r>
      <w:r w:rsidR="003F29F5" w:rsidRPr="003F4866">
        <w:t xml:space="preserve">aagmoeder) kunnen </w:t>
      </w:r>
      <w:r w:rsidRPr="003F4866">
        <w:t>de wenso</w:t>
      </w:r>
      <w:r w:rsidR="007F0885">
        <w:t>uders en</w:t>
      </w:r>
      <w:r w:rsidR="003F29F5" w:rsidRPr="003F4866">
        <w:t xml:space="preserve"> de geboortemoeder samen</w:t>
      </w:r>
      <w:r w:rsidR="0030541C" w:rsidRPr="003F4866">
        <w:t xml:space="preserve"> </w:t>
      </w:r>
      <w:r w:rsidRPr="003F4866">
        <w:t>juridisch</w:t>
      </w:r>
      <w:r w:rsidR="007F0885">
        <w:t xml:space="preserve"> </w:t>
      </w:r>
      <w:r w:rsidRPr="003F4866">
        <w:t>ouder</w:t>
      </w:r>
      <w:r w:rsidR="003F29F5" w:rsidRPr="003F4866">
        <w:t xml:space="preserve"> zijn</w:t>
      </w:r>
      <w:r w:rsidRPr="003F4866">
        <w:t>.</w:t>
      </w:r>
      <w:r w:rsidRPr="003F4866">
        <w:rPr>
          <w:rStyle w:val="FootnoteReference"/>
        </w:rPr>
        <w:footnoteReference w:id="299"/>
      </w:r>
      <w:r w:rsidR="003F29F5" w:rsidRPr="003F4866">
        <w:t xml:space="preserve"> Het is</w:t>
      </w:r>
      <w:r w:rsidRPr="003F4866">
        <w:t xml:space="preserve"> mogelijk voor de draagmoeder om juridisch ouder </w:t>
      </w:r>
      <w:r w:rsidR="003743B0" w:rsidRPr="003F4866">
        <w:t>te zijn samen met de wensouders;</w:t>
      </w:r>
    </w:p>
    <w:p w:rsidR="000C0BD2" w:rsidRPr="003F4866" w:rsidRDefault="003F4866" w:rsidP="003F4866">
      <w:pPr>
        <w:pStyle w:val="Randnummer"/>
        <w:spacing w:line="360" w:lineRule="auto"/>
        <w:ind w:left="0" w:firstLine="0"/>
      </w:pPr>
      <w:r>
        <w:t>- i</w:t>
      </w:r>
      <w:r w:rsidR="000C0BD2" w:rsidRPr="003F4866">
        <w:t>ndien een geboortemoeder en haar partner een kind verwekken met behulp van een donor</w:t>
      </w:r>
      <w:r w:rsidR="003F29F5" w:rsidRPr="003F4866">
        <w:t xml:space="preserve"> kunnen </w:t>
      </w:r>
      <w:r w:rsidR="000C0BD2" w:rsidRPr="003F4866">
        <w:t xml:space="preserve">de geboortemoeder, de partner van de </w:t>
      </w:r>
      <w:r w:rsidR="0030541C" w:rsidRPr="003F4866">
        <w:t xml:space="preserve">geboortemoeder en de donor samen de </w:t>
      </w:r>
      <w:r w:rsidR="000C0BD2" w:rsidRPr="003F4866">
        <w:t>juridisch</w:t>
      </w:r>
      <w:r w:rsidR="0030541C" w:rsidRPr="003F4866">
        <w:t>e</w:t>
      </w:r>
      <w:r w:rsidR="000C0BD2" w:rsidRPr="003F4866">
        <w:t xml:space="preserve"> ouder</w:t>
      </w:r>
      <w:r w:rsidR="0030541C" w:rsidRPr="003F4866">
        <w:t xml:space="preserve"> zijn</w:t>
      </w:r>
      <w:r w:rsidR="000C0BD2" w:rsidRPr="003F4866">
        <w:t>.</w:t>
      </w:r>
      <w:r w:rsidR="000C0BD2" w:rsidRPr="003F4866">
        <w:rPr>
          <w:rStyle w:val="FootnoteReference"/>
        </w:rPr>
        <w:footnoteReference w:id="300"/>
      </w:r>
      <w:r w:rsidR="000C0BD2" w:rsidRPr="003F4866">
        <w:t xml:space="preserve"> </w:t>
      </w:r>
      <w:r w:rsidR="003F29F5" w:rsidRPr="003F4866">
        <w:t>Het is</w:t>
      </w:r>
      <w:r w:rsidR="000C0BD2" w:rsidRPr="003F4866">
        <w:t xml:space="preserve"> mogelijk voor de donor om juridisch ouder te zijn samen met de </w:t>
      </w:r>
      <w:r w:rsidR="00184653" w:rsidRPr="003F4866">
        <w:t>geboortemoeder en haar partner.</w:t>
      </w:r>
    </w:p>
    <w:p w:rsidR="003F29F5" w:rsidRPr="003F4866" w:rsidRDefault="00E87D3E" w:rsidP="003F4866">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30541C" w:rsidRPr="003F4866">
        <w:t xml:space="preserve">In beide </w:t>
      </w:r>
      <w:r w:rsidR="003F4866" w:rsidRPr="003F4866">
        <w:t>situaties</w:t>
      </w:r>
      <w:r w:rsidR="000C0BD2" w:rsidRPr="003F4866">
        <w:t xml:space="preserve"> is een pre-conceptuel</w:t>
      </w:r>
      <w:r w:rsidR="006931DD" w:rsidRPr="003F4866">
        <w:t>e</w:t>
      </w:r>
      <w:r w:rsidR="003F29F5" w:rsidRPr="003F4866">
        <w:t>,</w:t>
      </w:r>
      <w:r w:rsidR="006931DD" w:rsidRPr="003F4866">
        <w:t xml:space="preserve"> schriftelijke overeenkomst </w:t>
      </w:r>
      <w:r w:rsidR="000C0BD2" w:rsidRPr="003F4866">
        <w:t>tussen de toekomstige juridische ouders</w:t>
      </w:r>
      <w:r w:rsidR="006931DD" w:rsidRPr="003F4866">
        <w:t xml:space="preserve"> vereist</w:t>
      </w:r>
      <w:r w:rsidR="000C0BD2" w:rsidRPr="003F4866">
        <w:t>.</w:t>
      </w:r>
      <w:r w:rsidR="000C0BD2" w:rsidRPr="003F4866">
        <w:rPr>
          <w:rStyle w:val="FootnoteReference"/>
        </w:rPr>
        <w:footnoteReference w:id="301"/>
      </w:r>
      <w:r w:rsidR="003F29F5" w:rsidRPr="003F4866">
        <w:t xml:space="preserve"> In situatie 1 moet deze overeenkomst gesloten zijn tussen de we</w:t>
      </w:r>
      <w:r w:rsidR="003F4866" w:rsidRPr="003F4866">
        <w:t>nsouder(s) en de geboortemoeder. De geboortemoeder</w:t>
      </w:r>
      <w:r w:rsidR="003F29F5" w:rsidRPr="003F4866">
        <w:t xml:space="preserve"> </w:t>
      </w:r>
      <w:r w:rsidR="0063661E">
        <w:t>stemt ermee in</w:t>
      </w:r>
      <w:r w:rsidR="003F4866" w:rsidRPr="003F4866">
        <w:t xml:space="preserve"> </w:t>
      </w:r>
      <w:r w:rsidR="003F29F5" w:rsidRPr="003F4866">
        <w:t>om een juridische ouder te zijn samen met de wensouder(s).</w:t>
      </w:r>
      <w:r w:rsidR="008237A7" w:rsidRPr="003F4866">
        <w:rPr>
          <w:rStyle w:val="FootnoteReference"/>
        </w:rPr>
        <w:footnoteReference w:id="302"/>
      </w:r>
      <w:r w:rsidR="003F29F5" w:rsidRPr="003F4866">
        <w:t xml:space="preserve"> In situatie 2 dienen de toekomstige geboortemoeder en haar partner een overeenkomst te sluiten met de donor. De donor stemt </w:t>
      </w:r>
      <w:r w:rsidR="0063661E">
        <w:t xml:space="preserve">ermee </w:t>
      </w:r>
      <w:r w:rsidR="003F29F5" w:rsidRPr="003F4866">
        <w:t>in om juridische ouder te zijn samen met de geboortemoeder en haar partner.</w:t>
      </w:r>
      <w:r w:rsidR="008237A7" w:rsidRPr="003F4866">
        <w:rPr>
          <w:rStyle w:val="FootnoteReference"/>
        </w:rPr>
        <w:footnoteReference w:id="303"/>
      </w:r>
    </w:p>
    <w:p w:rsidR="000C0BD2" w:rsidRPr="003F4866" w:rsidRDefault="003F29F5" w:rsidP="003F4866">
      <w:pPr>
        <w:pStyle w:val="Randnummer"/>
        <w:spacing w:line="360" w:lineRule="auto"/>
        <w:ind w:left="0" w:firstLine="0"/>
      </w:pPr>
      <w:r w:rsidRPr="003F4866">
        <w:t>Deze overeenkomst dient te</w:t>
      </w:r>
      <w:r w:rsidR="00184653" w:rsidRPr="003F4866">
        <w:t xml:space="preserve"> voorzien dat d</w:t>
      </w:r>
      <w:r w:rsidR="000C0BD2" w:rsidRPr="003F4866">
        <w:t xml:space="preserve">e toekomstige geboortemoeder de </w:t>
      </w:r>
      <w:r w:rsidR="00184653" w:rsidRPr="003F4866">
        <w:t>geboortemoeder van het kind is</w:t>
      </w:r>
      <w:r w:rsidR="008237A7" w:rsidRPr="003F4866">
        <w:t xml:space="preserve"> dat verwekt is </w:t>
      </w:r>
      <w:r w:rsidR="006E1538">
        <w:t>via</w:t>
      </w:r>
      <w:r w:rsidR="008237A7" w:rsidRPr="003F4866">
        <w:t xml:space="preserve"> kunstmatige voortplanting</w:t>
      </w:r>
      <w:r w:rsidR="00184653" w:rsidRPr="003F4866">
        <w:t xml:space="preserve"> en dat d</w:t>
      </w:r>
      <w:r w:rsidR="000C0BD2" w:rsidRPr="003F4866">
        <w:t xml:space="preserve">e partijen bij de overeenkomst </w:t>
      </w:r>
      <w:r w:rsidR="00784A3A" w:rsidRPr="003F4866">
        <w:t xml:space="preserve">de </w:t>
      </w:r>
      <w:r w:rsidR="000C0BD2" w:rsidRPr="003F4866">
        <w:t>juridisch</w:t>
      </w:r>
      <w:r w:rsidR="00784A3A" w:rsidRPr="003F4866">
        <w:t>e</w:t>
      </w:r>
      <w:r w:rsidR="000C0BD2" w:rsidRPr="003F4866">
        <w:t xml:space="preserve"> ouder</w:t>
      </w:r>
      <w:r w:rsidR="00784A3A" w:rsidRPr="003F4866">
        <w:t>s</w:t>
      </w:r>
      <w:r w:rsidR="000C0BD2" w:rsidRPr="003F4866">
        <w:t xml:space="preserve"> zijn van het kind.</w:t>
      </w:r>
      <w:r w:rsidR="000C0BD2" w:rsidRPr="003F4866">
        <w:rPr>
          <w:rStyle w:val="FootnoteReference"/>
        </w:rPr>
        <w:footnoteReference w:id="304"/>
      </w:r>
      <w:r w:rsidR="000C0BD2" w:rsidRPr="003F4866">
        <w:t xml:space="preserve"> Zowel de wensouders als de geboortemoeder en haar partner moeten getrouwd zijn of een relatie hebben die op een huwelijk lijkt.</w:t>
      </w:r>
      <w:r w:rsidR="000C0BD2" w:rsidRPr="003F4866">
        <w:rPr>
          <w:rStyle w:val="FootnoteReference"/>
        </w:rPr>
        <w:footnoteReference w:id="305"/>
      </w:r>
    </w:p>
    <w:p w:rsidR="000C0BD2" w:rsidRPr="003F4866" w:rsidRDefault="000C0BD2" w:rsidP="003F4866">
      <w:pPr>
        <w:pStyle w:val="Randnummer"/>
        <w:spacing w:line="360" w:lineRule="auto"/>
        <w:ind w:left="0" w:firstLine="0"/>
      </w:pPr>
      <w:r w:rsidRPr="003F4866">
        <w:t>Indien een van de partijen zich terugtrekt uit de overeenkomst of sterft voor de geboorte van het kind, is de overeenkomst herroepen.</w:t>
      </w:r>
      <w:r w:rsidRPr="003F4866">
        <w:rPr>
          <w:rStyle w:val="FootnoteReference"/>
        </w:rPr>
        <w:footnoteReference w:id="306"/>
      </w:r>
    </w:p>
    <w:p w:rsidR="008237A7" w:rsidRPr="003F4866" w:rsidRDefault="00E87D3E" w:rsidP="003F4866">
      <w:pPr>
        <w:pStyle w:val="Randnummer"/>
        <w:spacing w:line="360" w:lineRule="auto"/>
        <w:ind w:left="0" w:firstLine="0"/>
      </w:pPr>
      <w:r w:rsidRPr="003F4866">
        <w:rPr>
          <w:b/>
          <w:bCs/>
        </w:rPr>
        <w:lastRenderedPageBreak/>
        <w:fldChar w:fldCharType="begin"/>
      </w:r>
      <w:r w:rsidR="008237A7" w:rsidRPr="003F4866">
        <w:rPr>
          <w:b/>
          <w:bCs/>
        </w:rPr>
        <w:instrText xml:space="preserve"> AUTONUMLGL  </w:instrText>
      </w:r>
      <w:r w:rsidRPr="003F4866">
        <w:rPr>
          <w:b/>
          <w:bCs/>
        </w:rPr>
        <w:fldChar w:fldCharType="end"/>
      </w:r>
      <w:r w:rsidR="008237A7" w:rsidRPr="003F4866">
        <w:rPr>
          <w:b/>
          <w:bCs/>
        </w:rPr>
        <w:t xml:space="preserve"> </w:t>
      </w:r>
      <w:r w:rsidR="008237A7" w:rsidRPr="003F4866">
        <w:rPr>
          <w:bCs/>
        </w:rPr>
        <w:t>Wanneer het kind geboren wordt, zijn de partijen bij de overeenkomst de juridische ouders van het kind.</w:t>
      </w:r>
      <w:r w:rsidR="008237A7" w:rsidRPr="003F4866">
        <w:rPr>
          <w:rStyle w:val="FootnoteReference"/>
          <w:bCs/>
        </w:rPr>
        <w:footnoteReference w:id="307"/>
      </w:r>
    </w:p>
    <w:p w:rsidR="000C0BD2" w:rsidRDefault="00031FC9" w:rsidP="001D7263">
      <w:pPr>
        <w:pStyle w:val="Heading6"/>
        <w:spacing w:line="360" w:lineRule="auto"/>
        <w:jc w:val="both"/>
      </w:pPr>
      <w:bookmarkStart w:id="79" w:name="_Toc449936761"/>
      <w:r>
        <w:t>3</w:t>
      </w:r>
      <w:r w:rsidR="00607E01">
        <w:t>.</w:t>
      </w:r>
      <w:r w:rsidR="000C0BD2">
        <w:t>Ouderlijk gezag</w:t>
      </w:r>
      <w:bookmarkEnd w:id="79"/>
    </w:p>
    <w:p w:rsidR="000C0BD2" w:rsidRPr="003F4866" w:rsidRDefault="00E87D3E" w:rsidP="00B0574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3F4866" w:rsidRPr="003F4866">
        <w:t>Het ouderlijk</w:t>
      </w:r>
      <w:r w:rsidR="000C0BD2" w:rsidRPr="003F4866">
        <w:t xml:space="preserve"> gezag wordt gekoppeld aan het juridisch ouderschap.</w:t>
      </w:r>
      <w:r w:rsidR="00F70FDD" w:rsidRPr="003F4866">
        <w:t xml:space="preserve"> Elke juridische ouder is gezag</w:t>
      </w:r>
      <w:r w:rsidR="000C0BD2" w:rsidRPr="003F4866">
        <w:t>houder.</w:t>
      </w:r>
      <w:r w:rsidR="000C0BD2" w:rsidRPr="003F4866">
        <w:rPr>
          <w:rStyle w:val="FootnoteReference"/>
        </w:rPr>
        <w:footnoteReference w:id="308"/>
      </w:r>
      <w:r w:rsidR="000C0BD2" w:rsidRPr="003F4866">
        <w:t xml:space="preserve"> Indien er drie juridische ouders zijn, hebben zij bijgevolg alle drie het </w:t>
      </w:r>
      <w:r w:rsidR="00634DFD" w:rsidRPr="003F4866">
        <w:t xml:space="preserve">ouderlijk </w:t>
      </w:r>
      <w:r w:rsidR="000A6092" w:rsidRPr="003F4866">
        <w:t>gezag</w:t>
      </w:r>
      <w:r w:rsidR="000C0BD2" w:rsidRPr="003F4866">
        <w:t xml:space="preserve">. </w:t>
      </w:r>
    </w:p>
    <w:p w:rsidR="000C0BD2" w:rsidRPr="003F4866" w:rsidRDefault="00E87D3E" w:rsidP="00B0574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F70FDD" w:rsidRPr="003F4866">
        <w:t>Elke gezag</w:t>
      </w:r>
      <w:r w:rsidR="000C0BD2" w:rsidRPr="003F4866">
        <w:t>houder mag alle onderdelen van het ouderlijk gezag uitoefenen ten opzichte van het kind</w:t>
      </w:r>
      <w:r w:rsidR="00F70FDD" w:rsidRPr="003F4866">
        <w:t xml:space="preserve"> in overleg met de andere gezag</w:t>
      </w:r>
      <w:r w:rsidR="000C0BD2" w:rsidRPr="003F4866">
        <w:t>houders, tenzij dit onredelijk of ongepast is in de gegeven omstandigheden.</w:t>
      </w:r>
      <w:r w:rsidR="000C0BD2" w:rsidRPr="003F4866">
        <w:rPr>
          <w:rStyle w:val="FootnoteReference"/>
        </w:rPr>
        <w:footnoteReference w:id="309"/>
      </w:r>
      <w:r w:rsidR="00F70FDD" w:rsidRPr="003F4866">
        <w:t xml:space="preserve"> De gezag</w:t>
      </w:r>
      <w:r w:rsidR="000C0BD2" w:rsidRPr="003F4866">
        <w:t>houders kunnen hierv</w:t>
      </w:r>
      <w:r w:rsidR="006931DD" w:rsidRPr="003F4866">
        <w:t>an afwijken in een overeenkomst. Ze kunnen bijvoorbeeld</w:t>
      </w:r>
      <w:r w:rsidR="000C0BD2" w:rsidRPr="003F4866">
        <w:t xml:space="preserve"> afsp</w:t>
      </w:r>
      <w:r w:rsidR="006931DD" w:rsidRPr="003F4866">
        <w:t>reken dat ee</w:t>
      </w:r>
      <w:r w:rsidR="00F70FDD" w:rsidRPr="003F4866">
        <w:t>n of meerdere gezag</w:t>
      </w:r>
      <w:r w:rsidR="000C0BD2" w:rsidRPr="003F4866">
        <w:t>houders alle of bepaalde onderdelen van het gezag uitoefenen.</w:t>
      </w:r>
      <w:r w:rsidR="000C0BD2" w:rsidRPr="003F4866">
        <w:rPr>
          <w:rStyle w:val="FootnoteReference"/>
        </w:rPr>
        <w:footnoteReference w:id="310"/>
      </w:r>
      <w:r w:rsidR="000C0BD2" w:rsidRPr="003F4866">
        <w:t xml:space="preserve"> Ze kunnen ook afspreken dat ze gezamenlijk dan wel apart kunnen handelen.</w:t>
      </w:r>
      <w:r w:rsidR="000C0BD2" w:rsidRPr="003F4866">
        <w:rPr>
          <w:rStyle w:val="FootnoteReference"/>
        </w:rPr>
        <w:footnoteReference w:id="311"/>
      </w:r>
      <w:r w:rsidR="000C0BD2" w:rsidRPr="003F4866">
        <w:t xml:space="preserve"> Indien ze afspraken maken over het gezag, mag het belang van het kind de enige leidende factor zijn.</w:t>
      </w:r>
      <w:r w:rsidR="000C0BD2" w:rsidRPr="003F4866">
        <w:rPr>
          <w:rStyle w:val="FootnoteReference"/>
        </w:rPr>
        <w:footnoteReference w:id="312"/>
      </w:r>
    </w:p>
    <w:p w:rsidR="000C0BD2" w:rsidRDefault="00031FC9" w:rsidP="001D7263">
      <w:pPr>
        <w:pStyle w:val="Heading5"/>
        <w:spacing w:line="360" w:lineRule="auto"/>
        <w:jc w:val="both"/>
      </w:pPr>
      <w:bookmarkStart w:id="80" w:name="_Toc449936762"/>
      <w:r>
        <w:t>D</w:t>
      </w:r>
      <w:r w:rsidR="00607E01">
        <w:t xml:space="preserve">. </w:t>
      </w:r>
      <w:r w:rsidR="000C0BD2">
        <w:t>Kritiek</w:t>
      </w:r>
      <w:bookmarkEnd w:id="80"/>
    </w:p>
    <w:p w:rsidR="000C0BD2" w:rsidRPr="003F4866" w:rsidRDefault="00E87D3E" w:rsidP="00B0574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0C0BD2" w:rsidRPr="003F4866">
        <w:t xml:space="preserve">Er zijn </w:t>
      </w:r>
      <w:r w:rsidR="000A6092" w:rsidRPr="003F4866">
        <w:t>een aantal</w:t>
      </w:r>
      <w:r w:rsidR="000C0BD2" w:rsidRPr="003F4866">
        <w:t xml:space="preserve"> punten van kritiek die ertoe leiden dat het meerouderschap in Canada nog niet is wat het moet zijn. </w:t>
      </w:r>
    </w:p>
    <w:p w:rsidR="000C0BD2" w:rsidRDefault="00031FC9" w:rsidP="001D7263">
      <w:pPr>
        <w:pStyle w:val="Heading6"/>
        <w:spacing w:line="360" w:lineRule="auto"/>
        <w:jc w:val="both"/>
      </w:pPr>
      <w:bookmarkStart w:id="81" w:name="_Toc449936763"/>
      <w:r>
        <w:t>1</w:t>
      </w:r>
      <w:r w:rsidR="00607E01">
        <w:t>.</w:t>
      </w:r>
      <w:r w:rsidR="000C0BD2">
        <w:t>Vereiste van kunstmatig voortplanting</w:t>
      </w:r>
      <w:bookmarkEnd w:id="81"/>
    </w:p>
    <w:p w:rsidR="000C0BD2" w:rsidRPr="003F4866" w:rsidRDefault="00E87D3E" w:rsidP="00B0574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0C0BD2" w:rsidRPr="003F4866">
        <w:t>Ten eerste is meerouderschap alleen mogelijk indien het kind verwekt is door middel van kunstmatige voortplanting.</w:t>
      </w:r>
      <w:r w:rsidR="000C0BD2" w:rsidRPr="003F4866">
        <w:rPr>
          <w:rStyle w:val="FootnoteReference"/>
        </w:rPr>
        <w:footnoteReference w:id="313"/>
      </w:r>
      <w:r w:rsidR="003F4866" w:rsidRPr="003F4866">
        <w:t xml:space="preserve"> Meerouderschap is niet mogelijk indien het kind verwekt is door middel van gelachtsgemeenschap.</w:t>
      </w:r>
      <w:r w:rsidR="000C0BD2" w:rsidRPr="003F4866">
        <w:t xml:space="preserve"> </w:t>
      </w:r>
    </w:p>
    <w:p w:rsidR="000C0BD2" w:rsidRPr="003F4866" w:rsidRDefault="00E87D3E" w:rsidP="00B05740">
      <w:pPr>
        <w:pStyle w:val="Randnummer"/>
        <w:spacing w:line="360" w:lineRule="auto"/>
        <w:ind w:left="0" w:firstLine="0"/>
        <w:rPr>
          <w:b/>
          <w:bCs/>
        </w:rPr>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634DFD" w:rsidRPr="003F4866">
        <w:rPr>
          <w:bCs/>
        </w:rPr>
        <w:t>Meerouderschap is alleen mogelijk bij kunstmatige voortplanting, omdat er als gevolg van kunstmatige voortplanting een afwijking van de biologische werkelijkheid ontstaat.</w:t>
      </w:r>
      <w:r w:rsidR="00634DFD" w:rsidRPr="003F4866">
        <w:rPr>
          <w:rStyle w:val="FootnoteReference"/>
        </w:rPr>
        <w:t xml:space="preserve"> </w:t>
      </w:r>
      <w:r w:rsidR="00634DFD" w:rsidRPr="003F4866">
        <w:rPr>
          <w:rStyle w:val="FootnoteReference"/>
        </w:rPr>
        <w:footnoteReference w:id="314"/>
      </w:r>
      <w:r w:rsidR="00634DFD" w:rsidRPr="003F4866">
        <w:rPr>
          <w:b/>
          <w:bCs/>
        </w:rPr>
        <w:t xml:space="preserve"> </w:t>
      </w:r>
      <w:r w:rsidR="00FA086B" w:rsidRPr="003F4866">
        <w:t xml:space="preserve">In </w:t>
      </w:r>
      <w:r w:rsidR="000C0BD2" w:rsidRPr="003F4866">
        <w:lastRenderedPageBreak/>
        <w:t>de meeste gevallen</w:t>
      </w:r>
      <w:r w:rsidR="00FA086B" w:rsidRPr="003F4866">
        <w:t xml:space="preserve"> wordt </w:t>
      </w:r>
      <w:r w:rsidR="001631E4" w:rsidRPr="003F4866">
        <w:t>éé</w:t>
      </w:r>
      <w:r w:rsidR="000C0BD2" w:rsidRPr="003F4866">
        <w:t>n van de biologische ouders vervangen door een wensouder.</w:t>
      </w:r>
      <w:r w:rsidR="000C0BD2" w:rsidRPr="003F4866">
        <w:rPr>
          <w:rStyle w:val="FootnoteReference"/>
        </w:rPr>
        <w:footnoteReference w:id="315"/>
      </w:r>
      <w:r w:rsidR="000C0BD2" w:rsidRPr="003F4866">
        <w:t xml:space="preserve"> </w:t>
      </w:r>
      <w:r w:rsidR="000A6092" w:rsidRPr="003F4866">
        <w:t xml:space="preserve">Meerouderschap </w:t>
      </w:r>
      <w:r w:rsidR="000C0BD2" w:rsidRPr="003F4866">
        <w:t xml:space="preserve">maakt het mogelijk om deze biologische ouder weer in het gezin te betrekken. </w:t>
      </w:r>
    </w:p>
    <w:p w:rsidR="000C0BD2" w:rsidRDefault="00031FC9" w:rsidP="001D7263">
      <w:pPr>
        <w:pStyle w:val="Heading6"/>
        <w:spacing w:line="360" w:lineRule="auto"/>
        <w:jc w:val="both"/>
      </w:pPr>
      <w:bookmarkStart w:id="82" w:name="_Toc449936764"/>
      <w:r>
        <w:t>2</w:t>
      </w:r>
      <w:r w:rsidR="00607E01">
        <w:t>.</w:t>
      </w:r>
      <w:r w:rsidR="00106D6E">
        <w:t xml:space="preserve"> </w:t>
      </w:r>
      <w:r w:rsidR="00137A02">
        <w:t>Onduidelijkheid over het aantal juridische ouders</w:t>
      </w:r>
      <w:bookmarkEnd w:id="82"/>
    </w:p>
    <w:p w:rsidR="00137A02" w:rsidRPr="003F4866" w:rsidRDefault="00E87D3E" w:rsidP="00B0574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137A02" w:rsidRPr="003F4866">
        <w:t xml:space="preserve">Er bestaat onduidelijkheid over het </w:t>
      </w:r>
      <w:r w:rsidR="00B01A84" w:rsidRPr="003F4866">
        <w:t xml:space="preserve">maximum </w:t>
      </w:r>
      <w:r w:rsidR="00137A02" w:rsidRPr="003F4866">
        <w:t>aantal juridische ouders.</w:t>
      </w:r>
      <w:r w:rsidR="00B01A84" w:rsidRPr="003F4866">
        <w:rPr>
          <w:rStyle w:val="FootnoteReference"/>
        </w:rPr>
        <w:footnoteReference w:id="316"/>
      </w:r>
      <w:r w:rsidR="00137A02" w:rsidRPr="003F4866">
        <w:t xml:space="preserve"> Sectie 30(b)(i) stelt duidelijk dat de draagmoeder naast de wensouders juridisch ouder kan zijn.</w:t>
      </w:r>
      <w:r w:rsidR="00137A02" w:rsidRPr="003F4866">
        <w:rPr>
          <w:rStyle w:val="FootnoteReference"/>
        </w:rPr>
        <w:footnoteReference w:id="317"/>
      </w:r>
      <w:r w:rsidR="00137A02" w:rsidRPr="003F4866">
        <w:t xml:space="preserve"> Het maximum aantal juridische ouders is dus drie. Dit maximum laat niet toe dat een </w:t>
      </w:r>
      <w:r w:rsidR="00142AB3" w:rsidRPr="003F4866">
        <w:t>homo</w:t>
      </w:r>
      <w:r w:rsidR="004045EF" w:rsidRPr="003F4866">
        <w:t xml:space="preserve">koppel en </w:t>
      </w:r>
      <w:r w:rsidR="001631E4" w:rsidRPr="003F4866">
        <w:t>een lesbisch koppel</w:t>
      </w:r>
      <w:r w:rsidR="00137A02" w:rsidRPr="003F4866">
        <w:t xml:space="preserve"> </w:t>
      </w:r>
      <w:r w:rsidR="004045EF" w:rsidRPr="003F4866">
        <w:t>samen een kind opvoeden</w:t>
      </w:r>
      <w:r w:rsidR="00137A02" w:rsidRPr="003F4866">
        <w:t>.</w:t>
      </w:r>
      <w:r w:rsidR="00142AB3" w:rsidRPr="003F4866">
        <w:rPr>
          <w:rStyle w:val="FootnoteReference"/>
        </w:rPr>
        <w:footnoteReference w:id="318"/>
      </w:r>
      <w:r w:rsidR="00137A02" w:rsidRPr="003F4866">
        <w:t xml:space="preserve"> </w:t>
      </w:r>
      <w:r w:rsidR="00142AB3" w:rsidRPr="003F4866">
        <w:t xml:space="preserve">Uit </w:t>
      </w:r>
      <w:r w:rsidR="00FA086B" w:rsidRPr="003F4866">
        <w:t xml:space="preserve">sectie </w:t>
      </w:r>
      <w:r w:rsidR="00142AB3" w:rsidRPr="003F4866">
        <w:t>(30)(b)(i) volgt dat het homo</w:t>
      </w:r>
      <w:r w:rsidR="001631E4" w:rsidRPr="003F4866">
        <w:t>koppel</w:t>
      </w:r>
      <w:r w:rsidR="00142AB3" w:rsidRPr="003F4866">
        <w:t xml:space="preserve"> (de wens</w:t>
      </w:r>
      <w:r w:rsidR="00634DFD" w:rsidRPr="003F4866">
        <w:t>ouders) en de geboortemoeder (éé</w:t>
      </w:r>
      <w:r w:rsidR="00142AB3" w:rsidRPr="003F4866">
        <w:t xml:space="preserve">n van de lesbische vrouwen), </w:t>
      </w:r>
      <w:r w:rsidR="00784A3A" w:rsidRPr="003F4866">
        <w:t xml:space="preserve">de </w:t>
      </w:r>
      <w:r w:rsidR="00142AB3" w:rsidRPr="003F4866">
        <w:t>juridisch</w:t>
      </w:r>
      <w:r w:rsidR="00784A3A" w:rsidRPr="003F4866">
        <w:t>e</w:t>
      </w:r>
      <w:r w:rsidR="00142AB3" w:rsidRPr="003F4866">
        <w:t xml:space="preserve"> ouder</w:t>
      </w:r>
      <w:r w:rsidR="00784A3A" w:rsidRPr="003F4866">
        <w:t>s</w:t>
      </w:r>
      <w:r w:rsidR="00142AB3" w:rsidRPr="003F4866">
        <w:t xml:space="preserve"> zijn. </w:t>
      </w:r>
      <w:r w:rsidR="00137A02" w:rsidRPr="003F4866">
        <w:t>De partner van de geboortemoeder kan geen juridische ouder zijn.</w:t>
      </w:r>
      <w:r w:rsidR="00137A02" w:rsidRPr="003F4866">
        <w:rPr>
          <w:rStyle w:val="FootnoteReference"/>
        </w:rPr>
        <w:footnoteReference w:id="319"/>
      </w:r>
      <w:r w:rsidR="00137A02" w:rsidRPr="003F4866">
        <w:t xml:space="preserve"> </w:t>
      </w:r>
    </w:p>
    <w:p w:rsidR="00B05740" w:rsidRPr="003F4866" w:rsidRDefault="00E87D3E" w:rsidP="00B0574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137A02" w:rsidRPr="003F4866">
        <w:t>Sectie 30(b)(ii) stelt dat de donor samen met de geboort</w:t>
      </w:r>
      <w:r w:rsidR="006931DD" w:rsidRPr="003F4866">
        <w:t>e</w:t>
      </w:r>
      <w:r w:rsidR="00137A02" w:rsidRPr="003F4866">
        <w:t>moeder en haar partner juridisch ouder kan zijn.</w:t>
      </w:r>
      <w:r w:rsidR="00FA086B" w:rsidRPr="003F4866">
        <w:t xml:space="preserve"> Uit de lezing van deze sectie lijkt het aantal juridische ouders beperkt te zijn tot drie.</w:t>
      </w:r>
      <w:r w:rsidR="00FA086B" w:rsidRPr="003F4866">
        <w:rPr>
          <w:rStyle w:val="FootnoteReference"/>
        </w:rPr>
        <w:footnoteReference w:id="320"/>
      </w:r>
      <w:r w:rsidR="00FA086B" w:rsidRPr="003F4866">
        <w:t xml:space="preserve"> </w:t>
      </w:r>
      <w:r w:rsidR="00137A02" w:rsidRPr="003F4866">
        <w:t xml:space="preserve"> </w:t>
      </w:r>
      <w:r w:rsidR="00FA086B" w:rsidRPr="003F4866">
        <w:t xml:space="preserve">Het is echter mogelijk dat de verwekking gebeurt met behulp van een zaadcel- en </w:t>
      </w:r>
      <w:r w:rsidR="006E1538">
        <w:t xml:space="preserve">een </w:t>
      </w:r>
      <w:r w:rsidR="00FA086B" w:rsidRPr="003F4866">
        <w:t xml:space="preserve">eiceldonor. De donor </w:t>
      </w:r>
      <w:r w:rsidR="00137A02" w:rsidRPr="003F4866">
        <w:t xml:space="preserve">kan </w:t>
      </w:r>
      <w:r w:rsidR="00FA086B" w:rsidRPr="003F4866">
        <w:t xml:space="preserve">namelijk </w:t>
      </w:r>
      <w:r w:rsidR="00137A02" w:rsidRPr="003F4866">
        <w:t>zowel een zaadcel</w:t>
      </w:r>
      <w:r w:rsidR="003F4866" w:rsidRPr="003F4866">
        <w:t>donor</w:t>
      </w:r>
      <w:r w:rsidR="00137A02" w:rsidRPr="003F4866">
        <w:t xml:space="preserve"> als een eicel</w:t>
      </w:r>
      <w:r w:rsidR="003F4866" w:rsidRPr="003F4866">
        <w:t>donor</w:t>
      </w:r>
      <w:r w:rsidR="00137A02" w:rsidRPr="003F4866">
        <w:t xml:space="preserve"> zijn.</w:t>
      </w:r>
      <w:r w:rsidR="00137A02" w:rsidRPr="003F4866">
        <w:rPr>
          <w:rStyle w:val="FootnoteReference"/>
        </w:rPr>
        <w:footnoteReference w:id="321"/>
      </w:r>
      <w:r w:rsidR="00137A02" w:rsidRPr="003F4866">
        <w:t xml:space="preserve"> Hier rijst de vraag of</w:t>
      </w:r>
      <w:r w:rsidR="00B01A84" w:rsidRPr="003F4866">
        <w:t xml:space="preserve"> </w:t>
      </w:r>
      <w:r w:rsidR="00634DFD" w:rsidRPr="003F4866">
        <w:t>zowel de eiceldonor als de zaadceldonor juridisch</w:t>
      </w:r>
      <w:r w:rsidR="00784A3A" w:rsidRPr="003F4866">
        <w:t>e</w:t>
      </w:r>
      <w:r w:rsidR="00634DFD" w:rsidRPr="003F4866">
        <w:t xml:space="preserve"> ouder</w:t>
      </w:r>
      <w:r w:rsidR="00784A3A" w:rsidRPr="003F4866">
        <w:t>s</w:t>
      </w:r>
      <w:r w:rsidR="00634DFD" w:rsidRPr="003F4866">
        <w:t xml:space="preserve"> kunnen zijn naast de geboortemoeder en haar partner</w:t>
      </w:r>
      <w:r w:rsidR="00B01A84" w:rsidRPr="003F4866">
        <w:t>. VON</w:t>
      </w:r>
      <w:r w:rsidR="00FA086B" w:rsidRPr="003F4866">
        <w:t>K, FINDLAY, SULEMAN st</w:t>
      </w:r>
      <w:r w:rsidR="00B01A84" w:rsidRPr="003F4866">
        <w:t xml:space="preserve">ellen dat uit deze bepaling volgt dat er vier juridische </w:t>
      </w:r>
      <w:r w:rsidR="00833644" w:rsidRPr="003F4866">
        <w:t>ouders kunnen zijn:</w:t>
      </w:r>
      <w:r w:rsidR="00B01A84" w:rsidRPr="003F4866">
        <w:t xml:space="preserve"> de geboortem</w:t>
      </w:r>
      <w:r w:rsidR="001B50B7" w:rsidRPr="003F4866">
        <w:t xml:space="preserve">oeder, haar partner, de </w:t>
      </w:r>
      <w:r w:rsidR="001B50B7" w:rsidRPr="003F4866">
        <w:lastRenderedPageBreak/>
        <w:t>zaadcel</w:t>
      </w:r>
      <w:r w:rsidR="00B01A84" w:rsidRPr="003F4866">
        <w:t>donor en de eiceldonor.</w:t>
      </w:r>
      <w:r w:rsidR="009E6E15" w:rsidRPr="003F4866">
        <w:rPr>
          <w:rStyle w:val="FootnoteReference"/>
        </w:rPr>
        <w:footnoteReference w:id="322"/>
      </w:r>
      <w:r w:rsidR="00C61702" w:rsidRPr="003F4866">
        <w:t xml:space="preserve"> Ook</w:t>
      </w:r>
      <w:r w:rsidR="00FA086B" w:rsidRPr="003F4866">
        <w:t xml:space="preserve"> KELLY deelt deze mening. Zij stelt dat het woord “donor” in het meervoud geïnterpreteerd kan worden, om zo tot vier juridische ouders te komen.</w:t>
      </w:r>
      <w:r w:rsidR="00FA086B" w:rsidRPr="003F4866">
        <w:rPr>
          <w:rStyle w:val="FootnoteReference"/>
        </w:rPr>
        <w:footnoteReference w:id="323"/>
      </w:r>
    </w:p>
    <w:p w:rsidR="00FA086B" w:rsidRPr="003F4866" w:rsidRDefault="00E87D3E" w:rsidP="00B0574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FA086B" w:rsidRPr="003F4866">
        <w:t>Het is</w:t>
      </w:r>
      <w:r w:rsidR="00B05740" w:rsidRPr="003F4866">
        <w:t xml:space="preserve"> </w:t>
      </w:r>
      <w:r w:rsidR="00FA086B" w:rsidRPr="003F4866">
        <w:t>wenselijk dat er meer duidelijkheid komt</w:t>
      </w:r>
      <w:r w:rsidR="00B05740" w:rsidRPr="003F4866">
        <w:t xml:space="preserve"> over de interpretatie van deze </w:t>
      </w:r>
      <w:r w:rsidR="00FA086B" w:rsidRPr="003F4866">
        <w:t>bepaling.</w:t>
      </w:r>
    </w:p>
    <w:p w:rsidR="00FA086B" w:rsidRDefault="00031FC9" w:rsidP="001D7263">
      <w:pPr>
        <w:pStyle w:val="Heading6"/>
        <w:spacing w:line="360" w:lineRule="auto"/>
        <w:jc w:val="both"/>
      </w:pPr>
      <w:bookmarkStart w:id="83" w:name="_Toc449936765"/>
      <w:r>
        <w:t>3</w:t>
      </w:r>
      <w:r w:rsidR="00607E01">
        <w:t>.</w:t>
      </w:r>
      <w:r w:rsidR="00FA086B">
        <w:t>Vereiste van biologische band</w:t>
      </w:r>
      <w:bookmarkEnd w:id="83"/>
    </w:p>
    <w:p w:rsidR="00FA086B" w:rsidRPr="003F4866" w:rsidRDefault="00E87D3E" w:rsidP="00B0574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FA086B" w:rsidRPr="003F4866">
        <w:t>De “toevoeging” van een derde juridische ouder is alleen mogelijk indien die persoon een biologische band heeft met het kind.</w:t>
      </w:r>
      <w:r w:rsidR="00FA086B" w:rsidRPr="003F4866">
        <w:rPr>
          <w:rStyle w:val="FootnoteReference"/>
        </w:rPr>
        <w:footnoteReference w:id="324"/>
      </w:r>
      <w:r w:rsidR="00FA086B" w:rsidRPr="003F4866">
        <w:t xml:space="preserve"> Sectie 30(1)(b) stelt dat de derde juridische ouder de geboortemoeder (i) of de donor (ii) is. Het is dus niet mogelijk om eender welke persoon te kiezen als juridische ouder van het kind. </w:t>
      </w:r>
    </w:p>
    <w:p w:rsidR="001B50B7" w:rsidRPr="003F4866" w:rsidRDefault="00E87D3E" w:rsidP="00BA4C00">
      <w:pPr>
        <w:pStyle w:val="Randnummer"/>
        <w:spacing w:line="360" w:lineRule="auto"/>
        <w:ind w:left="0" w:firstLine="0"/>
      </w:pPr>
      <w:r w:rsidRPr="003F4866">
        <w:rPr>
          <w:b/>
          <w:bCs/>
        </w:rPr>
        <w:fldChar w:fldCharType="begin"/>
      </w:r>
      <w:r w:rsidR="00B05740" w:rsidRPr="003F4866">
        <w:rPr>
          <w:b/>
          <w:bCs/>
        </w:rPr>
        <w:instrText xml:space="preserve"> AUTONUMLGL  </w:instrText>
      </w:r>
      <w:r w:rsidRPr="003F4866">
        <w:rPr>
          <w:b/>
          <w:bCs/>
        </w:rPr>
        <w:fldChar w:fldCharType="end"/>
      </w:r>
      <w:r w:rsidR="00B05740" w:rsidRPr="003F4866">
        <w:rPr>
          <w:b/>
          <w:bCs/>
        </w:rPr>
        <w:t xml:space="preserve"> </w:t>
      </w:r>
      <w:r w:rsidR="001B50B7" w:rsidRPr="003F4866">
        <w:t>Sectie 30 probeert bovendien een ouder van het andere geslacht te betr</w:t>
      </w:r>
      <w:r w:rsidR="001631E4" w:rsidRPr="003F4866">
        <w:t>ekken. Zowel heterokoppels als koppels van hetzelfde geslacht</w:t>
      </w:r>
      <w:r w:rsidR="001B50B7" w:rsidRPr="003F4866">
        <w:t xml:space="preserve"> kunnen gebruik maken van sectie 30.</w:t>
      </w:r>
      <w:r w:rsidR="002E1D57" w:rsidRPr="003F4866">
        <w:rPr>
          <w:rStyle w:val="FootnoteReference"/>
        </w:rPr>
        <w:footnoteReference w:id="325"/>
      </w:r>
      <w:r w:rsidR="001B50B7" w:rsidRPr="003F4866">
        <w:t xml:space="preserve"> Indien </w:t>
      </w:r>
      <w:r w:rsidR="002E1D57" w:rsidRPr="003F4866">
        <w:t>het gaat om</w:t>
      </w:r>
      <w:r w:rsidR="001631E4" w:rsidRPr="003F4866">
        <w:t xml:space="preserve"> koppels van hetzelfde geslacht</w:t>
      </w:r>
      <w:r w:rsidR="002E1D57" w:rsidRPr="003F4866">
        <w:t>,</w:t>
      </w:r>
      <w:r w:rsidR="001B50B7" w:rsidRPr="003F4866">
        <w:t xml:space="preserve"> is de derde ouder</w:t>
      </w:r>
      <w:r w:rsidR="004D6D0D" w:rsidRPr="003F4866">
        <w:t xml:space="preserve"> bijna altijd</w:t>
      </w:r>
      <w:r w:rsidR="001B50B7" w:rsidRPr="003F4866">
        <w:t xml:space="preserve"> een ouder van het andere geslacht.</w:t>
      </w:r>
      <w:r w:rsidR="00A541A0" w:rsidRPr="003F4866">
        <w:rPr>
          <w:rStyle w:val="FootnoteReference"/>
        </w:rPr>
        <w:footnoteReference w:id="326"/>
      </w:r>
      <w:r w:rsidR="001631E4" w:rsidRPr="003F4866">
        <w:t xml:space="preserve"> Indien een homokoppel ge</w:t>
      </w:r>
      <w:r w:rsidR="001B50B7" w:rsidRPr="003F4866">
        <w:t xml:space="preserve">bruik maakt van sectie 30(1)(b)(i), is de derde juridische ouder de </w:t>
      </w:r>
      <w:r w:rsidR="004D6D0D" w:rsidRPr="003F4866">
        <w:t>draagmoeder</w:t>
      </w:r>
      <w:r w:rsidR="001B50B7" w:rsidRPr="003F4866">
        <w:t xml:space="preserve">. </w:t>
      </w:r>
      <w:r w:rsidR="00A541A0" w:rsidRPr="003F4866">
        <w:t xml:space="preserve">Indien een lesbisch </w:t>
      </w:r>
      <w:r w:rsidR="001631E4" w:rsidRPr="003F4866">
        <w:t>koppel</w:t>
      </w:r>
      <w:r w:rsidR="001B50B7" w:rsidRPr="003F4866">
        <w:t xml:space="preserve"> gebruik maakt van sectie 30(1)(b)(ii), is de derde ouder de zaadceldonor. </w:t>
      </w:r>
      <w:r w:rsidR="006E1538">
        <w:t xml:space="preserve">Sectie 30 probeert </w:t>
      </w:r>
      <w:r w:rsidR="002E1D57" w:rsidRPr="003F4866">
        <w:t>het biologische gezin met een vrouwelijke en mannelijke ouder te herstellen.</w:t>
      </w:r>
    </w:p>
    <w:p w:rsidR="000C0BD2" w:rsidRDefault="00031FC9" w:rsidP="001D7263">
      <w:pPr>
        <w:pStyle w:val="Heading6"/>
        <w:spacing w:line="360" w:lineRule="auto"/>
        <w:jc w:val="both"/>
      </w:pPr>
      <w:bookmarkStart w:id="84" w:name="_Toc449936766"/>
      <w:r>
        <w:t>4</w:t>
      </w:r>
      <w:r w:rsidR="00607E01">
        <w:t>.</w:t>
      </w:r>
      <w:r w:rsidR="002E1D57">
        <w:t xml:space="preserve"> </w:t>
      </w:r>
      <w:r w:rsidR="000C0BD2">
        <w:t>“Alles of niets” scenario</w:t>
      </w:r>
      <w:bookmarkEnd w:id="84"/>
      <w:r w:rsidR="000C0BD2">
        <w:t xml:space="preserve"> </w:t>
      </w:r>
    </w:p>
    <w:p w:rsidR="000C0BD2" w:rsidRPr="00E57CE5" w:rsidRDefault="00E87D3E" w:rsidP="00BA4C00">
      <w:pPr>
        <w:pStyle w:val="Randnummer"/>
        <w:spacing w:line="360" w:lineRule="auto"/>
        <w:ind w:left="0" w:firstLine="0"/>
      </w:pPr>
      <w:r w:rsidRPr="00E57CE5">
        <w:rPr>
          <w:b/>
          <w:bCs/>
        </w:rPr>
        <w:fldChar w:fldCharType="begin"/>
      </w:r>
      <w:r w:rsidR="00BA4C00" w:rsidRPr="00E57CE5">
        <w:rPr>
          <w:b/>
          <w:bCs/>
        </w:rPr>
        <w:instrText xml:space="preserve"> AUTONUMLGL  </w:instrText>
      </w:r>
      <w:r w:rsidRPr="00E57CE5">
        <w:rPr>
          <w:b/>
          <w:bCs/>
        </w:rPr>
        <w:fldChar w:fldCharType="end"/>
      </w:r>
      <w:r w:rsidR="00BA4C00" w:rsidRPr="00E57CE5">
        <w:rPr>
          <w:b/>
          <w:bCs/>
        </w:rPr>
        <w:t xml:space="preserve"> </w:t>
      </w:r>
      <w:r w:rsidR="000C0BD2" w:rsidRPr="00E57CE5">
        <w:t>Een vierde punt van kritiek is het “alles of niets” scenario van sectie 30.</w:t>
      </w:r>
      <w:r w:rsidR="000C0BD2" w:rsidRPr="00E57CE5">
        <w:rPr>
          <w:rStyle w:val="FootnoteReference"/>
        </w:rPr>
        <w:footnoteReference w:id="327"/>
      </w:r>
      <w:r w:rsidR="001631E4" w:rsidRPr="00E57CE5">
        <w:t xml:space="preserve"> Tussen het lesbisch koppel</w:t>
      </w:r>
      <w:r w:rsidR="000C0BD2" w:rsidRPr="00E57CE5">
        <w:t xml:space="preserve"> en de donor (idem ingeval van wensouders en draagmoeder) kan afgesproken </w:t>
      </w:r>
      <w:r w:rsidR="000C0BD2" w:rsidRPr="00E57CE5">
        <w:lastRenderedPageBreak/>
        <w:t xml:space="preserve">zijn dat de donor een rol zal spelen in het leven van het kind. De rol van de donor kan echter op verschillende manieren ingevuld worden. In sommige gevallen vervult de donor een volwaardige ouderrol, in andere gevallen houdt de donor zich maar af en toe bezig met het kind. </w:t>
      </w:r>
    </w:p>
    <w:p w:rsidR="000C0BD2" w:rsidRPr="00E57CE5" w:rsidRDefault="00E87D3E" w:rsidP="00BA4C00">
      <w:pPr>
        <w:pStyle w:val="Randnummer"/>
        <w:spacing w:line="360" w:lineRule="auto"/>
        <w:ind w:left="0" w:firstLine="0"/>
      </w:pPr>
      <w:r w:rsidRPr="00E57CE5">
        <w:rPr>
          <w:b/>
          <w:bCs/>
        </w:rPr>
        <w:fldChar w:fldCharType="begin"/>
      </w:r>
      <w:r w:rsidR="00BA4C00" w:rsidRPr="00E57CE5">
        <w:rPr>
          <w:b/>
          <w:bCs/>
        </w:rPr>
        <w:instrText xml:space="preserve"> AUTONUMLGL  </w:instrText>
      </w:r>
      <w:r w:rsidRPr="00E57CE5">
        <w:rPr>
          <w:b/>
          <w:bCs/>
        </w:rPr>
        <w:fldChar w:fldCharType="end"/>
      </w:r>
      <w:r w:rsidR="00BA4C00" w:rsidRPr="00E57CE5">
        <w:rPr>
          <w:b/>
          <w:bCs/>
        </w:rPr>
        <w:t xml:space="preserve"> </w:t>
      </w:r>
      <w:r w:rsidR="000C0BD2" w:rsidRPr="00E57CE5">
        <w:t>Sectie 30 houdt geen rekening met deze verschillende invullingen. De donor is of juridische ouder van het kind, of hij is juridisch gezien niets van het kind.</w:t>
      </w:r>
      <w:r w:rsidR="000C0BD2" w:rsidRPr="00E57CE5">
        <w:rPr>
          <w:rStyle w:val="FootnoteReference"/>
        </w:rPr>
        <w:footnoteReference w:id="328"/>
      </w:r>
      <w:r w:rsidR="004D6D0D" w:rsidRPr="00E57CE5">
        <w:t xml:space="preserve"> </w:t>
      </w:r>
    </w:p>
    <w:p w:rsidR="000C0BD2" w:rsidRDefault="00031FC9" w:rsidP="001D7263">
      <w:pPr>
        <w:pStyle w:val="Heading6"/>
        <w:spacing w:line="360" w:lineRule="auto"/>
        <w:jc w:val="both"/>
      </w:pPr>
      <w:bookmarkStart w:id="85" w:name="_Toc449936767"/>
      <w:r>
        <w:t>5</w:t>
      </w:r>
      <w:r w:rsidR="00607E01">
        <w:t xml:space="preserve">. </w:t>
      </w:r>
      <w:r w:rsidR="000C0BD2">
        <w:t>Afwezigheid van conflictregeling</w:t>
      </w:r>
      <w:bookmarkEnd w:id="85"/>
    </w:p>
    <w:p w:rsidR="000C0BD2" w:rsidRPr="00E57CE5" w:rsidRDefault="00E87D3E" w:rsidP="00BA4C00">
      <w:pPr>
        <w:pStyle w:val="Randnummer"/>
        <w:spacing w:line="360" w:lineRule="auto"/>
        <w:ind w:left="0" w:firstLine="0"/>
      </w:pPr>
      <w:r w:rsidRPr="00E57CE5">
        <w:rPr>
          <w:b/>
          <w:bCs/>
        </w:rPr>
        <w:fldChar w:fldCharType="begin"/>
      </w:r>
      <w:r w:rsidR="00BA4C00" w:rsidRPr="00E57CE5">
        <w:rPr>
          <w:b/>
          <w:bCs/>
        </w:rPr>
        <w:instrText xml:space="preserve"> AUTONUMLGL  </w:instrText>
      </w:r>
      <w:r w:rsidRPr="00E57CE5">
        <w:rPr>
          <w:b/>
          <w:bCs/>
        </w:rPr>
        <w:fldChar w:fldCharType="end"/>
      </w:r>
      <w:r w:rsidR="00BA4C00" w:rsidRPr="00E57CE5">
        <w:rPr>
          <w:b/>
          <w:bCs/>
        </w:rPr>
        <w:t xml:space="preserve"> </w:t>
      </w:r>
      <w:r w:rsidR="000C0BD2" w:rsidRPr="00E57CE5">
        <w:t xml:space="preserve">Ten slotte </w:t>
      </w:r>
      <w:r w:rsidR="00833644" w:rsidRPr="00E57CE5">
        <w:t>bevat</w:t>
      </w:r>
      <w:r w:rsidR="000C0BD2" w:rsidRPr="00E57CE5">
        <w:t xml:space="preserve"> sectie 30 geen conflictr</w:t>
      </w:r>
      <w:r w:rsidR="001631E4" w:rsidRPr="00E57CE5">
        <w:t>egeling. N</w:t>
      </w:r>
      <w:r w:rsidR="000C0BD2" w:rsidRPr="00E57CE5">
        <w:t xml:space="preserve">ergens </w:t>
      </w:r>
      <w:r w:rsidR="001631E4" w:rsidRPr="00E57CE5">
        <w:t>is terug te vinden wat</w:t>
      </w:r>
      <w:r w:rsidR="000C0BD2" w:rsidRPr="00E57CE5">
        <w:t xml:space="preserve"> dient te geb</w:t>
      </w:r>
      <w:r w:rsidR="003F53F9" w:rsidRPr="00E57CE5">
        <w:t xml:space="preserve">euren indien de pre-conceptuele </w:t>
      </w:r>
      <w:r w:rsidR="000C0BD2" w:rsidRPr="00E57CE5">
        <w:t>meerouderschapsovereenkomst niet wordt nageleefd.</w:t>
      </w:r>
      <w:r w:rsidR="000C0BD2" w:rsidRPr="00E57CE5">
        <w:rPr>
          <w:rStyle w:val="FootnoteReference"/>
        </w:rPr>
        <w:footnoteReference w:id="329"/>
      </w:r>
      <w:r w:rsidR="000C0BD2" w:rsidRPr="00E57CE5">
        <w:t xml:space="preserve"> </w:t>
      </w:r>
      <w:r w:rsidR="00833644" w:rsidRPr="00E57CE5">
        <w:t>Dit is b</w:t>
      </w:r>
      <w:r w:rsidR="001631E4" w:rsidRPr="00E57CE5">
        <w:t>ijvoorbeeld het geval</w:t>
      </w:r>
      <w:r w:rsidR="000C0BD2" w:rsidRPr="00E57CE5">
        <w:t xml:space="preserve"> wa</w:t>
      </w:r>
      <w:r w:rsidR="00833644" w:rsidRPr="00E57CE5">
        <w:t xml:space="preserve">nneer </w:t>
      </w:r>
      <w:r w:rsidR="001631E4" w:rsidRPr="00E57CE5">
        <w:t xml:space="preserve">tussen </w:t>
      </w:r>
      <w:r w:rsidR="000C0BD2" w:rsidRPr="00E57CE5">
        <w:t>een lesbisch koppel en e</w:t>
      </w:r>
      <w:r w:rsidR="001631E4" w:rsidRPr="00E57CE5">
        <w:t xml:space="preserve">en donor </w:t>
      </w:r>
      <w:r w:rsidR="00833644" w:rsidRPr="00E57CE5">
        <w:t>een meerouderschapsovereenkomst is gesloten en vervolgens weigeren d</w:t>
      </w:r>
      <w:r w:rsidR="000C0BD2" w:rsidRPr="00E57CE5">
        <w:t xml:space="preserve">e vrouwen dat de donor wordt geregistreerd als juridische ouder. </w:t>
      </w:r>
      <w:r w:rsidR="003F53F9" w:rsidRPr="00E57CE5">
        <w:t>Nergens is</w:t>
      </w:r>
      <w:r w:rsidR="000C0BD2" w:rsidRPr="00E57CE5">
        <w:t xml:space="preserve"> terug te vinden of de pre-conceptuele meerouderschapsovereenkomst bindende kracht heeft wat betreft de aanduiding van de juridische ouders.</w:t>
      </w:r>
      <w:r w:rsidR="000C0BD2" w:rsidRPr="00E57CE5">
        <w:rPr>
          <w:rStyle w:val="FootnoteReference"/>
        </w:rPr>
        <w:footnoteReference w:id="330"/>
      </w:r>
      <w:r w:rsidR="000C0BD2" w:rsidRPr="00E57CE5">
        <w:t xml:space="preserve"> Gez</w:t>
      </w:r>
      <w:r w:rsidR="004D6D0D" w:rsidRPr="00E57CE5">
        <w:t xml:space="preserve">ien de onduidelijkheid, </w:t>
      </w:r>
      <w:r w:rsidR="001631E4" w:rsidRPr="00E57CE5">
        <w:t xml:space="preserve">wordt </w:t>
      </w:r>
      <w:r w:rsidR="000C0BD2" w:rsidRPr="00E57CE5">
        <w:t xml:space="preserve">aangenomen dat de partijen dit conflict aan de rechter </w:t>
      </w:r>
      <w:r w:rsidR="004D6D0D" w:rsidRPr="00E57CE5">
        <w:t xml:space="preserve">moeten </w:t>
      </w:r>
      <w:r w:rsidR="000C0BD2" w:rsidRPr="00E57CE5">
        <w:t>voorleggen. De rechter kan vervolgens h</w:t>
      </w:r>
      <w:r w:rsidR="00706977" w:rsidRPr="00E57CE5">
        <w:t>et ouderschap van de donor vast</w:t>
      </w:r>
      <w:r w:rsidR="000C0BD2" w:rsidRPr="00E57CE5">
        <w:t>stellen.</w:t>
      </w:r>
      <w:r w:rsidR="000C0BD2" w:rsidRPr="00E57CE5">
        <w:rPr>
          <w:rStyle w:val="FootnoteReference"/>
        </w:rPr>
        <w:footnoteReference w:id="331"/>
      </w:r>
    </w:p>
    <w:p w:rsidR="000C0BD2" w:rsidRPr="00E57CE5" w:rsidRDefault="000C0BD2" w:rsidP="00BA4C00">
      <w:pPr>
        <w:pStyle w:val="Randnummer"/>
        <w:spacing w:line="360" w:lineRule="auto"/>
        <w:ind w:left="0" w:firstLine="0"/>
      </w:pPr>
      <w:r w:rsidRPr="00E57CE5">
        <w:t>Een tweede conflict kan zich voordoen wat betreft de afspraken gemaakt over de uitoefening en verdeling van de bevoegdheden van het ouderlijk gezag. Er is onduidelijkheid of deze afspraken bindende kracht hebben.</w:t>
      </w:r>
      <w:r w:rsidRPr="00E57CE5">
        <w:rPr>
          <w:rStyle w:val="FootnoteReference"/>
        </w:rPr>
        <w:footnoteReference w:id="332"/>
      </w:r>
      <w:r w:rsidRPr="00E57CE5">
        <w:t xml:space="preserve"> Sectie 44(2) bepaalt dat afspraken over de verdeling en uitoefening van het ouderlijk gezag slechts bindend zijn indien ze gemaakt zijn na een scheidi</w:t>
      </w:r>
      <w:r w:rsidR="007B126F" w:rsidRPr="00E57CE5">
        <w:t xml:space="preserve">ng of met oog op een scheiding. </w:t>
      </w:r>
      <w:r w:rsidRPr="00E57CE5">
        <w:t xml:space="preserve">De vraag is of deze bepaling </w:t>
      </w:r>
      <w:r w:rsidR="003F53F9" w:rsidRPr="00E57CE5">
        <w:t xml:space="preserve">toegepast kan worden </w:t>
      </w:r>
      <w:r w:rsidR="00833644" w:rsidRPr="00E57CE5">
        <w:t>op</w:t>
      </w:r>
      <w:r w:rsidRPr="00E57CE5">
        <w:t xml:space="preserve"> de afspraken gemaakt in </w:t>
      </w:r>
      <w:r w:rsidR="00833644" w:rsidRPr="00E57CE5">
        <w:t xml:space="preserve">het kader </w:t>
      </w:r>
      <w:r w:rsidRPr="00E57CE5">
        <w:t>van meerouderschap. Indien het antwoord op deze vraag positief is, hebben de afspraken bindende kracht.</w:t>
      </w:r>
      <w:r w:rsidRPr="00E57CE5">
        <w:rPr>
          <w:rStyle w:val="FootnoteReference"/>
        </w:rPr>
        <w:footnoteReference w:id="333"/>
      </w:r>
      <w:r w:rsidRPr="00E57CE5">
        <w:t xml:space="preserve"> Ingeval van niet-nakoming kan dan naar </w:t>
      </w:r>
      <w:r w:rsidRPr="00E57CE5">
        <w:lastRenderedPageBreak/>
        <w:t>de rechter gegaan worden. De maatstaf waaraan de rechter moet toetsen, is het belang van het kind.</w:t>
      </w:r>
      <w:r w:rsidRPr="00E57CE5">
        <w:rPr>
          <w:rStyle w:val="FootnoteReference"/>
        </w:rPr>
        <w:footnoteReference w:id="334"/>
      </w:r>
      <w:r w:rsidRPr="00E57CE5">
        <w:t xml:space="preserve"> Er vindt dus geen a priori rechterlijke toets</w:t>
      </w:r>
      <w:r w:rsidR="00706977" w:rsidRPr="00E57CE5">
        <w:t xml:space="preserve">ing plaats. Het is pas nadat er </w:t>
      </w:r>
      <w:r w:rsidRPr="00E57CE5">
        <w:t>een conflict is en de partijen het geschil voorleggen aan de rechter, dat de rechter de gemaakte afspraken gaat toetsen aan het belang van het kind.</w:t>
      </w:r>
      <w:r w:rsidRPr="00E57CE5">
        <w:rPr>
          <w:rStyle w:val="FootnoteReference"/>
        </w:rPr>
        <w:footnoteReference w:id="335"/>
      </w:r>
    </w:p>
    <w:p w:rsidR="000C0BD2" w:rsidRPr="00E57CE5" w:rsidRDefault="000C0BD2" w:rsidP="00BA4C00">
      <w:pPr>
        <w:pStyle w:val="Randnummer"/>
        <w:spacing w:line="360" w:lineRule="auto"/>
        <w:ind w:left="0" w:firstLine="0"/>
      </w:pPr>
      <w:r w:rsidRPr="00E57CE5">
        <w:t>Het zou wenselijk zijn</w:t>
      </w:r>
      <w:r w:rsidR="00E57CE5" w:rsidRPr="00E57CE5">
        <w:t xml:space="preserve"> dat hier meer duidelijkheid over komt</w:t>
      </w:r>
      <w:r w:rsidRPr="00E57CE5">
        <w:t>. De bindende kracht creëert immers rechtszekerheid tussen de partijen. De bindende kracht van de gemaakte afspraken kan er ook toe leiden dat de partijen meer overwogen gaan nadenken over de regelingen die ze in de overeenkomst opnemen.</w:t>
      </w:r>
      <w:r w:rsidRPr="00E57CE5">
        <w:rPr>
          <w:rStyle w:val="FootnoteReference"/>
        </w:rPr>
        <w:footnoteReference w:id="336"/>
      </w:r>
      <w:r w:rsidRPr="00E57CE5">
        <w:t xml:space="preserve"> </w:t>
      </w:r>
      <w:r w:rsidR="00833644" w:rsidRPr="00E57CE5">
        <w:t>D</w:t>
      </w:r>
      <w:r w:rsidRPr="00E57CE5">
        <w:t>e gemaakte afspraken</w:t>
      </w:r>
      <w:r w:rsidR="00833644" w:rsidRPr="00E57CE5">
        <w:t xml:space="preserve"> zijn </w:t>
      </w:r>
      <w:r w:rsidR="00E57CE5" w:rsidRPr="00E57CE5">
        <w:t xml:space="preserve">dan </w:t>
      </w:r>
      <w:r w:rsidR="00833644" w:rsidRPr="00E57CE5">
        <w:t>namelijk afdwingbaar</w:t>
      </w:r>
      <w:r w:rsidRPr="00E57CE5">
        <w:t xml:space="preserve"> ingeval van niet-nakoming.</w:t>
      </w:r>
    </w:p>
    <w:p w:rsidR="000C0BD2" w:rsidRPr="003F5A6F" w:rsidRDefault="000D6619" w:rsidP="001D7263">
      <w:pPr>
        <w:pStyle w:val="Heading3"/>
        <w:spacing w:line="360" w:lineRule="auto"/>
        <w:jc w:val="both"/>
      </w:pPr>
      <w:bookmarkStart w:id="86" w:name="_Toc449936768"/>
      <w:r>
        <w:t>Afdeling II.</w:t>
      </w:r>
      <w:r w:rsidR="00607E01">
        <w:t xml:space="preserve"> </w:t>
      </w:r>
      <w:r>
        <w:t>Afstammingsloos gezag</w:t>
      </w:r>
      <w:bookmarkEnd w:id="86"/>
    </w:p>
    <w:p w:rsidR="000C0BD2" w:rsidRDefault="00031FC9" w:rsidP="001D7263">
      <w:pPr>
        <w:pStyle w:val="Heading4"/>
        <w:spacing w:line="360" w:lineRule="auto"/>
        <w:jc w:val="both"/>
      </w:pPr>
      <w:bookmarkStart w:id="87" w:name="_Toc449936769"/>
      <w:r>
        <w:t>§1</w:t>
      </w:r>
      <w:r w:rsidR="00017330">
        <w:t xml:space="preserve">. </w:t>
      </w:r>
      <w:r w:rsidR="000C0BD2">
        <w:t>Duiding begrip</w:t>
      </w:r>
      <w:bookmarkEnd w:id="87"/>
    </w:p>
    <w:p w:rsidR="000C0BD2" w:rsidRPr="007F0885" w:rsidRDefault="00E87D3E" w:rsidP="0039282B">
      <w:pPr>
        <w:pStyle w:val="Randnummer"/>
        <w:spacing w:line="360" w:lineRule="auto"/>
        <w:ind w:left="0" w:firstLine="0"/>
      </w:pPr>
      <w:r w:rsidRPr="007F0885">
        <w:rPr>
          <w:b/>
          <w:bCs/>
        </w:rPr>
        <w:fldChar w:fldCharType="begin"/>
      </w:r>
      <w:r w:rsidR="0039282B" w:rsidRPr="007F0885">
        <w:rPr>
          <w:b/>
          <w:bCs/>
        </w:rPr>
        <w:instrText xml:space="preserve"> AUTONUMLGL  </w:instrText>
      </w:r>
      <w:r w:rsidRPr="007F0885">
        <w:rPr>
          <w:b/>
          <w:bCs/>
        </w:rPr>
        <w:fldChar w:fldCharType="end"/>
      </w:r>
      <w:r w:rsidR="0039282B" w:rsidRPr="007F0885">
        <w:rPr>
          <w:b/>
          <w:bCs/>
        </w:rPr>
        <w:t xml:space="preserve"> </w:t>
      </w:r>
      <w:r w:rsidR="000C0BD2" w:rsidRPr="007F0885">
        <w:t>Afstammingsloos gezag houdt in dat personen die geen afst</w:t>
      </w:r>
      <w:r w:rsidR="00FE6B57" w:rsidRPr="007F0885">
        <w:t>ammingsband hebben met het kind,</w:t>
      </w:r>
      <w:r w:rsidR="000C0BD2" w:rsidRPr="007F0885">
        <w:t xml:space="preserve"> ouderlijk gezag kunnen verkrijgen.</w:t>
      </w:r>
      <w:r w:rsidR="000C0BD2" w:rsidRPr="007F0885">
        <w:rPr>
          <w:rStyle w:val="FootnoteReference"/>
        </w:rPr>
        <w:footnoteReference w:id="337"/>
      </w:r>
      <w:r w:rsidR="000C0BD2" w:rsidRPr="007F0885">
        <w:t xml:space="preserve"> Er is</w:t>
      </w:r>
      <w:r w:rsidR="007F0885" w:rsidRPr="007F0885">
        <w:t xml:space="preserve"> een loskoppeling tussen</w:t>
      </w:r>
      <w:r w:rsidR="000C0BD2" w:rsidRPr="007F0885">
        <w:t xml:space="preserve"> het ouderlijk gez</w:t>
      </w:r>
      <w:r w:rsidR="007F0885" w:rsidRPr="007F0885">
        <w:t>ag en</w:t>
      </w:r>
      <w:r w:rsidR="0068221A" w:rsidRPr="007F0885">
        <w:t xml:space="preserve"> het juridisch ouderschap.</w:t>
      </w:r>
      <w:r w:rsidR="000C0BD2" w:rsidRPr="007F0885">
        <w:rPr>
          <w:rStyle w:val="FootnoteReference"/>
        </w:rPr>
        <w:footnoteReference w:id="338"/>
      </w:r>
      <w:r w:rsidR="000C0BD2" w:rsidRPr="007F0885">
        <w:t xml:space="preserve"> De titularis van de bevoegdheden van het ouderlijk gezag, is niet noodzakelijk de juridische ouder.</w:t>
      </w:r>
      <w:r w:rsidR="000C0BD2" w:rsidRPr="007F0885">
        <w:rPr>
          <w:rStyle w:val="FootnoteReference"/>
        </w:rPr>
        <w:footnoteReference w:id="339"/>
      </w:r>
    </w:p>
    <w:p w:rsidR="000C0BD2" w:rsidRPr="007F0885" w:rsidRDefault="00E87D3E" w:rsidP="0039282B">
      <w:pPr>
        <w:pStyle w:val="Randnummer"/>
        <w:spacing w:line="360" w:lineRule="auto"/>
        <w:ind w:left="0" w:firstLine="0"/>
      </w:pPr>
      <w:r w:rsidRPr="007F0885">
        <w:rPr>
          <w:b/>
          <w:bCs/>
        </w:rPr>
        <w:fldChar w:fldCharType="begin"/>
      </w:r>
      <w:r w:rsidR="0039282B" w:rsidRPr="007F0885">
        <w:rPr>
          <w:b/>
          <w:bCs/>
        </w:rPr>
        <w:instrText xml:space="preserve"> AUTONUMLGL  </w:instrText>
      </w:r>
      <w:r w:rsidRPr="007F0885">
        <w:rPr>
          <w:b/>
          <w:bCs/>
        </w:rPr>
        <w:fldChar w:fldCharType="end"/>
      </w:r>
      <w:r w:rsidR="0039282B" w:rsidRPr="007F0885">
        <w:rPr>
          <w:b/>
          <w:bCs/>
        </w:rPr>
        <w:t xml:space="preserve"> </w:t>
      </w:r>
      <w:r w:rsidR="000C0BD2" w:rsidRPr="007F0885">
        <w:t xml:space="preserve">Indien er twee juridische ouders zijn die ouderlijk gezag hebben en daarnaast aan een derde ouderlijk gezag wordt gegeven, is er sprake van “meeroudergezag”. De beperking van twee juridische ouders blijft bestaan, maar het ouderlijk gezag wordt verdeeld over meerdere </w:t>
      </w:r>
      <w:r w:rsidR="000C0BD2" w:rsidRPr="007F0885">
        <w:lastRenderedPageBreak/>
        <w:t>personen.</w:t>
      </w:r>
      <w:r w:rsidR="000C0BD2" w:rsidRPr="007F0885">
        <w:rPr>
          <w:rStyle w:val="FootnoteReference"/>
        </w:rPr>
        <w:footnoteReference w:id="340"/>
      </w:r>
      <w:r w:rsidR="000C0BD2" w:rsidRPr="007F0885">
        <w:t xml:space="preserve"> Er is een uitbreiding van het aantal gezaghouders zonder dat er nieuwe afstammingsbanden ontstaan. </w:t>
      </w:r>
    </w:p>
    <w:p w:rsidR="00F821E9" w:rsidRPr="007F0885" w:rsidRDefault="00E87D3E" w:rsidP="0039282B">
      <w:pPr>
        <w:pStyle w:val="Randnummer"/>
        <w:spacing w:line="360" w:lineRule="auto"/>
        <w:ind w:left="0" w:firstLine="0"/>
      </w:pPr>
      <w:r w:rsidRPr="007F0885">
        <w:rPr>
          <w:b/>
          <w:bCs/>
        </w:rPr>
        <w:fldChar w:fldCharType="begin"/>
      </w:r>
      <w:r w:rsidR="0039282B" w:rsidRPr="007F0885">
        <w:rPr>
          <w:b/>
          <w:bCs/>
        </w:rPr>
        <w:instrText xml:space="preserve"> AUTONUMLGL  </w:instrText>
      </w:r>
      <w:r w:rsidRPr="007F0885">
        <w:rPr>
          <w:b/>
          <w:bCs/>
        </w:rPr>
        <w:fldChar w:fldCharType="end"/>
      </w:r>
      <w:r w:rsidR="0039282B" w:rsidRPr="007F0885">
        <w:rPr>
          <w:b/>
          <w:bCs/>
        </w:rPr>
        <w:t xml:space="preserve"> </w:t>
      </w:r>
      <w:r w:rsidR="000C0BD2" w:rsidRPr="007F0885">
        <w:t>In België bestaat afstammingsloos gezag</w:t>
      </w:r>
      <w:r w:rsidR="004A7596" w:rsidRPr="007F0885">
        <w:t xml:space="preserve"> nog niet</w:t>
      </w:r>
      <w:r w:rsidR="000C0BD2" w:rsidRPr="007F0885">
        <w:t xml:space="preserve">. Voorlopig is het ouderlijk gezag nog steeds een gevolg van het juridisch ouderschap. Er zijn wetsvoorstellen hangende betreffende de invoering van afstammingsloos gezag. Deze worden in wat volgt besproken. Vooraleer deze wetsvoorstellen worden besproken, wordt het ouderlijk gezag in Engeland bestudeerd. In Engeland </w:t>
      </w:r>
      <w:r w:rsidR="00706977" w:rsidRPr="007F0885">
        <w:t>bestaat het</w:t>
      </w:r>
      <w:r w:rsidR="000C0BD2" w:rsidRPr="007F0885">
        <w:t xml:space="preserve"> afstammingsloos gezag</w:t>
      </w:r>
      <w:r w:rsidR="00706977" w:rsidRPr="007F0885">
        <w:t xml:space="preserve"> al</w:t>
      </w:r>
      <w:r w:rsidR="000C0BD2" w:rsidRPr="007F0885">
        <w:t xml:space="preserve"> en kunnen dus ook niet-juridische ouders titularis zijn van de bevoegdheden van het ouderlijk gezag.</w:t>
      </w:r>
    </w:p>
    <w:p w:rsidR="00F821E9" w:rsidRPr="00F821E9" w:rsidRDefault="00031FC9" w:rsidP="001D7263">
      <w:pPr>
        <w:pStyle w:val="Heading4"/>
        <w:spacing w:line="360" w:lineRule="auto"/>
        <w:jc w:val="both"/>
      </w:pPr>
      <w:bookmarkStart w:id="88" w:name="_Toc449936770"/>
      <w:r>
        <w:t>§2</w:t>
      </w:r>
      <w:r w:rsidR="00017330">
        <w:t xml:space="preserve">. </w:t>
      </w:r>
      <w:r w:rsidR="00F821E9">
        <w:t>Afstammingsloos gezag in Engeland</w:t>
      </w:r>
      <w:bookmarkEnd w:id="88"/>
      <w:r w:rsidR="00F821E9">
        <w:t xml:space="preserve"> </w:t>
      </w:r>
    </w:p>
    <w:p w:rsidR="00807D9B" w:rsidRPr="007F0885" w:rsidRDefault="00E87D3E" w:rsidP="0039282B">
      <w:pPr>
        <w:pStyle w:val="Randnummer"/>
        <w:spacing w:line="360" w:lineRule="auto"/>
        <w:ind w:left="0" w:firstLine="0"/>
      </w:pPr>
      <w:r w:rsidRPr="007F0885">
        <w:rPr>
          <w:b/>
          <w:bCs/>
        </w:rPr>
        <w:fldChar w:fldCharType="begin"/>
      </w:r>
      <w:r w:rsidR="0039282B" w:rsidRPr="007F0885">
        <w:rPr>
          <w:b/>
          <w:bCs/>
        </w:rPr>
        <w:instrText xml:space="preserve"> AUTONUMLGL  </w:instrText>
      </w:r>
      <w:r w:rsidRPr="007F0885">
        <w:rPr>
          <w:b/>
          <w:bCs/>
        </w:rPr>
        <w:fldChar w:fldCharType="end"/>
      </w:r>
      <w:r w:rsidR="0039282B" w:rsidRPr="007F0885">
        <w:rPr>
          <w:b/>
          <w:bCs/>
        </w:rPr>
        <w:t xml:space="preserve"> </w:t>
      </w:r>
      <w:r w:rsidR="00C44928" w:rsidRPr="007F0885">
        <w:t>Alvorens het afstammingsloos g</w:t>
      </w:r>
      <w:r w:rsidR="00D65EE8" w:rsidRPr="007F0885">
        <w:t xml:space="preserve">ezag te bespreken, worden </w:t>
      </w:r>
      <w:r w:rsidR="00C44928" w:rsidRPr="007F0885">
        <w:t>enkele begrippen uitgeleg</w:t>
      </w:r>
      <w:r w:rsidR="00B62142" w:rsidRPr="007F0885">
        <w:t>d</w:t>
      </w:r>
      <w:r w:rsidR="007F0885">
        <w:t xml:space="preserve"> zodat het geheel duidelijk is.</w:t>
      </w:r>
    </w:p>
    <w:p w:rsidR="00661FB6" w:rsidRPr="00807D9B" w:rsidRDefault="00E5128B" w:rsidP="0039282B">
      <w:pPr>
        <w:pStyle w:val="Randnummer"/>
        <w:spacing w:line="360" w:lineRule="auto"/>
        <w:ind w:left="0" w:firstLine="0"/>
      </w:pPr>
      <w:r w:rsidRPr="00807D9B">
        <w:t>-</w:t>
      </w:r>
      <w:r w:rsidR="009360AE" w:rsidRPr="00807D9B">
        <w:t xml:space="preserve"> </w:t>
      </w:r>
      <w:r w:rsidR="009360AE" w:rsidRPr="003342AA">
        <w:rPr>
          <w:i/>
        </w:rPr>
        <w:t>Residence order</w:t>
      </w:r>
      <w:r w:rsidR="009360AE" w:rsidRPr="00807D9B">
        <w:t>: e</w:t>
      </w:r>
      <w:r w:rsidR="00DD6FAC" w:rsidRPr="00807D9B">
        <w:t xml:space="preserve">en </w:t>
      </w:r>
      <w:r w:rsidR="00DD6FAC" w:rsidRPr="003342AA">
        <w:rPr>
          <w:i/>
        </w:rPr>
        <w:t>residence order</w:t>
      </w:r>
      <w:r w:rsidR="00DD6FAC" w:rsidRPr="00807D9B">
        <w:t xml:space="preserve"> is een beslissing van de rechter over de huisvestiging van het kind. Deze beslissing heeft tot gevolg dat de persoon die geniet van </w:t>
      </w:r>
      <w:r w:rsidR="003716C8" w:rsidRPr="00807D9B">
        <w:t>de</w:t>
      </w:r>
      <w:r w:rsidR="00F32F7E">
        <w:t xml:space="preserve"> </w:t>
      </w:r>
      <w:r w:rsidR="00F32F7E" w:rsidRPr="003342AA">
        <w:rPr>
          <w:i/>
        </w:rPr>
        <w:t>residence order</w:t>
      </w:r>
      <w:r w:rsidR="00F32F7E">
        <w:t>,</w:t>
      </w:r>
      <w:r w:rsidR="00DD6FAC" w:rsidRPr="00807D9B">
        <w:t xml:space="preserve"> ouderlijk gezag verkrijgt zolang de </w:t>
      </w:r>
      <w:r w:rsidR="00DD6FAC" w:rsidRPr="003342AA">
        <w:rPr>
          <w:i/>
        </w:rPr>
        <w:t>residence order</w:t>
      </w:r>
      <w:r w:rsidR="00DD6FAC" w:rsidRPr="00807D9B">
        <w:t xml:space="preserve"> van kracht is.</w:t>
      </w:r>
      <w:r w:rsidR="00DD6FAC">
        <w:rPr>
          <w:rStyle w:val="FootnoteReference"/>
        </w:rPr>
        <w:footnoteReference w:id="341"/>
      </w:r>
    </w:p>
    <w:p w:rsidR="00935C4E" w:rsidRDefault="00661FB6" w:rsidP="0039282B">
      <w:pPr>
        <w:pStyle w:val="Randnummer"/>
        <w:spacing w:line="360" w:lineRule="auto"/>
        <w:ind w:left="0" w:firstLine="0"/>
      </w:pPr>
      <w:r>
        <w:t xml:space="preserve">- </w:t>
      </w:r>
      <w:r w:rsidR="009360AE" w:rsidRPr="003342AA">
        <w:rPr>
          <w:i/>
        </w:rPr>
        <w:t>Parental responsibility agreement</w:t>
      </w:r>
      <w:r w:rsidR="009360AE" w:rsidRPr="00661FB6">
        <w:t xml:space="preserve">: een formele overeenkomst </w:t>
      </w:r>
      <w:r w:rsidRPr="00661FB6">
        <w:t>die het mogelijk maakt om aan een bepaalde persoon ouderlijk gezag te geven.</w:t>
      </w:r>
      <w:r>
        <w:rPr>
          <w:rStyle w:val="FootnoteReference"/>
        </w:rPr>
        <w:footnoteReference w:id="342"/>
      </w:r>
      <w:r w:rsidRPr="00661FB6">
        <w:t xml:space="preserve"> Deze ov</w:t>
      </w:r>
      <w:r w:rsidR="00706977">
        <w:t xml:space="preserve">ereenkomst kan gesloten worden </w:t>
      </w:r>
      <w:r w:rsidRPr="00661FB6">
        <w:t xml:space="preserve">tussen de juridische moeder en de biologische vader die niet met haar getrouwd is of tussen de juridische ouders en een stiefouder die </w:t>
      </w:r>
      <w:r w:rsidR="00841ED2">
        <w:t>een formele relatie heeft met éé</w:t>
      </w:r>
      <w:r w:rsidRPr="00661FB6">
        <w:t>n van de juridische ouders.</w:t>
      </w:r>
      <w:r w:rsidR="00935C4E">
        <w:rPr>
          <w:rStyle w:val="FootnoteReference"/>
        </w:rPr>
        <w:footnoteReference w:id="343"/>
      </w:r>
      <w:r w:rsidRPr="00661FB6">
        <w:t xml:space="preserve"> De ongehuwde biologische vader of de stiefouder verkrijgt dankzij deze overeenkomst ouderlijk gezag naast de juridische moeder respectievelijk naast de juridische ouders.</w:t>
      </w:r>
      <w:r w:rsidR="00935C4E">
        <w:rPr>
          <w:rStyle w:val="FootnoteReference"/>
        </w:rPr>
        <w:footnoteReference w:id="344"/>
      </w:r>
    </w:p>
    <w:p w:rsidR="009360AE" w:rsidRDefault="00935C4E" w:rsidP="0039282B">
      <w:pPr>
        <w:pStyle w:val="Randnummer"/>
        <w:spacing w:line="360" w:lineRule="auto"/>
        <w:ind w:left="0" w:firstLine="0"/>
      </w:pPr>
      <w:r>
        <w:t xml:space="preserve">- </w:t>
      </w:r>
      <w:r w:rsidR="00661FB6" w:rsidRPr="003342AA">
        <w:rPr>
          <w:i/>
        </w:rPr>
        <w:t>Parental responsibility order</w:t>
      </w:r>
      <w:r w:rsidR="00661FB6" w:rsidRPr="00661FB6">
        <w:t xml:space="preserve">: </w:t>
      </w:r>
      <w:r>
        <w:t>Ee</w:t>
      </w:r>
      <w:r w:rsidR="00841ED2">
        <w:t>n rechterlijke beslissing waardoor</w:t>
      </w:r>
      <w:r>
        <w:t xml:space="preserve"> een persoon ouderlijk gezag verkrijgt.</w:t>
      </w:r>
      <w:r>
        <w:rPr>
          <w:rStyle w:val="FootnoteReference"/>
        </w:rPr>
        <w:footnoteReference w:id="345"/>
      </w:r>
    </w:p>
    <w:p w:rsidR="00A04079" w:rsidRPr="00661FB6" w:rsidRDefault="00A04079" w:rsidP="0039282B">
      <w:pPr>
        <w:pStyle w:val="Randnummer"/>
        <w:spacing w:line="360" w:lineRule="auto"/>
        <w:ind w:left="0" w:firstLine="0"/>
      </w:pPr>
      <w:r>
        <w:lastRenderedPageBreak/>
        <w:t xml:space="preserve">- </w:t>
      </w:r>
      <w:r w:rsidR="00A82EF8" w:rsidRPr="003342AA">
        <w:rPr>
          <w:i/>
        </w:rPr>
        <w:t>Testamentary guardianship</w:t>
      </w:r>
      <w:r>
        <w:t>: Een ouder die ouderlijk gezag heeft, kan een andere persoon aanduiden die d</w:t>
      </w:r>
      <w:r w:rsidR="00841ED2">
        <w:t>e voogd van zijn kind zal zijn in</w:t>
      </w:r>
      <w:r>
        <w:t>dien de ouder overlijdt.</w:t>
      </w:r>
      <w:r>
        <w:rPr>
          <w:rStyle w:val="FootnoteReference"/>
        </w:rPr>
        <w:footnoteReference w:id="346"/>
      </w:r>
      <w:r>
        <w:t xml:space="preserve"> Deze voogd heeft ouderlijk gezag ten aanzien van het kind.</w:t>
      </w:r>
      <w:r>
        <w:rPr>
          <w:rStyle w:val="FootnoteReference"/>
        </w:rPr>
        <w:footnoteReference w:id="347"/>
      </w:r>
      <w:r w:rsidR="00A82EF8">
        <w:t xml:space="preserve"> Deze aanduiding heeft pas effect op het moment dat de ouder die de voogd heeft aangeduid overleden is en er geen andere ouder met ouderlijk gezag is.</w:t>
      </w:r>
      <w:r w:rsidR="00A82EF8">
        <w:rPr>
          <w:rStyle w:val="FootnoteReference"/>
        </w:rPr>
        <w:footnoteReference w:id="348"/>
      </w:r>
    </w:p>
    <w:p w:rsidR="000C0BD2" w:rsidRPr="007D080B" w:rsidRDefault="00031FC9" w:rsidP="001D7263">
      <w:pPr>
        <w:pStyle w:val="Heading5"/>
        <w:spacing w:line="360" w:lineRule="auto"/>
        <w:jc w:val="both"/>
        <w:rPr>
          <w:lang w:val="en-US"/>
        </w:rPr>
      </w:pPr>
      <w:bookmarkStart w:id="89" w:name="_Toc449936771"/>
      <w:r>
        <w:rPr>
          <w:lang w:val="en-US"/>
        </w:rPr>
        <w:t>A</w:t>
      </w:r>
      <w:r w:rsidR="00017330" w:rsidRPr="007D080B">
        <w:rPr>
          <w:lang w:val="en-US"/>
        </w:rPr>
        <w:t xml:space="preserve">. </w:t>
      </w:r>
      <w:r w:rsidR="000C0BD2" w:rsidRPr="007D080B">
        <w:rPr>
          <w:lang w:val="en-US"/>
        </w:rPr>
        <w:t>Concept ouderlijk gezag</w:t>
      </w:r>
      <w:bookmarkEnd w:id="89"/>
    </w:p>
    <w:p w:rsidR="00B62142" w:rsidRPr="00017330" w:rsidRDefault="00031FC9" w:rsidP="001D7263">
      <w:pPr>
        <w:pStyle w:val="Heading6"/>
        <w:spacing w:line="360" w:lineRule="auto"/>
        <w:jc w:val="both"/>
        <w:rPr>
          <w:lang w:val="en-US"/>
        </w:rPr>
      </w:pPr>
      <w:bookmarkStart w:id="90" w:name="_Toc449936772"/>
      <w:r>
        <w:rPr>
          <w:lang w:val="en-US"/>
        </w:rPr>
        <w:t>1</w:t>
      </w:r>
      <w:r w:rsidR="00017330" w:rsidRPr="00017330">
        <w:rPr>
          <w:lang w:val="en-US"/>
        </w:rPr>
        <w:t xml:space="preserve">. </w:t>
      </w:r>
      <w:r w:rsidR="000C0BD2" w:rsidRPr="00017330">
        <w:rPr>
          <w:lang w:val="en-US"/>
        </w:rPr>
        <w:t>Parental Responsibility</w:t>
      </w:r>
      <w:bookmarkEnd w:id="90"/>
    </w:p>
    <w:p w:rsidR="00B62142" w:rsidRPr="007F0885" w:rsidRDefault="00E87D3E" w:rsidP="0039282B">
      <w:pPr>
        <w:pStyle w:val="Randnummer"/>
        <w:spacing w:line="360" w:lineRule="auto"/>
        <w:ind w:left="0" w:firstLine="0"/>
        <w:rPr>
          <w:b/>
          <w:bCs/>
        </w:rPr>
      </w:pPr>
      <w:r w:rsidRPr="007F0885">
        <w:rPr>
          <w:b/>
          <w:bCs/>
        </w:rPr>
        <w:fldChar w:fldCharType="begin"/>
      </w:r>
      <w:r w:rsidR="0039282B" w:rsidRPr="007F0885">
        <w:rPr>
          <w:b/>
          <w:bCs/>
          <w:lang w:val="en-US"/>
        </w:rPr>
        <w:instrText xml:space="preserve"> AUTONUMLGL  </w:instrText>
      </w:r>
      <w:r w:rsidRPr="007F0885">
        <w:rPr>
          <w:b/>
          <w:bCs/>
        </w:rPr>
        <w:fldChar w:fldCharType="end"/>
      </w:r>
      <w:r w:rsidR="0039282B" w:rsidRPr="007F0885">
        <w:rPr>
          <w:b/>
          <w:bCs/>
          <w:lang w:val="en-US"/>
        </w:rPr>
        <w:t xml:space="preserve"> </w:t>
      </w:r>
      <w:r w:rsidR="00B62142" w:rsidRPr="007F0885">
        <w:rPr>
          <w:lang w:val="en-US"/>
        </w:rPr>
        <w:t xml:space="preserve">Artikel 3(1) CA. omschrijft het ouderlijk gezag als volgt: </w:t>
      </w:r>
      <w:r w:rsidR="00B62142" w:rsidRPr="007F0885">
        <w:rPr>
          <w:i/>
          <w:lang w:val="en-US"/>
        </w:rPr>
        <w:t>“Parental responsibility is all the rights, duties, powers, responsibilities and authority which by law a parent of a child has in relation to the child and his property.”</w:t>
      </w:r>
      <w:r w:rsidR="00B62142" w:rsidRPr="007F0885">
        <w:rPr>
          <w:rStyle w:val="FootnoteReference"/>
          <w:i/>
          <w:lang w:val="en-US"/>
        </w:rPr>
        <w:footnoteReference w:id="349"/>
      </w:r>
      <w:r w:rsidR="00B62142" w:rsidRPr="007F0885">
        <w:rPr>
          <w:lang w:val="en-US"/>
        </w:rPr>
        <w:t xml:space="preserve"> </w:t>
      </w:r>
      <w:r w:rsidR="00B62142" w:rsidRPr="007F0885">
        <w:t>Onder het ouderlijk g</w:t>
      </w:r>
      <w:r w:rsidR="00376C1C" w:rsidRPr="007F0885">
        <w:t>ezag valt onder andere</w:t>
      </w:r>
      <w:r w:rsidR="00B62142" w:rsidRPr="007F0885">
        <w:t xml:space="preserve"> de bevoegdheid om over de opvoeding, </w:t>
      </w:r>
      <w:r w:rsidR="00841ED2" w:rsidRPr="007F0885">
        <w:t xml:space="preserve">de </w:t>
      </w:r>
      <w:r w:rsidR="00B62142" w:rsidRPr="007F0885">
        <w:t xml:space="preserve">geloofskeuze en </w:t>
      </w:r>
      <w:r w:rsidR="00841ED2" w:rsidRPr="007F0885">
        <w:t xml:space="preserve">de </w:t>
      </w:r>
      <w:r w:rsidR="00B62142" w:rsidRPr="007F0885">
        <w:t>medische behandelingen van het kind te beslissen.</w:t>
      </w:r>
      <w:r w:rsidR="00B62142" w:rsidRPr="007F0885">
        <w:rPr>
          <w:rStyle w:val="FootnoteReference"/>
        </w:rPr>
        <w:footnoteReference w:id="350"/>
      </w:r>
    </w:p>
    <w:p w:rsidR="000C0BD2" w:rsidRPr="007F0885" w:rsidRDefault="00E87D3E" w:rsidP="0039282B">
      <w:pPr>
        <w:pStyle w:val="Randnummer"/>
        <w:spacing w:line="360" w:lineRule="auto"/>
        <w:ind w:left="0" w:firstLine="0"/>
      </w:pPr>
      <w:r w:rsidRPr="007F0885">
        <w:rPr>
          <w:b/>
          <w:bCs/>
        </w:rPr>
        <w:fldChar w:fldCharType="begin"/>
      </w:r>
      <w:r w:rsidR="0039282B" w:rsidRPr="007F0885">
        <w:rPr>
          <w:b/>
          <w:bCs/>
        </w:rPr>
        <w:instrText xml:space="preserve"> AUTONUMLGL  </w:instrText>
      </w:r>
      <w:r w:rsidRPr="007F0885">
        <w:rPr>
          <w:b/>
          <w:bCs/>
        </w:rPr>
        <w:fldChar w:fldCharType="end"/>
      </w:r>
      <w:r w:rsidR="0039282B" w:rsidRPr="007F0885">
        <w:rPr>
          <w:b/>
          <w:bCs/>
        </w:rPr>
        <w:t xml:space="preserve"> </w:t>
      </w:r>
      <w:r w:rsidR="00B62142" w:rsidRPr="007F0885">
        <w:t xml:space="preserve">De </w:t>
      </w:r>
      <w:r w:rsidR="00947606" w:rsidRPr="007F0885">
        <w:t>Children Act 1989 heeft het concept “ouderlijk gezag” (parental responsibility) geïntroduceerd in Engeland, daar waar het vroeger ging om het concept “ouderlijke macht” (parental authority).</w:t>
      </w:r>
      <w:r w:rsidR="00947606" w:rsidRPr="007F0885">
        <w:rPr>
          <w:rStyle w:val="FootnoteReference"/>
        </w:rPr>
        <w:footnoteReference w:id="351"/>
      </w:r>
      <w:r w:rsidR="00947606" w:rsidRPr="007F0885">
        <w:t xml:space="preserve"> Deze</w:t>
      </w:r>
      <w:r w:rsidR="000C0BD2" w:rsidRPr="007F0885">
        <w:t xml:space="preserve"> verandering is belangrijk en wijst erop dat kinderen </w:t>
      </w:r>
      <w:r w:rsidR="00F56A2F" w:rsidRPr="007F0885">
        <w:t>voortaan worden gezien als personen v</w:t>
      </w:r>
      <w:r w:rsidR="00841ED2" w:rsidRPr="007F0885">
        <w:t>oor wie de ouders moeten zorgen</w:t>
      </w:r>
      <w:r w:rsidR="00F56A2F" w:rsidRPr="007F0885">
        <w:t xml:space="preserve"> en </w:t>
      </w:r>
      <w:r w:rsidR="000C0BD2" w:rsidRPr="007F0885">
        <w:t xml:space="preserve">niet langer </w:t>
      </w:r>
      <w:r w:rsidR="00F56A2F" w:rsidRPr="007F0885">
        <w:t>beschouwd worden</w:t>
      </w:r>
      <w:r w:rsidR="00947606" w:rsidRPr="007F0885">
        <w:t xml:space="preserve"> als eigendom van de ouders.</w:t>
      </w:r>
      <w:r w:rsidR="00947606" w:rsidRPr="007F0885">
        <w:rPr>
          <w:rStyle w:val="FootnoteReference"/>
        </w:rPr>
        <w:footnoteReference w:id="352"/>
      </w:r>
      <w:r w:rsidR="000C0BD2" w:rsidRPr="007F0885">
        <w:t xml:space="preserve"> Het ouderlijk gezag is een g</w:t>
      </w:r>
      <w:r w:rsidR="00706977" w:rsidRPr="007F0885">
        <w:t>eheel van doel</w:t>
      </w:r>
      <w:r w:rsidR="00F56A2F" w:rsidRPr="007F0885">
        <w:t>gebonden rechten ter bevordering van het welzijn van het kind.</w:t>
      </w:r>
      <w:r w:rsidR="00F56A2F" w:rsidRPr="007F0885">
        <w:rPr>
          <w:rStyle w:val="FootnoteReference"/>
        </w:rPr>
        <w:footnoteReference w:id="353"/>
      </w:r>
      <w:r w:rsidR="000C0BD2" w:rsidRPr="007F0885">
        <w:t xml:space="preserve"> </w:t>
      </w:r>
    </w:p>
    <w:p w:rsidR="000C0BD2" w:rsidRDefault="00031FC9" w:rsidP="001D7263">
      <w:pPr>
        <w:pStyle w:val="Heading6"/>
        <w:spacing w:line="360" w:lineRule="auto"/>
        <w:jc w:val="both"/>
      </w:pPr>
      <w:bookmarkStart w:id="91" w:name="_Toc449936773"/>
      <w:r>
        <w:lastRenderedPageBreak/>
        <w:t>2</w:t>
      </w:r>
      <w:r w:rsidR="00017330">
        <w:t>.</w:t>
      </w:r>
      <w:r>
        <w:t xml:space="preserve"> </w:t>
      </w:r>
      <w:r w:rsidR="000C0BD2">
        <w:t>Losk</w:t>
      </w:r>
      <w:r w:rsidR="00106D6E">
        <w:t xml:space="preserve">oppeling ouderlijk gezag en </w:t>
      </w:r>
      <w:r w:rsidR="000C0BD2">
        <w:t>juridisch ouderschap</w:t>
      </w:r>
      <w:bookmarkEnd w:id="91"/>
    </w:p>
    <w:p w:rsidR="000C0BD2" w:rsidRPr="007F0885" w:rsidRDefault="00E87D3E" w:rsidP="00E67B2D">
      <w:pPr>
        <w:pStyle w:val="Randnummer"/>
        <w:spacing w:line="360" w:lineRule="auto"/>
        <w:ind w:left="0" w:firstLine="0"/>
      </w:pPr>
      <w:r w:rsidRPr="007F0885">
        <w:rPr>
          <w:b/>
          <w:bCs/>
        </w:rPr>
        <w:fldChar w:fldCharType="begin"/>
      </w:r>
      <w:r w:rsidR="00E67B2D" w:rsidRPr="007F0885">
        <w:rPr>
          <w:b/>
          <w:bCs/>
        </w:rPr>
        <w:instrText xml:space="preserve"> AUTONUMLGL  </w:instrText>
      </w:r>
      <w:r w:rsidRPr="007F0885">
        <w:rPr>
          <w:b/>
          <w:bCs/>
        </w:rPr>
        <w:fldChar w:fldCharType="end"/>
      </w:r>
      <w:r w:rsidR="00E67B2D" w:rsidRPr="007F0885">
        <w:rPr>
          <w:b/>
          <w:bCs/>
        </w:rPr>
        <w:t xml:space="preserve"> </w:t>
      </w:r>
      <w:r w:rsidR="000C0BD2" w:rsidRPr="007F0885">
        <w:t xml:space="preserve">In Engeland </w:t>
      </w:r>
      <w:r w:rsidR="000403B1" w:rsidRPr="007F0885">
        <w:t>bestaat</w:t>
      </w:r>
      <w:r w:rsidR="000C0BD2" w:rsidRPr="007F0885">
        <w:t xml:space="preserve"> reeds een loskoppeling tussen het juridisch ouderschap</w:t>
      </w:r>
      <w:r w:rsidR="005E7A03" w:rsidRPr="007F0885">
        <w:t xml:space="preserve"> (parenthood)</w:t>
      </w:r>
      <w:r w:rsidR="000C0BD2" w:rsidRPr="007F0885">
        <w:t xml:space="preserve"> en het ouderlijk gezag</w:t>
      </w:r>
      <w:r w:rsidR="005E7A03" w:rsidRPr="007F0885">
        <w:t xml:space="preserve"> (parental responsibility)</w:t>
      </w:r>
      <w:r w:rsidR="000C0BD2" w:rsidRPr="007F0885">
        <w:t>.</w:t>
      </w:r>
      <w:r w:rsidR="00F56A2F" w:rsidRPr="007F0885">
        <w:rPr>
          <w:rStyle w:val="FootnoteReference"/>
        </w:rPr>
        <w:footnoteReference w:id="354"/>
      </w:r>
      <w:r w:rsidR="000C0BD2" w:rsidRPr="007F0885">
        <w:t xml:space="preserve"> Het ouderlijk gezag is geen gevolg van de afstammingsband en kan door niet-juridische ouders worden uitgeoefend.</w:t>
      </w:r>
      <w:r w:rsidR="004C548C" w:rsidRPr="007F0885">
        <w:rPr>
          <w:rStyle w:val="FootnoteReference"/>
        </w:rPr>
        <w:footnoteReference w:id="355"/>
      </w:r>
    </w:p>
    <w:p w:rsidR="000C0BD2" w:rsidRPr="007F0885" w:rsidRDefault="00E87D3E" w:rsidP="00E67B2D">
      <w:pPr>
        <w:pStyle w:val="Randnummer"/>
        <w:spacing w:line="360" w:lineRule="auto"/>
        <w:ind w:left="0" w:firstLine="0"/>
      </w:pPr>
      <w:r w:rsidRPr="007F0885">
        <w:rPr>
          <w:b/>
          <w:bCs/>
        </w:rPr>
        <w:fldChar w:fldCharType="begin"/>
      </w:r>
      <w:r w:rsidR="00E67B2D" w:rsidRPr="007F0885">
        <w:rPr>
          <w:b/>
          <w:bCs/>
        </w:rPr>
        <w:instrText xml:space="preserve"> AUTONUMLGL  </w:instrText>
      </w:r>
      <w:r w:rsidRPr="007F0885">
        <w:rPr>
          <w:b/>
          <w:bCs/>
        </w:rPr>
        <w:fldChar w:fldCharType="end"/>
      </w:r>
      <w:r w:rsidR="00E67B2D" w:rsidRPr="007F0885">
        <w:rPr>
          <w:b/>
          <w:bCs/>
        </w:rPr>
        <w:t xml:space="preserve"> </w:t>
      </w:r>
      <w:r w:rsidR="000C0BD2" w:rsidRPr="007F0885">
        <w:t>In tegenstelling tot het juridisch ouderschap dat beperkt is tot twee personen, kan het ouderlijk gezag door een onbeperkt aantal personen worden uitgeoefend.</w:t>
      </w:r>
      <w:r w:rsidR="00F56A2F" w:rsidRPr="007F0885">
        <w:rPr>
          <w:rStyle w:val="FootnoteReference"/>
        </w:rPr>
        <w:footnoteReference w:id="356"/>
      </w:r>
      <w:r w:rsidR="000C0BD2" w:rsidRPr="007F0885">
        <w:t xml:space="preserve"> </w:t>
      </w:r>
      <w:r w:rsidR="00F56A2F" w:rsidRPr="007F0885">
        <w:t>Deze mogelijkheid is gecreëerd door de Children Act 1989.</w:t>
      </w:r>
      <w:r w:rsidR="00F56A2F" w:rsidRPr="007F0885">
        <w:rPr>
          <w:rStyle w:val="FootnoteReference"/>
        </w:rPr>
        <w:footnoteReference w:id="357"/>
      </w:r>
      <w:r w:rsidR="00F56A2F" w:rsidRPr="007F0885">
        <w:t xml:space="preserve"> </w:t>
      </w:r>
      <w:r w:rsidR="000C0BD2" w:rsidRPr="007F0885">
        <w:t>De uitbereiding van het aantal geza</w:t>
      </w:r>
      <w:r w:rsidR="00F70FDD" w:rsidRPr="007F0885">
        <w:t>g</w:t>
      </w:r>
      <w:r w:rsidR="000A7529" w:rsidRPr="007F0885">
        <w:t>houders dient twee belangen.</w:t>
      </w:r>
      <w:r w:rsidR="000A7529" w:rsidRPr="007F0885">
        <w:rPr>
          <w:rStyle w:val="FootnoteReference"/>
        </w:rPr>
        <w:footnoteReference w:id="358"/>
      </w:r>
      <w:r w:rsidR="000A7529" w:rsidRPr="007F0885">
        <w:t xml:space="preserve"> </w:t>
      </w:r>
      <w:r w:rsidR="000C0BD2" w:rsidRPr="007F0885">
        <w:t xml:space="preserve">Ten eerste </w:t>
      </w:r>
      <w:r w:rsidR="00841ED2" w:rsidRPr="007F0885">
        <w:t>worden de belangen</w:t>
      </w:r>
      <w:r w:rsidR="000C0BD2" w:rsidRPr="007F0885">
        <w:t xml:space="preserve"> van de sociale ouders beter</w:t>
      </w:r>
      <w:r w:rsidR="00841ED2" w:rsidRPr="007F0885">
        <w:t xml:space="preserve"> beschermd</w:t>
      </w:r>
      <w:r w:rsidR="000C0BD2" w:rsidRPr="007F0885">
        <w:t xml:space="preserve">. Ten tweede mag de bescherming van de sociale ouders niet ten koste gaan van de juridische ouders. </w:t>
      </w:r>
      <w:r w:rsidR="00E5128B" w:rsidRPr="007F0885">
        <w:t>De</w:t>
      </w:r>
      <w:r w:rsidR="000C0BD2" w:rsidRPr="007F0885">
        <w:t xml:space="preserve"> sociale ouders </w:t>
      </w:r>
      <w:r w:rsidR="00E5128B" w:rsidRPr="007F0885">
        <w:t>verkrijgen dus gezag</w:t>
      </w:r>
      <w:r w:rsidR="000C0BD2" w:rsidRPr="007F0885">
        <w:t>, zonder dat deze toekenning raakt aan de positie van de juridische ouders.</w:t>
      </w:r>
      <w:r w:rsidR="00706977" w:rsidRPr="007F0885">
        <w:rPr>
          <w:rStyle w:val="FootnoteReference"/>
        </w:rPr>
        <w:footnoteReference w:id="359"/>
      </w:r>
    </w:p>
    <w:p w:rsidR="000C0BD2" w:rsidRDefault="00031FC9" w:rsidP="001D7263">
      <w:pPr>
        <w:pStyle w:val="Heading5"/>
        <w:spacing w:line="360" w:lineRule="auto"/>
        <w:jc w:val="both"/>
      </w:pPr>
      <w:bookmarkStart w:id="92" w:name="_Toc449936774"/>
      <w:r>
        <w:t>B</w:t>
      </w:r>
      <w:r w:rsidR="00017330">
        <w:t xml:space="preserve">. </w:t>
      </w:r>
      <w:r w:rsidR="000C0BD2">
        <w:t>Verkrijging ouderlijk gezag</w:t>
      </w:r>
      <w:bookmarkEnd w:id="92"/>
    </w:p>
    <w:p w:rsidR="000C0BD2" w:rsidRDefault="00031FC9" w:rsidP="001D7263">
      <w:pPr>
        <w:pStyle w:val="Heading6"/>
        <w:spacing w:line="360" w:lineRule="auto"/>
        <w:jc w:val="both"/>
      </w:pPr>
      <w:bookmarkStart w:id="93" w:name="_Toc449936775"/>
      <w:r>
        <w:t>1</w:t>
      </w:r>
      <w:r w:rsidR="00017330">
        <w:t xml:space="preserve">. </w:t>
      </w:r>
      <w:r w:rsidR="000C0BD2">
        <w:t xml:space="preserve">Juridische </w:t>
      </w:r>
      <w:r w:rsidR="00760487">
        <w:t>ouders</w:t>
      </w:r>
      <w:bookmarkEnd w:id="93"/>
    </w:p>
    <w:p w:rsidR="00760487" w:rsidRPr="007F0885" w:rsidRDefault="00E87D3E" w:rsidP="00E67B2D">
      <w:pPr>
        <w:pStyle w:val="Randnummer"/>
        <w:spacing w:line="360" w:lineRule="auto"/>
        <w:ind w:left="0" w:firstLine="0"/>
      </w:pPr>
      <w:r w:rsidRPr="007F0885">
        <w:rPr>
          <w:b/>
          <w:bCs/>
        </w:rPr>
        <w:fldChar w:fldCharType="begin"/>
      </w:r>
      <w:r w:rsidR="00E67B2D" w:rsidRPr="007F0885">
        <w:rPr>
          <w:b/>
          <w:bCs/>
        </w:rPr>
        <w:instrText xml:space="preserve"> AUTONUMLGL  </w:instrText>
      </w:r>
      <w:r w:rsidRPr="007F0885">
        <w:rPr>
          <w:b/>
          <w:bCs/>
        </w:rPr>
        <w:fldChar w:fldCharType="end"/>
      </w:r>
      <w:r w:rsidR="00E67B2D" w:rsidRPr="007F0885">
        <w:rPr>
          <w:b/>
          <w:bCs/>
        </w:rPr>
        <w:t xml:space="preserve"> </w:t>
      </w:r>
      <w:r w:rsidR="000C0BD2" w:rsidRPr="007F0885">
        <w:t>De geboortemoeder is altijd</w:t>
      </w:r>
      <w:r w:rsidR="003C5CEC" w:rsidRPr="007F0885">
        <w:t xml:space="preserve"> van rechtswege</w:t>
      </w:r>
      <w:r w:rsidR="000C0BD2" w:rsidRPr="007F0885">
        <w:t xml:space="preserve"> </w:t>
      </w:r>
      <w:r w:rsidR="00841ED2" w:rsidRPr="007F0885">
        <w:t xml:space="preserve">de </w:t>
      </w:r>
      <w:r w:rsidR="000C0BD2" w:rsidRPr="007F0885">
        <w:t>juridisch</w:t>
      </w:r>
      <w:r w:rsidR="00841ED2" w:rsidRPr="007F0885">
        <w:t>e</w:t>
      </w:r>
      <w:r w:rsidR="000C0BD2" w:rsidRPr="007F0885">
        <w:t xml:space="preserve"> moeder van het kind</w:t>
      </w:r>
      <w:r w:rsidR="00760487" w:rsidRPr="007F0885">
        <w:t xml:space="preserve"> en heeft van rechtswege ouderlijk gezag</w:t>
      </w:r>
      <w:r w:rsidR="000C0BD2" w:rsidRPr="007F0885">
        <w:t>.</w:t>
      </w:r>
      <w:r w:rsidR="000C0BD2" w:rsidRPr="007F0885">
        <w:rPr>
          <w:rStyle w:val="FootnoteReference"/>
        </w:rPr>
        <w:footnoteReference w:id="360"/>
      </w:r>
      <w:r w:rsidR="00003FE9" w:rsidRPr="007F0885">
        <w:t xml:space="preserve"> </w:t>
      </w:r>
      <w:r w:rsidR="000C0BD2" w:rsidRPr="007F0885">
        <w:t>Voor het juridisch vaderschap word</w:t>
      </w:r>
      <w:r w:rsidR="00706977" w:rsidRPr="007F0885">
        <w:t xml:space="preserve">t </w:t>
      </w:r>
      <w:r w:rsidR="000C0BD2" w:rsidRPr="007F0885">
        <w:t>een onderscheid gemaakt tussen de gehuwde en ongehuwde vader.</w:t>
      </w:r>
    </w:p>
    <w:p w:rsidR="00706977" w:rsidRPr="007F0885" w:rsidRDefault="00E87D3E" w:rsidP="00E67B2D">
      <w:pPr>
        <w:pStyle w:val="Randnummer"/>
        <w:spacing w:line="360" w:lineRule="auto"/>
        <w:ind w:left="0" w:firstLine="0"/>
      </w:pPr>
      <w:r w:rsidRPr="007F0885">
        <w:rPr>
          <w:b/>
          <w:bCs/>
        </w:rPr>
        <w:fldChar w:fldCharType="begin"/>
      </w:r>
      <w:r w:rsidR="00E67B2D" w:rsidRPr="007F0885">
        <w:rPr>
          <w:b/>
          <w:bCs/>
        </w:rPr>
        <w:instrText xml:space="preserve"> AUTONUMLGL  </w:instrText>
      </w:r>
      <w:r w:rsidRPr="007F0885">
        <w:rPr>
          <w:b/>
          <w:bCs/>
        </w:rPr>
        <w:fldChar w:fldCharType="end"/>
      </w:r>
      <w:r w:rsidR="00E67B2D" w:rsidRPr="007F0885">
        <w:rPr>
          <w:b/>
          <w:bCs/>
        </w:rPr>
        <w:t xml:space="preserve"> </w:t>
      </w:r>
      <w:r w:rsidR="000C0BD2" w:rsidRPr="007F0885">
        <w:t>De vader die gehuwd is met de moeder van het kind, wordt van rechtswege vermoed</w:t>
      </w:r>
      <w:r w:rsidR="00841ED2" w:rsidRPr="007F0885">
        <w:t xml:space="preserve"> de</w:t>
      </w:r>
      <w:r w:rsidR="000C0BD2" w:rsidRPr="007F0885">
        <w:t xml:space="preserve"> juridisch</w:t>
      </w:r>
      <w:r w:rsidR="00841ED2" w:rsidRPr="007F0885">
        <w:t>e</w:t>
      </w:r>
      <w:r w:rsidR="000C0BD2" w:rsidRPr="007F0885">
        <w:t xml:space="preserve"> vader te zijn en heeft van rechtswege ouderlijk gezag over het kind.</w:t>
      </w:r>
      <w:r w:rsidR="000C0BD2" w:rsidRPr="007F0885">
        <w:rPr>
          <w:rStyle w:val="FootnoteReference"/>
        </w:rPr>
        <w:footnoteReference w:id="361"/>
      </w:r>
      <w:r w:rsidR="000C0BD2" w:rsidRPr="007F0885">
        <w:t xml:space="preserve"> </w:t>
      </w:r>
    </w:p>
    <w:p w:rsidR="00706977" w:rsidRPr="007F0885" w:rsidRDefault="000C0BD2" w:rsidP="00E67B2D">
      <w:pPr>
        <w:pStyle w:val="Randnummer"/>
        <w:spacing w:line="360" w:lineRule="auto"/>
        <w:ind w:left="0" w:firstLine="0"/>
      </w:pPr>
      <w:r w:rsidRPr="007F0885">
        <w:t>De vader die niet gehuwd is met de moeder</w:t>
      </w:r>
      <w:r w:rsidR="00003FE9" w:rsidRPr="007F0885">
        <w:t>,</w:t>
      </w:r>
      <w:r w:rsidR="00127E65" w:rsidRPr="007F0885">
        <w:t xml:space="preserve"> is niet van rechtswege juridisch vader. Hij</w:t>
      </w:r>
      <w:r w:rsidR="008B35EB" w:rsidRPr="007F0885">
        <w:t xml:space="preserve"> </w:t>
      </w:r>
      <w:r w:rsidR="00376C1C" w:rsidRPr="007F0885">
        <w:t>kan onder andere</w:t>
      </w:r>
      <w:r w:rsidR="00E01C99" w:rsidRPr="007F0885">
        <w:t xml:space="preserve"> juridisch vader worden door te bewijzen dat hij de genetische vader van het kind </w:t>
      </w:r>
      <w:r w:rsidR="00E01C99" w:rsidRPr="007F0885">
        <w:lastRenderedPageBreak/>
        <w:t>is.</w:t>
      </w:r>
      <w:r w:rsidR="00E01C99" w:rsidRPr="007F0885">
        <w:rPr>
          <w:rStyle w:val="FootnoteReference"/>
        </w:rPr>
        <w:footnoteReference w:id="362"/>
      </w:r>
      <w:r w:rsidR="00E01C99" w:rsidRPr="007F0885">
        <w:t xml:space="preserve"> Hij </w:t>
      </w:r>
      <w:r w:rsidRPr="007F0885">
        <w:t xml:space="preserve">verkrijgt </w:t>
      </w:r>
      <w:r w:rsidR="00E01C99" w:rsidRPr="007F0885">
        <w:t xml:space="preserve">echter </w:t>
      </w:r>
      <w:r w:rsidRPr="007F0885">
        <w:t>niet automatisch het ouderlijk ge</w:t>
      </w:r>
      <w:r w:rsidR="00003FE9" w:rsidRPr="007F0885">
        <w:t>zag.</w:t>
      </w:r>
      <w:r w:rsidR="00760487" w:rsidRPr="007F0885">
        <w:rPr>
          <w:rStyle w:val="FootnoteReference"/>
        </w:rPr>
        <w:footnoteReference w:id="363"/>
      </w:r>
      <w:r w:rsidR="00003FE9" w:rsidRPr="007F0885">
        <w:t xml:space="preserve"> Hij kan d</w:t>
      </w:r>
      <w:r w:rsidR="00262755" w:rsidRPr="007F0885">
        <w:t xml:space="preserve">it verkrijgen op vier manieren: </w:t>
      </w:r>
      <w:r w:rsidR="00003FE9" w:rsidRPr="007F0885">
        <w:t>door samen met de moeder geregistreerd te zijn als ouder o</w:t>
      </w:r>
      <w:r w:rsidR="00262755" w:rsidRPr="007F0885">
        <w:t xml:space="preserve">p de geboorteakte van het kind, </w:t>
      </w:r>
      <w:r w:rsidR="00003FE9" w:rsidRPr="007F0885">
        <w:t xml:space="preserve">door een </w:t>
      </w:r>
      <w:r w:rsidR="00003FE9" w:rsidRPr="007F0885">
        <w:rPr>
          <w:i/>
        </w:rPr>
        <w:t>parental responsibility agreement</w:t>
      </w:r>
      <w:r w:rsidR="00003FE9" w:rsidRPr="007F0885">
        <w:t xml:space="preserve"> met de moeder van het </w:t>
      </w:r>
      <w:r w:rsidR="00262755" w:rsidRPr="007F0885">
        <w:t>kind,</w:t>
      </w:r>
      <w:r w:rsidR="00A95FF5" w:rsidRPr="007F0885">
        <w:t xml:space="preserve"> door een</w:t>
      </w:r>
      <w:r w:rsidR="00003FE9" w:rsidRPr="007F0885">
        <w:t xml:space="preserve"> </w:t>
      </w:r>
      <w:r w:rsidR="00003FE9" w:rsidRPr="007F0885">
        <w:rPr>
          <w:i/>
        </w:rPr>
        <w:t xml:space="preserve">parental </w:t>
      </w:r>
      <w:r w:rsidR="00262755" w:rsidRPr="007F0885">
        <w:rPr>
          <w:i/>
        </w:rPr>
        <w:t>responsibility ord</w:t>
      </w:r>
      <w:r w:rsidR="007F1408" w:rsidRPr="007F0885">
        <w:rPr>
          <w:i/>
        </w:rPr>
        <w:t>er</w:t>
      </w:r>
      <w:r w:rsidR="00262755" w:rsidRPr="007F0885">
        <w:t xml:space="preserve"> </w:t>
      </w:r>
      <w:r w:rsidR="00003FE9" w:rsidRPr="007F0885">
        <w:t>of door een</w:t>
      </w:r>
      <w:r w:rsidR="00262755" w:rsidRPr="007F0885">
        <w:t xml:space="preserve"> </w:t>
      </w:r>
      <w:r w:rsidR="00262755" w:rsidRPr="007F0885">
        <w:rPr>
          <w:i/>
        </w:rPr>
        <w:t>residence order</w:t>
      </w:r>
      <w:r w:rsidR="00003FE9" w:rsidRPr="007F0885">
        <w:t>.</w:t>
      </w:r>
      <w:r w:rsidRPr="007F0885">
        <w:rPr>
          <w:rStyle w:val="FootnoteReference"/>
        </w:rPr>
        <w:footnoteReference w:id="364"/>
      </w:r>
      <w:r w:rsidR="00760487" w:rsidRPr="007F0885">
        <w:t xml:space="preserve"> </w:t>
      </w:r>
    </w:p>
    <w:p w:rsidR="000C0BD2" w:rsidRPr="00E01C99" w:rsidRDefault="00760487" w:rsidP="00E67B2D">
      <w:pPr>
        <w:pStyle w:val="Randnummer"/>
        <w:spacing w:line="360" w:lineRule="auto"/>
        <w:ind w:left="0" w:firstLine="0"/>
      </w:pPr>
      <w:r>
        <w:t>Hieruit volgt dat het voor de ongehuwde vader mogelijk</w:t>
      </w:r>
      <w:r w:rsidR="00B62142">
        <w:t xml:space="preserve"> is om juridisch va</w:t>
      </w:r>
      <w:r w:rsidR="00841ED2">
        <w:t>der te zijn</w:t>
      </w:r>
      <w:r w:rsidR="00B62142">
        <w:t xml:space="preserve"> </w:t>
      </w:r>
      <w:r>
        <w:t>zonder dat hij ouderlijk gezag heeft.</w:t>
      </w:r>
      <w:r>
        <w:rPr>
          <w:rStyle w:val="FootnoteReference"/>
        </w:rPr>
        <w:footnoteReference w:id="365"/>
      </w:r>
      <w:r>
        <w:t xml:space="preserve"> Deze mogelijkheid bestaat niet voor de juridische moeder</w:t>
      </w:r>
      <w:r w:rsidR="001E073D">
        <w:t xml:space="preserve"> en de gehuwde vader, zij hebben</w:t>
      </w:r>
      <w:r>
        <w:t xml:space="preserve"> van rechtswege ouderlijk gezag.</w:t>
      </w:r>
      <w:r w:rsidR="00364708">
        <w:rPr>
          <w:rStyle w:val="FootnoteReference"/>
        </w:rPr>
        <w:footnoteReference w:id="366"/>
      </w:r>
    </w:p>
    <w:p w:rsidR="000C0BD2" w:rsidRDefault="00031FC9" w:rsidP="001D7263">
      <w:pPr>
        <w:pStyle w:val="Heading6"/>
        <w:spacing w:line="360" w:lineRule="auto"/>
        <w:jc w:val="both"/>
      </w:pPr>
      <w:bookmarkStart w:id="94" w:name="_Toc449936776"/>
      <w:r>
        <w:t>2</w:t>
      </w:r>
      <w:r w:rsidR="00017330">
        <w:t xml:space="preserve">. </w:t>
      </w:r>
      <w:r w:rsidR="000C0BD2">
        <w:t>Intentionele meeroudergezinnen</w:t>
      </w:r>
      <w:bookmarkEnd w:id="94"/>
      <w:r w:rsidR="000C0BD2">
        <w:t xml:space="preserve"> </w:t>
      </w:r>
    </w:p>
    <w:p w:rsidR="007D0082" w:rsidRPr="000B4DBD" w:rsidRDefault="00E87D3E" w:rsidP="00E67B2D">
      <w:pPr>
        <w:pStyle w:val="Randnummer"/>
        <w:spacing w:line="360" w:lineRule="auto"/>
        <w:ind w:left="0" w:firstLine="0"/>
      </w:pPr>
      <w:r w:rsidRPr="000B4DBD">
        <w:rPr>
          <w:b/>
          <w:bCs/>
        </w:rPr>
        <w:fldChar w:fldCharType="begin"/>
      </w:r>
      <w:r w:rsidR="00E67B2D" w:rsidRPr="000B4DBD">
        <w:rPr>
          <w:b/>
          <w:bCs/>
        </w:rPr>
        <w:instrText xml:space="preserve"> AUTONUMLGL  </w:instrText>
      </w:r>
      <w:r w:rsidRPr="000B4DBD">
        <w:rPr>
          <w:b/>
          <w:bCs/>
        </w:rPr>
        <w:fldChar w:fldCharType="end"/>
      </w:r>
      <w:r w:rsidR="00E67B2D" w:rsidRPr="000B4DBD">
        <w:rPr>
          <w:b/>
          <w:bCs/>
        </w:rPr>
        <w:t xml:space="preserve"> </w:t>
      </w:r>
      <w:r w:rsidR="000C0BD2" w:rsidRPr="000B4DBD">
        <w:t>Met intentionele meeroudergezinn</w:t>
      </w:r>
      <w:r w:rsidR="00F23ECF" w:rsidRPr="000B4DBD">
        <w:t xml:space="preserve">en wordt hier het lesbisch koppel </w:t>
      </w:r>
      <w:r w:rsidR="000C0BD2" w:rsidRPr="000B4DBD">
        <w:t>bedoeld dat</w:t>
      </w:r>
      <w:r w:rsidR="00AD12A4" w:rsidRPr="000B4DBD">
        <w:t xml:space="preserve"> door middel van kunstmatige inseminatie</w:t>
      </w:r>
      <w:r w:rsidR="000C0BD2" w:rsidRPr="000B4DBD">
        <w:t xml:space="preserve"> met behulp van een donor een kind krijgt.</w:t>
      </w:r>
      <w:r w:rsidR="00AD12A4" w:rsidRPr="000B4DBD">
        <w:t xml:space="preserve"> De Human Fertilisation and Em</w:t>
      </w:r>
      <w:r w:rsidR="00196A9D" w:rsidRPr="000B4DBD">
        <w:t>b</w:t>
      </w:r>
      <w:r w:rsidR="00AD12A4" w:rsidRPr="000B4DBD">
        <w:t>rology Act 2008 (hierna HFEA)</w:t>
      </w:r>
      <w:r w:rsidR="00C55260" w:rsidRPr="000B4DBD">
        <w:t xml:space="preserve"> maakt</w:t>
      </w:r>
      <w:r w:rsidR="00AD12A4" w:rsidRPr="000B4DBD">
        <w:t xml:space="preserve"> het mogelijk </w:t>
      </w:r>
      <w:r w:rsidR="00C55260" w:rsidRPr="000B4DBD">
        <w:t>dat</w:t>
      </w:r>
      <w:r w:rsidR="00AD12A4" w:rsidRPr="000B4DBD">
        <w:t xml:space="preserve"> de vrouwelijke partner van de</w:t>
      </w:r>
      <w:r w:rsidR="00706977" w:rsidRPr="000B4DBD">
        <w:t xml:space="preserve"> geboortemoeder juridisch</w:t>
      </w:r>
      <w:r w:rsidR="000B4DBD" w:rsidRPr="000B4DBD">
        <w:t>e</w:t>
      </w:r>
      <w:r w:rsidR="00706977" w:rsidRPr="000B4DBD">
        <w:t xml:space="preserve"> ouder</w:t>
      </w:r>
      <w:r w:rsidR="00AD12A4" w:rsidRPr="000B4DBD">
        <w:t xml:space="preserve"> is.</w:t>
      </w:r>
      <w:r w:rsidR="00AD12A4" w:rsidRPr="000B4DBD">
        <w:rPr>
          <w:rStyle w:val="FootnoteReference"/>
        </w:rPr>
        <w:footnoteReference w:id="367"/>
      </w:r>
      <w:r w:rsidR="00AD12A4" w:rsidRPr="000B4DBD">
        <w:t xml:space="preserve"> Het aantal ouders blijft beperkt tot twee, maar h</w:t>
      </w:r>
      <w:r w:rsidR="000C0BD2" w:rsidRPr="000B4DBD">
        <w:t>et is mogelijk dat zowel de geboortemoeder, haar partner en de donor ouderlijk gezag hebben.</w:t>
      </w:r>
      <w:r w:rsidR="000C0BD2" w:rsidRPr="000B4DBD">
        <w:rPr>
          <w:rStyle w:val="FootnoteReference"/>
        </w:rPr>
        <w:footnoteReference w:id="368"/>
      </w:r>
    </w:p>
    <w:p w:rsidR="00AD12A4" w:rsidRPr="000B4DBD" w:rsidRDefault="00E87D3E" w:rsidP="00E67B2D">
      <w:pPr>
        <w:pStyle w:val="Randnummer"/>
        <w:spacing w:line="360" w:lineRule="auto"/>
        <w:ind w:left="0" w:firstLine="0"/>
      </w:pPr>
      <w:r w:rsidRPr="000B4DBD">
        <w:rPr>
          <w:b/>
          <w:bCs/>
        </w:rPr>
        <w:fldChar w:fldCharType="begin"/>
      </w:r>
      <w:r w:rsidR="00E67B2D" w:rsidRPr="000B4DBD">
        <w:rPr>
          <w:b/>
          <w:bCs/>
        </w:rPr>
        <w:instrText xml:space="preserve"> AUTONUMLGL  </w:instrText>
      </w:r>
      <w:r w:rsidRPr="000B4DBD">
        <w:rPr>
          <w:b/>
          <w:bCs/>
        </w:rPr>
        <w:fldChar w:fldCharType="end"/>
      </w:r>
      <w:r w:rsidR="00E67B2D" w:rsidRPr="000B4DBD">
        <w:rPr>
          <w:b/>
          <w:bCs/>
        </w:rPr>
        <w:t xml:space="preserve"> </w:t>
      </w:r>
      <w:r w:rsidR="000C0BD2" w:rsidRPr="000B4DBD">
        <w:t>De geboortemoeder van het kind is van rechtswege juridisch</w:t>
      </w:r>
      <w:r w:rsidR="000B4DBD" w:rsidRPr="000B4DBD">
        <w:t>e</w:t>
      </w:r>
      <w:r w:rsidR="000C0BD2" w:rsidRPr="000B4DBD">
        <w:t xml:space="preserve"> ouder en heeft van rechtswege het ouderlijk gezag.</w:t>
      </w:r>
      <w:r w:rsidR="000C0BD2" w:rsidRPr="000B4DBD">
        <w:rPr>
          <w:rStyle w:val="FootnoteReference"/>
        </w:rPr>
        <w:footnoteReference w:id="369"/>
      </w:r>
      <w:r w:rsidR="00AD12A4" w:rsidRPr="000B4DBD">
        <w:t xml:space="preserve"> </w:t>
      </w:r>
      <w:r w:rsidR="00073938" w:rsidRPr="000B4DBD">
        <w:t>Het hangt af van de onderlinge relatie o</w:t>
      </w:r>
      <w:r w:rsidR="000C0BD2" w:rsidRPr="000B4DBD">
        <w:t>f de partner van de geboortemoeder juridisch</w:t>
      </w:r>
      <w:r w:rsidR="000B4DBD" w:rsidRPr="000B4DBD">
        <w:t>e</w:t>
      </w:r>
      <w:r w:rsidR="000C0BD2" w:rsidRPr="000B4DBD">
        <w:t xml:space="preserve"> ouder is</w:t>
      </w:r>
      <w:r w:rsidR="00073938" w:rsidRPr="000B4DBD">
        <w:t xml:space="preserve">, </w:t>
      </w:r>
      <w:r w:rsidR="007D0082" w:rsidRPr="000B4DBD">
        <w:t>namelijk of de geboortemoeder en de partner een formele relatie (ge</w:t>
      </w:r>
      <w:r w:rsidR="00282A35" w:rsidRPr="000B4DBD">
        <w:t xml:space="preserve">huwd of geregistreerde partner), </w:t>
      </w:r>
      <w:r w:rsidR="007D0082" w:rsidRPr="000B4DBD">
        <w:t>dan wel een informele relatie (ongehuwd of niet-geregistreerde partner)</w:t>
      </w:r>
      <w:r w:rsidR="00282A35" w:rsidRPr="000B4DBD">
        <w:t xml:space="preserve"> hebben</w:t>
      </w:r>
      <w:r w:rsidR="007D0082" w:rsidRPr="000B4DBD">
        <w:t>.</w:t>
      </w:r>
      <w:r w:rsidR="007D0082" w:rsidRPr="000B4DBD">
        <w:rPr>
          <w:rStyle w:val="FootnoteReference"/>
        </w:rPr>
        <w:footnoteReference w:id="370"/>
      </w:r>
      <w:r w:rsidR="000C0BD2" w:rsidRPr="000B4DBD">
        <w:t xml:space="preserve"> </w:t>
      </w:r>
    </w:p>
    <w:p w:rsidR="00AD12A4" w:rsidRPr="000B4DBD" w:rsidRDefault="00E87D3E" w:rsidP="00E67B2D">
      <w:pPr>
        <w:pStyle w:val="Randnummer"/>
        <w:spacing w:line="360" w:lineRule="auto"/>
        <w:ind w:left="0" w:firstLine="0"/>
      </w:pPr>
      <w:r w:rsidRPr="000B4DBD">
        <w:rPr>
          <w:b/>
          <w:bCs/>
        </w:rPr>
        <w:fldChar w:fldCharType="begin"/>
      </w:r>
      <w:r w:rsidR="00E67B2D" w:rsidRPr="000B4DBD">
        <w:rPr>
          <w:b/>
          <w:bCs/>
        </w:rPr>
        <w:instrText xml:space="preserve"> AUTONUMLGL  </w:instrText>
      </w:r>
      <w:r w:rsidRPr="000B4DBD">
        <w:rPr>
          <w:b/>
          <w:bCs/>
        </w:rPr>
        <w:fldChar w:fldCharType="end"/>
      </w:r>
      <w:r w:rsidR="00E67B2D" w:rsidRPr="000B4DBD">
        <w:rPr>
          <w:b/>
          <w:bCs/>
        </w:rPr>
        <w:t xml:space="preserve"> </w:t>
      </w:r>
      <w:r w:rsidR="007D0082" w:rsidRPr="000B4DBD">
        <w:t xml:space="preserve">In het eerste geval </w:t>
      </w:r>
      <w:r w:rsidR="00073938" w:rsidRPr="000B4DBD">
        <w:t xml:space="preserve">(formele relatie) </w:t>
      </w:r>
      <w:r w:rsidR="007D0082" w:rsidRPr="000B4DBD">
        <w:t xml:space="preserve">is de partner </w:t>
      </w:r>
      <w:r w:rsidR="00073938" w:rsidRPr="000B4DBD">
        <w:t>van rechtswege juridisch</w:t>
      </w:r>
      <w:r w:rsidR="000B4DBD" w:rsidRPr="000B4DBD">
        <w:t>e</w:t>
      </w:r>
      <w:r w:rsidR="000C0BD2" w:rsidRPr="000B4DBD">
        <w:t xml:space="preserve"> ouder, tenzij kan worden bewezen dat zij geen toestemming </w:t>
      </w:r>
      <w:r w:rsidR="00073938" w:rsidRPr="000B4DBD">
        <w:t xml:space="preserve">heeft gegeven </w:t>
      </w:r>
      <w:r w:rsidR="000C0BD2" w:rsidRPr="000B4DBD">
        <w:t xml:space="preserve">voor de kunstmatige </w:t>
      </w:r>
      <w:r w:rsidR="000C0BD2" w:rsidRPr="000B4DBD">
        <w:lastRenderedPageBreak/>
        <w:t>bevruchting van</w:t>
      </w:r>
      <w:r w:rsidR="00073938" w:rsidRPr="000B4DBD">
        <w:t xml:space="preserve"> de geboortemoeder</w:t>
      </w:r>
      <w:r w:rsidR="000C0BD2" w:rsidRPr="000B4DBD">
        <w:t>.</w:t>
      </w:r>
      <w:r w:rsidR="000C0BD2" w:rsidRPr="000B4DBD">
        <w:rPr>
          <w:rStyle w:val="FootnoteReference"/>
        </w:rPr>
        <w:footnoteReference w:id="371"/>
      </w:r>
      <w:r w:rsidR="000C0BD2" w:rsidRPr="000B4DBD">
        <w:t xml:space="preserve"> Indien de partner</w:t>
      </w:r>
      <w:r w:rsidR="003C5CEC" w:rsidRPr="000B4DBD">
        <w:t xml:space="preserve"> van rechtswege</w:t>
      </w:r>
      <w:r w:rsidR="000C0BD2" w:rsidRPr="000B4DBD">
        <w:t xml:space="preserve"> juridisch</w:t>
      </w:r>
      <w:r w:rsidR="000B4DBD" w:rsidRPr="000B4DBD">
        <w:t>e</w:t>
      </w:r>
      <w:r w:rsidR="000C0BD2" w:rsidRPr="000B4DBD">
        <w:t xml:space="preserve"> ouder is, heeft ze ook van rechtswege het ouderlijk gezag.</w:t>
      </w:r>
      <w:r w:rsidR="000C0BD2" w:rsidRPr="000B4DBD">
        <w:rPr>
          <w:rStyle w:val="FootnoteReference"/>
        </w:rPr>
        <w:footnoteReference w:id="372"/>
      </w:r>
    </w:p>
    <w:p w:rsidR="00073938" w:rsidRPr="000B4DBD" w:rsidRDefault="0068221A" w:rsidP="00073938">
      <w:pPr>
        <w:pStyle w:val="Randnummer"/>
        <w:spacing w:line="360" w:lineRule="auto"/>
        <w:ind w:left="0" w:firstLine="0"/>
      </w:pPr>
      <w:r w:rsidRPr="000B4DBD">
        <w:t xml:space="preserve">In het tweede geval </w:t>
      </w:r>
      <w:r w:rsidR="00073938" w:rsidRPr="000B4DBD">
        <w:t xml:space="preserve">(informele relatie) </w:t>
      </w:r>
      <w:r w:rsidRPr="000B4DBD">
        <w:t>is de partner van rechtswege juridisch</w:t>
      </w:r>
      <w:r w:rsidR="000B4DBD" w:rsidRPr="000B4DBD">
        <w:t>e</w:t>
      </w:r>
      <w:r w:rsidRPr="000B4DBD">
        <w:t xml:space="preserve"> ouder indien aan de voorwaarden v</w:t>
      </w:r>
      <w:r w:rsidR="00AD12A4" w:rsidRPr="000B4DBD">
        <w:t>an de HFEA</w:t>
      </w:r>
      <w:r w:rsidR="004C548C" w:rsidRPr="000B4DBD">
        <w:t xml:space="preserve"> 2008 is voldaan. Deze voorwaarden zijn de volgende: </w:t>
      </w:r>
    </w:p>
    <w:p w:rsidR="00073938" w:rsidRPr="000B4DBD" w:rsidRDefault="00073938" w:rsidP="00073938">
      <w:pPr>
        <w:pStyle w:val="Randnummer"/>
        <w:spacing w:line="360" w:lineRule="auto"/>
        <w:ind w:left="0" w:firstLine="0"/>
      </w:pPr>
      <w:r w:rsidRPr="000B4DBD">
        <w:t>- D</w:t>
      </w:r>
      <w:r w:rsidR="00AD12A4" w:rsidRPr="000B4DBD">
        <w:t>e bevruchting vindt plaats</w:t>
      </w:r>
      <w:r w:rsidRPr="000B4DBD">
        <w:t xml:space="preserve"> in een gecertificeerde kliniek;</w:t>
      </w:r>
    </w:p>
    <w:p w:rsidR="00073938" w:rsidRPr="000B4DBD" w:rsidRDefault="00073938" w:rsidP="00073938">
      <w:pPr>
        <w:pStyle w:val="Randnummer"/>
        <w:spacing w:line="360" w:lineRule="auto"/>
        <w:ind w:left="0" w:firstLine="0"/>
      </w:pPr>
      <w:r w:rsidRPr="000B4DBD">
        <w:t>-</w:t>
      </w:r>
      <w:r w:rsidR="004C548C" w:rsidRPr="000B4DBD">
        <w:t xml:space="preserve"> d</w:t>
      </w:r>
      <w:r w:rsidR="00AD12A4" w:rsidRPr="000B4DBD">
        <w:t>e geboortemoeder heeft schriftelijke instemming gegeven met h</w:t>
      </w:r>
      <w:r w:rsidR="000B4DBD" w:rsidRPr="000B4DBD">
        <w:t>et verkrijgen van het juridisch</w:t>
      </w:r>
      <w:r w:rsidR="00AD12A4" w:rsidRPr="000B4DBD">
        <w:t xml:space="preserve"> ouderschap door haar partner en heeft de</w:t>
      </w:r>
      <w:r w:rsidRPr="000B4DBD">
        <w:t>ze instemming niet ingetrokken;</w:t>
      </w:r>
    </w:p>
    <w:p w:rsidR="00073938" w:rsidRPr="000B4DBD" w:rsidRDefault="00073938" w:rsidP="00073938">
      <w:pPr>
        <w:pStyle w:val="Randnummer"/>
        <w:spacing w:line="360" w:lineRule="auto"/>
        <w:ind w:left="0" w:firstLine="0"/>
      </w:pPr>
      <w:r w:rsidRPr="000B4DBD">
        <w:t>-</w:t>
      </w:r>
      <w:r w:rsidR="004C548C" w:rsidRPr="000B4DBD">
        <w:t xml:space="preserve"> d</w:t>
      </w:r>
      <w:r w:rsidR="00AD12A4" w:rsidRPr="000B4DBD">
        <w:t>e vrouwelijke partner van d</w:t>
      </w:r>
      <w:r w:rsidRPr="000B4DBD">
        <w:t xml:space="preserve">e geboortemoeder heeft zelf </w:t>
      </w:r>
      <w:r w:rsidR="00AD12A4" w:rsidRPr="000B4DBD">
        <w:t>schriftelijk ingestemd met het verkrijgen van het juridisch ouderschap ten aanzien van het kind van haar partner en</w:t>
      </w:r>
      <w:r w:rsidR="003342AA" w:rsidRPr="000B4DBD">
        <w:t xml:space="preserve"> heeft</w:t>
      </w:r>
      <w:r w:rsidR="00AD12A4" w:rsidRPr="000B4DBD">
        <w:t xml:space="preserve"> haar instemming niet ingetrokken</w:t>
      </w:r>
      <w:r w:rsidRPr="000B4DBD">
        <w:t>;</w:t>
      </w:r>
    </w:p>
    <w:p w:rsidR="00073938" w:rsidRPr="000B4DBD" w:rsidRDefault="00073938" w:rsidP="00073938">
      <w:pPr>
        <w:pStyle w:val="Randnummer"/>
        <w:spacing w:line="360" w:lineRule="auto"/>
        <w:ind w:left="0" w:firstLine="0"/>
      </w:pPr>
      <w:r w:rsidRPr="000B4DBD">
        <w:t>-</w:t>
      </w:r>
      <w:r w:rsidR="004C548C" w:rsidRPr="000B4DBD">
        <w:t xml:space="preserve"> t</w:t>
      </w:r>
      <w:r w:rsidR="00AD12A4" w:rsidRPr="000B4DBD">
        <w:t>ussen de vrouwelijke partners mag geen verwantschapsgraad bestaan die een huwelijk/partnerschap tussen hen onmogelijk zou maken.</w:t>
      </w:r>
      <w:r w:rsidR="0068221A" w:rsidRPr="000B4DBD">
        <w:rPr>
          <w:rStyle w:val="FootnoteReference"/>
        </w:rPr>
        <w:footnoteReference w:id="373"/>
      </w:r>
      <w:r w:rsidR="004C548C" w:rsidRPr="000B4DBD">
        <w:t xml:space="preserve"> </w:t>
      </w:r>
    </w:p>
    <w:p w:rsidR="000C0BD2" w:rsidRPr="000B4DBD" w:rsidRDefault="00706977" w:rsidP="00E67B2D">
      <w:pPr>
        <w:pStyle w:val="Randnummer"/>
        <w:spacing w:line="360" w:lineRule="auto"/>
        <w:ind w:left="0" w:firstLine="0"/>
      </w:pPr>
      <w:r w:rsidRPr="000B4DBD">
        <w:t>Indien deze voorwaarden vervuld</w:t>
      </w:r>
      <w:r w:rsidR="00AD12A4" w:rsidRPr="000B4DBD">
        <w:t xml:space="preserve"> zijn, is de vrouwelijke partner </w:t>
      </w:r>
      <w:r w:rsidR="003C5CEC" w:rsidRPr="000B4DBD">
        <w:t xml:space="preserve">van rechtswege </w:t>
      </w:r>
      <w:r w:rsidR="00AD12A4" w:rsidRPr="000B4DBD">
        <w:t>juridisch</w:t>
      </w:r>
      <w:r w:rsidR="000B4DBD" w:rsidRPr="000B4DBD">
        <w:t>e</w:t>
      </w:r>
      <w:r w:rsidR="00AD12A4" w:rsidRPr="000B4DBD">
        <w:t xml:space="preserve"> ouder en is ze titularis van het ouderlijk gezag.</w:t>
      </w:r>
      <w:r w:rsidR="00AD12A4" w:rsidRPr="000B4DBD">
        <w:rPr>
          <w:rStyle w:val="FootnoteReference"/>
        </w:rPr>
        <w:footnoteReference w:id="374"/>
      </w:r>
      <w:r w:rsidR="00073938" w:rsidRPr="000B4DBD">
        <w:t xml:space="preserve"> </w:t>
      </w:r>
      <w:r w:rsidR="0068221A" w:rsidRPr="000B4DBD">
        <w:t>Indien niet aan de voorwaarden is voldaan, is ze geen juridisch</w:t>
      </w:r>
      <w:r w:rsidR="00073938" w:rsidRPr="000B4DBD">
        <w:t>e</w:t>
      </w:r>
      <w:r w:rsidR="0068221A" w:rsidRPr="000B4DBD">
        <w:t xml:space="preserve"> ouder van het kind. </w:t>
      </w:r>
      <w:r w:rsidR="000C0BD2" w:rsidRPr="000B4DBD">
        <w:t xml:space="preserve">Ze kan </w:t>
      </w:r>
      <w:r w:rsidR="000B4DBD" w:rsidRPr="000B4DBD">
        <w:t xml:space="preserve">dan </w:t>
      </w:r>
      <w:r w:rsidR="000C0BD2" w:rsidRPr="000B4DBD">
        <w:t>ouderlijk gezag verkrijge</w:t>
      </w:r>
      <w:r w:rsidR="00A04079" w:rsidRPr="000B4DBD">
        <w:t xml:space="preserve">n via </w:t>
      </w:r>
      <w:r w:rsidR="00073938" w:rsidRPr="000B4DBD">
        <w:t xml:space="preserve">een </w:t>
      </w:r>
      <w:r w:rsidR="00A82EF8" w:rsidRPr="000B4DBD">
        <w:rPr>
          <w:i/>
        </w:rPr>
        <w:t>testamentary guardianship</w:t>
      </w:r>
      <w:r w:rsidR="00A82EF8" w:rsidRPr="000B4DBD">
        <w:t xml:space="preserve"> </w:t>
      </w:r>
      <w:r w:rsidR="00A95FF5" w:rsidRPr="000B4DBD">
        <w:t xml:space="preserve">dan wel via een </w:t>
      </w:r>
      <w:r w:rsidR="007D0082" w:rsidRPr="000B4DBD">
        <w:rPr>
          <w:i/>
        </w:rPr>
        <w:t>residence order</w:t>
      </w:r>
      <w:r w:rsidR="000C0BD2" w:rsidRPr="000B4DBD">
        <w:t>.</w:t>
      </w:r>
      <w:r w:rsidR="000C0BD2" w:rsidRPr="000B4DBD">
        <w:rPr>
          <w:rStyle w:val="FootnoteReference"/>
        </w:rPr>
        <w:footnoteReference w:id="375"/>
      </w:r>
    </w:p>
    <w:p w:rsidR="000C0BD2" w:rsidRPr="000B4DBD" w:rsidRDefault="00E87D3E" w:rsidP="00E67B2D">
      <w:pPr>
        <w:pStyle w:val="Randnummer"/>
        <w:spacing w:line="360" w:lineRule="auto"/>
        <w:ind w:left="0" w:firstLine="0"/>
      </w:pPr>
      <w:r w:rsidRPr="000B4DBD">
        <w:rPr>
          <w:b/>
          <w:bCs/>
        </w:rPr>
        <w:fldChar w:fldCharType="begin"/>
      </w:r>
      <w:r w:rsidR="00E67B2D" w:rsidRPr="000B4DBD">
        <w:rPr>
          <w:b/>
          <w:bCs/>
        </w:rPr>
        <w:instrText xml:space="preserve"> AUTONUMLGL  </w:instrText>
      </w:r>
      <w:r w:rsidRPr="000B4DBD">
        <w:rPr>
          <w:b/>
          <w:bCs/>
        </w:rPr>
        <w:fldChar w:fldCharType="end"/>
      </w:r>
      <w:r w:rsidR="00E67B2D" w:rsidRPr="000B4DBD">
        <w:rPr>
          <w:b/>
          <w:bCs/>
        </w:rPr>
        <w:t xml:space="preserve"> </w:t>
      </w:r>
      <w:r w:rsidR="000C0BD2" w:rsidRPr="000B4DBD">
        <w:t xml:space="preserve">De bekende donor is geen juridische vader van het kind en heeft niet van rechtswege het </w:t>
      </w:r>
      <w:r w:rsidR="000B4DBD" w:rsidRPr="000B4DBD">
        <w:t xml:space="preserve">ouderlijk </w:t>
      </w:r>
      <w:r w:rsidR="000C0BD2" w:rsidRPr="000B4DBD">
        <w:t>gezag.</w:t>
      </w:r>
      <w:r w:rsidR="000C0BD2" w:rsidRPr="000B4DBD">
        <w:rPr>
          <w:rStyle w:val="FootnoteReference"/>
        </w:rPr>
        <w:footnoteReference w:id="376"/>
      </w:r>
      <w:r w:rsidR="000C0BD2" w:rsidRPr="000B4DBD">
        <w:t xml:space="preserve"> De donor kan het ouderlijk gezag verkrijgen </w:t>
      </w:r>
      <w:r w:rsidR="00A82EF8" w:rsidRPr="000B4DBD">
        <w:t xml:space="preserve">via </w:t>
      </w:r>
      <w:r w:rsidR="00073938" w:rsidRPr="000B4DBD">
        <w:t xml:space="preserve">een </w:t>
      </w:r>
      <w:r w:rsidR="00A82EF8" w:rsidRPr="000B4DBD">
        <w:rPr>
          <w:i/>
        </w:rPr>
        <w:t>testamentary guardianship</w:t>
      </w:r>
      <w:r w:rsidR="00A04079" w:rsidRPr="000B4DBD">
        <w:t xml:space="preserve"> </w:t>
      </w:r>
      <w:r w:rsidR="00A95FF5" w:rsidRPr="000B4DBD">
        <w:t xml:space="preserve">dan wel via een </w:t>
      </w:r>
      <w:r w:rsidR="0068221A" w:rsidRPr="000B4DBD">
        <w:rPr>
          <w:i/>
        </w:rPr>
        <w:t>residence order</w:t>
      </w:r>
      <w:r w:rsidR="000C0BD2" w:rsidRPr="000B4DBD">
        <w:t>.</w:t>
      </w:r>
      <w:r w:rsidR="000C0BD2" w:rsidRPr="000B4DBD">
        <w:rPr>
          <w:rStyle w:val="FootnoteReference"/>
        </w:rPr>
        <w:footnoteReference w:id="377"/>
      </w:r>
      <w:r w:rsidR="007D0082" w:rsidRPr="000B4DBD">
        <w:t xml:space="preserve"> </w:t>
      </w:r>
      <w:r w:rsidR="000C0BD2" w:rsidRPr="000B4DBD">
        <w:t>Indien de</w:t>
      </w:r>
      <w:r w:rsidR="00073938" w:rsidRPr="000B4DBD">
        <w:t xml:space="preserve"> geboortemoeder en haar partner een in</w:t>
      </w:r>
      <w:r w:rsidR="000C0BD2" w:rsidRPr="000B4DBD">
        <w:t xml:space="preserve">formele relatie hebben en de </w:t>
      </w:r>
      <w:r w:rsidR="0068221A" w:rsidRPr="000B4DBD">
        <w:t xml:space="preserve">voorwaarden van de </w:t>
      </w:r>
      <w:r w:rsidR="000C0BD2" w:rsidRPr="000B4DBD">
        <w:t xml:space="preserve">HFEA 2008 </w:t>
      </w:r>
      <w:r w:rsidR="00706977" w:rsidRPr="000B4DBD">
        <w:t>niet vervuld</w:t>
      </w:r>
      <w:r w:rsidR="0068221A" w:rsidRPr="000B4DBD">
        <w:t xml:space="preserve"> zijn</w:t>
      </w:r>
      <w:r w:rsidR="000C0BD2" w:rsidRPr="000B4DBD">
        <w:t>, kan de donor zijn juridisch vaderschap laten vaststellen en ouderlijk gezag verkrijgen</w:t>
      </w:r>
      <w:r w:rsidR="00951FBE" w:rsidRPr="000B4DBD">
        <w:t xml:space="preserve"> via de mogelijkheden die bestaan voor de niet-gehuwde vader</w:t>
      </w:r>
      <w:r w:rsidR="000C0BD2" w:rsidRPr="000B4DBD">
        <w:t>.</w:t>
      </w:r>
      <w:r w:rsidR="000C0BD2" w:rsidRPr="000B4DBD">
        <w:rPr>
          <w:rStyle w:val="FootnoteReference"/>
        </w:rPr>
        <w:footnoteReference w:id="378"/>
      </w:r>
    </w:p>
    <w:p w:rsidR="000C0BD2" w:rsidRDefault="00031FC9" w:rsidP="001D7263">
      <w:pPr>
        <w:pStyle w:val="Heading6"/>
        <w:spacing w:line="360" w:lineRule="auto"/>
        <w:jc w:val="both"/>
      </w:pPr>
      <w:bookmarkStart w:id="95" w:name="_Toc449936777"/>
      <w:r>
        <w:lastRenderedPageBreak/>
        <w:t>3</w:t>
      </w:r>
      <w:r w:rsidR="00017330">
        <w:t xml:space="preserve">. </w:t>
      </w:r>
      <w:r w:rsidR="000C0BD2">
        <w:t>Niet-intentionele meeroudergezinnen</w:t>
      </w:r>
      <w:bookmarkEnd w:id="95"/>
    </w:p>
    <w:p w:rsidR="000C0BD2" w:rsidRPr="000B4DBD" w:rsidRDefault="00E87D3E" w:rsidP="00E67B2D">
      <w:pPr>
        <w:pStyle w:val="Randnummer"/>
        <w:spacing w:line="360" w:lineRule="auto"/>
        <w:ind w:left="0" w:firstLine="0"/>
      </w:pPr>
      <w:r w:rsidRPr="000B4DBD">
        <w:rPr>
          <w:b/>
          <w:bCs/>
        </w:rPr>
        <w:fldChar w:fldCharType="begin"/>
      </w:r>
      <w:r w:rsidR="00E67B2D" w:rsidRPr="000B4DBD">
        <w:rPr>
          <w:b/>
          <w:bCs/>
        </w:rPr>
        <w:instrText xml:space="preserve"> AUTONUMLGL  </w:instrText>
      </w:r>
      <w:r w:rsidRPr="000B4DBD">
        <w:rPr>
          <w:b/>
          <w:bCs/>
        </w:rPr>
        <w:fldChar w:fldCharType="end"/>
      </w:r>
      <w:r w:rsidR="00E67B2D" w:rsidRPr="000B4DBD">
        <w:rPr>
          <w:b/>
          <w:bCs/>
        </w:rPr>
        <w:t xml:space="preserve"> </w:t>
      </w:r>
      <w:r w:rsidR="000C0BD2" w:rsidRPr="000B4DBD">
        <w:t>De stiefouder is geen juridisch</w:t>
      </w:r>
      <w:r w:rsidR="00073938" w:rsidRPr="000B4DBD">
        <w:t>e</w:t>
      </w:r>
      <w:r w:rsidR="000C0BD2" w:rsidRPr="000B4DBD">
        <w:t xml:space="preserve"> ouder van het kind en heeft niet van rechtswege ouderlijk gezag.</w:t>
      </w:r>
      <w:r w:rsidR="000C0BD2" w:rsidRPr="000B4DBD">
        <w:rPr>
          <w:rStyle w:val="FootnoteReference"/>
        </w:rPr>
        <w:footnoteReference w:id="379"/>
      </w:r>
      <w:r w:rsidR="000C0BD2" w:rsidRPr="000B4DBD">
        <w:t xml:space="preserve"> </w:t>
      </w:r>
      <w:r w:rsidR="006C5520" w:rsidRPr="000B4DBD">
        <w:t>In 2002 is de Children A</w:t>
      </w:r>
      <w:r w:rsidR="000C0BD2" w:rsidRPr="000B4DBD">
        <w:t>ct</w:t>
      </w:r>
      <w:r w:rsidR="006C5520" w:rsidRPr="000B4DBD">
        <w:t xml:space="preserve"> geamendeerd en werden</w:t>
      </w:r>
      <w:r w:rsidR="000C0BD2" w:rsidRPr="000B4DBD">
        <w:t xml:space="preserve"> een aantal mogelijkheden voor het verkrijgen v</w:t>
      </w:r>
      <w:r w:rsidR="00A95FF5" w:rsidRPr="000B4DBD">
        <w:t xml:space="preserve">an </w:t>
      </w:r>
      <w:r w:rsidR="000B4DBD" w:rsidRPr="000B4DBD">
        <w:t xml:space="preserve">ouderlijk </w:t>
      </w:r>
      <w:r w:rsidR="00A95FF5" w:rsidRPr="000B4DBD">
        <w:t>gezag voor</w:t>
      </w:r>
      <w:r w:rsidR="00073938" w:rsidRPr="000B4DBD">
        <w:t xml:space="preserve"> de ongehuwde vader</w:t>
      </w:r>
      <w:r w:rsidR="006C5520" w:rsidRPr="000B4DBD">
        <w:t xml:space="preserve"> </w:t>
      </w:r>
      <w:r w:rsidR="000C0BD2" w:rsidRPr="000B4DBD">
        <w:t xml:space="preserve">ook van toepassing op de stiefouder die </w:t>
      </w:r>
      <w:r w:rsidR="00073938" w:rsidRPr="000B4DBD">
        <w:t>een formele relatie heeft met één van de</w:t>
      </w:r>
      <w:r w:rsidR="000C0BD2" w:rsidRPr="000B4DBD">
        <w:t xml:space="preserve"> juridische ouder</w:t>
      </w:r>
      <w:r w:rsidR="00073938" w:rsidRPr="000B4DBD">
        <w:t>s</w:t>
      </w:r>
      <w:r w:rsidR="000C0BD2" w:rsidRPr="000B4DBD">
        <w:t>.</w:t>
      </w:r>
      <w:r w:rsidR="000C0BD2" w:rsidRPr="000B4DBD">
        <w:rPr>
          <w:rStyle w:val="FootnoteReference"/>
        </w:rPr>
        <w:footnoteReference w:id="380"/>
      </w:r>
      <w:r w:rsidR="004C548C" w:rsidRPr="000B4DBD">
        <w:t xml:space="preserve"> </w:t>
      </w:r>
      <w:r w:rsidR="000C0BD2" w:rsidRPr="000B4DBD">
        <w:t>De stiefouder in een formele relat</w:t>
      </w:r>
      <w:r w:rsidR="00262755" w:rsidRPr="000B4DBD">
        <w:t>ie kan het gezag</w:t>
      </w:r>
      <w:r w:rsidR="000C0BD2" w:rsidRPr="000B4DBD">
        <w:t xml:space="preserve"> verkrijgen door een </w:t>
      </w:r>
      <w:r w:rsidR="000C0BD2" w:rsidRPr="000B4DBD">
        <w:rPr>
          <w:i/>
        </w:rPr>
        <w:t xml:space="preserve">parental responsibility agreement </w:t>
      </w:r>
      <w:r w:rsidR="000C0BD2" w:rsidRPr="000B4DBD">
        <w:t xml:space="preserve">of een </w:t>
      </w:r>
      <w:r w:rsidR="000C0BD2" w:rsidRPr="000B4DBD">
        <w:rPr>
          <w:i/>
        </w:rPr>
        <w:t>parental responsibility order</w:t>
      </w:r>
      <w:r w:rsidR="000C0BD2" w:rsidRPr="000B4DBD">
        <w:t>.</w:t>
      </w:r>
      <w:r w:rsidR="000C0BD2" w:rsidRPr="000B4DBD">
        <w:rPr>
          <w:rStyle w:val="FootnoteReference"/>
        </w:rPr>
        <w:footnoteReference w:id="381"/>
      </w:r>
      <w:r w:rsidR="000C0BD2" w:rsidRPr="000B4DBD">
        <w:t xml:space="preserve"> Een </w:t>
      </w:r>
      <w:r w:rsidR="000C0BD2" w:rsidRPr="000B4DBD">
        <w:rPr>
          <w:i/>
        </w:rPr>
        <w:t>parental responisibility agreement</w:t>
      </w:r>
      <w:r w:rsidR="000C0BD2" w:rsidRPr="000B4DBD">
        <w:t xml:space="preserve"> wordt gesloten tussen de twee juridische ouders en de stiefouder.</w:t>
      </w:r>
      <w:r w:rsidR="000C0BD2" w:rsidRPr="000B4DBD">
        <w:rPr>
          <w:rStyle w:val="FootnoteReference"/>
        </w:rPr>
        <w:footnoteReference w:id="382"/>
      </w:r>
      <w:r w:rsidR="000C0BD2" w:rsidRPr="000B4DBD">
        <w:t xml:space="preserve"> Indien de niet-inwonende ouder niet meewerkt aan het agreement, kan de stiefouder een verzoek voor een </w:t>
      </w:r>
      <w:r w:rsidR="000C0BD2" w:rsidRPr="000B4DBD">
        <w:rPr>
          <w:i/>
        </w:rPr>
        <w:t xml:space="preserve">parental responsibility order </w:t>
      </w:r>
      <w:r w:rsidR="000C0BD2" w:rsidRPr="000B4DBD">
        <w:t>indienen bij de rechter.</w:t>
      </w:r>
      <w:r w:rsidR="000C0BD2" w:rsidRPr="000B4DBD">
        <w:rPr>
          <w:rStyle w:val="FootnoteReference"/>
        </w:rPr>
        <w:footnoteReference w:id="383"/>
      </w:r>
      <w:r w:rsidR="000C0BD2" w:rsidRPr="000B4DBD">
        <w:t xml:space="preserve"> </w:t>
      </w:r>
    </w:p>
    <w:p w:rsidR="00C44928" w:rsidRPr="000B4DBD" w:rsidRDefault="00E87D3E" w:rsidP="00E67B2D">
      <w:pPr>
        <w:pStyle w:val="Randnummer"/>
        <w:spacing w:line="360" w:lineRule="auto"/>
        <w:ind w:left="0" w:firstLine="0"/>
      </w:pPr>
      <w:r w:rsidRPr="000B4DBD">
        <w:rPr>
          <w:b/>
          <w:bCs/>
        </w:rPr>
        <w:fldChar w:fldCharType="begin"/>
      </w:r>
      <w:r w:rsidR="00E67B2D" w:rsidRPr="000B4DBD">
        <w:rPr>
          <w:b/>
          <w:bCs/>
        </w:rPr>
        <w:instrText xml:space="preserve"> AUTONUMLGL  </w:instrText>
      </w:r>
      <w:r w:rsidRPr="000B4DBD">
        <w:rPr>
          <w:b/>
          <w:bCs/>
        </w:rPr>
        <w:fldChar w:fldCharType="end"/>
      </w:r>
      <w:r w:rsidR="00E67B2D" w:rsidRPr="000B4DBD">
        <w:rPr>
          <w:b/>
          <w:bCs/>
        </w:rPr>
        <w:t xml:space="preserve"> </w:t>
      </w:r>
      <w:r w:rsidR="00073938" w:rsidRPr="000B4DBD">
        <w:t xml:space="preserve">Een stiefouder </w:t>
      </w:r>
      <w:r w:rsidR="004C548C" w:rsidRPr="000B4DBD">
        <w:t xml:space="preserve">in een informele </w:t>
      </w:r>
      <w:r w:rsidR="00073938" w:rsidRPr="000B4DBD">
        <w:t xml:space="preserve">of een formele </w:t>
      </w:r>
      <w:r w:rsidR="004C548C" w:rsidRPr="000B4DBD">
        <w:t>relatie</w:t>
      </w:r>
      <w:r w:rsidR="00073938" w:rsidRPr="000B4DBD">
        <w:t xml:space="preserve">, </w:t>
      </w:r>
      <w:r w:rsidR="004C548C" w:rsidRPr="000B4DBD">
        <w:t>kan het ouderlijk gezag verkrijgen via</w:t>
      </w:r>
      <w:r w:rsidR="00A04079" w:rsidRPr="000B4DBD">
        <w:t xml:space="preserve"> een</w:t>
      </w:r>
      <w:r w:rsidR="00A82EF8" w:rsidRPr="000B4DBD">
        <w:t xml:space="preserve"> </w:t>
      </w:r>
      <w:r w:rsidR="00A82EF8" w:rsidRPr="000B4DBD">
        <w:rPr>
          <w:i/>
        </w:rPr>
        <w:t>testamentary guardianship</w:t>
      </w:r>
      <w:r w:rsidR="00DD6FAC" w:rsidRPr="000B4DBD">
        <w:t xml:space="preserve">, dan wel via een </w:t>
      </w:r>
      <w:r w:rsidR="004C548C" w:rsidRPr="000B4DBD">
        <w:rPr>
          <w:i/>
        </w:rPr>
        <w:t>residence order</w:t>
      </w:r>
      <w:r w:rsidR="004C548C" w:rsidRPr="000B4DBD">
        <w:t>.</w:t>
      </w:r>
      <w:r w:rsidR="004C548C" w:rsidRPr="000B4DBD">
        <w:rPr>
          <w:rStyle w:val="FootnoteReference"/>
        </w:rPr>
        <w:footnoteReference w:id="384"/>
      </w:r>
    </w:p>
    <w:p w:rsidR="000C0BD2" w:rsidRDefault="00031FC9" w:rsidP="001D7263">
      <w:pPr>
        <w:pStyle w:val="Heading5"/>
        <w:spacing w:line="360" w:lineRule="auto"/>
        <w:jc w:val="both"/>
      </w:pPr>
      <w:bookmarkStart w:id="96" w:name="_Toc449936778"/>
      <w:r>
        <w:t>C</w:t>
      </w:r>
      <w:r w:rsidR="00017330">
        <w:t xml:space="preserve">. </w:t>
      </w:r>
      <w:r w:rsidR="000C0BD2">
        <w:t>Organisatie ouderlijk gezag</w:t>
      </w:r>
      <w:bookmarkEnd w:id="96"/>
    </w:p>
    <w:p w:rsidR="000C0BD2" w:rsidRDefault="00031FC9" w:rsidP="001D7263">
      <w:pPr>
        <w:pStyle w:val="Heading6"/>
        <w:spacing w:line="360" w:lineRule="auto"/>
        <w:jc w:val="both"/>
      </w:pPr>
      <w:bookmarkStart w:id="97" w:name="_Toc449936779"/>
      <w:r>
        <w:t>1</w:t>
      </w:r>
      <w:r w:rsidR="00017330">
        <w:t xml:space="preserve">. </w:t>
      </w:r>
      <w:r w:rsidR="000C0BD2">
        <w:t>Uitoefenin</w:t>
      </w:r>
      <w:r w:rsidR="00CA5731">
        <w:t>g</w:t>
      </w:r>
      <w:r w:rsidR="00395278">
        <w:t xml:space="preserve"> en inhoud</w:t>
      </w:r>
      <w:bookmarkEnd w:id="97"/>
    </w:p>
    <w:p w:rsidR="00881DC5" w:rsidRPr="000B4DBD" w:rsidRDefault="00E87D3E" w:rsidP="00E67B2D">
      <w:pPr>
        <w:pStyle w:val="Randnummer"/>
        <w:spacing w:line="360" w:lineRule="auto"/>
        <w:ind w:left="0" w:firstLine="0"/>
      </w:pPr>
      <w:r w:rsidRPr="000B4DBD">
        <w:rPr>
          <w:b/>
          <w:bCs/>
        </w:rPr>
        <w:fldChar w:fldCharType="begin"/>
      </w:r>
      <w:r w:rsidR="00E67B2D" w:rsidRPr="000B4DBD">
        <w:rPr>
          <w:b/>
          <w:bCs/>
        </w:rPr>
        <w:instrText xml:space="preserve"> AUTONUMLGL  </w:instrText>
      </w:r>
      <w:r w:rsidRPr="000B4DBD">
        <w:rPr>
          <w:b/>
          <w:bCs/>
        </w:rPr>
        <w:fldChar w:fldCharType="end"/>
      </w:r>
      <w:r w:rsidR="00E67B2D" w:rsidRPr="000B4DBD">
        <w:rPr>
          <w:b/>
          <w:bCs/>
        </w:rPr>
        <w:t xml:space="preserve"> </w:t>
      </w:r>
      <w:r w:rsidR="00881DC5" w:rsidRPr="000B4DBD">
        <w:t>Zoals reeds vermeld</w:t>
      </w:r>
      <w:r w:rsidR="00073938" w:rsidRPr="000B4DBD">
        <w:t>,</w:t>
      </w:r>
      <w:r w:rsidR="00881DC5" w:rsidRPr="000B4DBD">
        <w:t xml:space="preserve"> kan het ouderlijk gezag in Engeland worden toegekend aan niet-juridische ouders.</w:t>
      </w:r>
      <w:r w:rsidR="00881DC5" w:rsidRPr="000B4DBD">
        <w:rPr>
          <w:rStyle w:val="FootnoteReference"/>
        </w:rPr>
        <w:footnoteReference w:id="385"/>
      </w:r>
      <w:r w:rsidR="00881DC5" w:rsidRPr="000B4DBD">
        <w:t xml:space="preserve"> S. 2(6) bepaalt dat een persoon die het ouderlijk gezag heeft, dit gezag niet verliest door het enkele feit dat aan een andere persoon ouderlijk gezag wordt gegeven</w:t>
      </w:r>
      <w:r w:rsidR="00F97708" w:rsidRPr="000B4DBD">
        <w:t>.</w:t>
      </w:r>
      <w:r w:rsidR="00F97708" w:rsidRPr="000B4DBD">
        <w:rPr>
          <w:rStyle w:val="FootnoteReference"/>
        </w:rPr>
        <w:footnoteReference w:id="386"/>
      </w:r>
      <w:r w:rsidR="00F97708" w:rsidRPr="000B4DBD">
        <w:t xml:space="preserve"> </w:t>
      </w:r>
    </w:p>
    <w:p w:rsidR="000C0BD2" w:rsidRPr="000B4DBD" w:rsidRDefault="00E87D3E" w:rsidP="00E67B2D">
      <w:pPr>
        <w:pStyle w:val="Randnummer"/>
        <w:spacing w:line="360" w:lineRule="auto"/>
        <w:ind w:left="0" w:firstLine="0"/>
      </w:pPr>
      <w:r w:rsidRPr="000B4DBD">
        <w:rPr>
          <w:b/>
          <w:bCs/>
        </w:rPr>
        <w:fldChar w:fldCharType="begin"/>
      </w:r>
      <w:r w:rsidR="003D4B46" w:rsidRPr="000B4DBD">
        <w:rPr>
          <w:b/>
          <w:bCs/>
          <w:lang w:val="en-US"/>
        </w:rPr>
        <w:instrText xml:space="preserve"> AUTONUMLGL  </w:instrText>
      </w:r>
      <w:r w:rsidRPr="000B4DBD">
        <w:rPr>
          <w:b/>
          <w:bCs/>
        </w:rPr>
        <w:fldChar w:fldCharType="end"/>
      </w:r>
      <w:r w:rsidR="003D4B46" w:rsidRPr="000B4DBD">
        <w:rPr>
          <w:b/>
          <w:bCs/>
          <w:lang w:val="en-US"/>
        </w:rPr>
        <w:t xml:space="preserve"> </w:t>
      </w:r>
      <w:r w:rsidR="00F97708" w:rsidRPr="000B4DBD">
        <w:rPr>
          <w:lang w:val="en-US"/>
        </w:rPr>
        <w:t xml:space="preserve">S. </w:t>
      </w:r>
      <w:r w:rsidR="001E3CCA" w:rsidRPr="000B4DBD">
        <w:rPr>
          <w:lang w:val="en-US"/>
        </w:rPr>
        <w:t>2(7) CA</w:t>
      </w:r>
      <w:r w:rsidR="00C44928" w:rsidRPr="000B4DBD">
        <w:rPr>
          <w:lang w:val="en-US"/>
        </w:rPr>
        <w:t>.</w:t>
      </w:r>
      <w:r w:rsidR="001E3CCA" w:rsidRPr="000B4DBD">
        <w:rPr>
          <w:lang w:val="en-US"/>
        </w:rPr>
        <w:t xml:space="preserve"> stelt het volgende: </w:t>
      </w:r>
      <w:r w:rsidR="00F97708" w:rsidRPr="000B4DBD">
        <w:rPr>
          <w:i/>
          <w:lang w:val="en-US"/>
        </w:rPr>
        <w:t>“Where more than one person has parental responsibility for a child, each of them may act alone and without the other (or others) in meeting that responsibility; but nothing in this Part shall be taken to affect the operation of any enactment which requires the consent of more than one person in a matter affecting the child.”</w:t>
      </w:r>
      <w:r w:rsidR="00DF349F" w:rsidRPr="000B4DBD">
        <w:rPr>
          <w:i/>
          <w:lang w:val="en-US"/>
        </w:rPr>
        <w:t xml:space="preserve"> </w:t>
      </w:r>
      <w:r w:rsidR="00DF349F" w:rsidRPr="000B4DBD">
        <w:t xml:space="preserve">Hieruit </w:t>
      </w:r>
      <w:r w:rsidR="000B4DBD" w:rsidRPr="000B4DBD">
        <w:lastRenderedPageBreak/>
        <w:t>elke gezaghouder alleen kan handelen in</w:t>
      </w:r>
      <w:r w:rsidR="001E3CCA" w:rsidRPr="000B4DBD">
        <w:t xml:space="preserve"> de gevallen waar de wet geen toestemming van de andere gezagh</w:t>
      </w:r>
      <w:r w:rsidR="00F70FDD" w:rsidRPr="000B4DBD">
        <w:t>ouder(s) vereist</w:t>
      </w:r>
      <w:r w:rsidR="001E3CCA" w:rsidRPr="000B4DBD">
        <w:t>.</w:t>
      </w:r>
      <w:r w:rsidR="00F0497C" w:rsidRPr="000B4DBD">
        <w:rPr>
          <w:rStyle w:val="FootnoteReference"/>
        </w:rPr>
        <w:footnoteReference w:id="387"/>
      </w:r>
      <w:r w:rsidR="00881DC5" w:rsidRPr="000B4DBD">
        <w:t xml:space="preserve"> </w:t>
      </w:r>
      <w:r w:rsidR="00F70FDD" w:rsidRPr="000B4DBD">
        <w:t>De toestemming van alle gezag</w:t>
      </w:r>
      <w:r w:rsidR="00800A41" w:rsidRPr="000B4DBD">
        <w:t xml:space="preserve">houders is bijvoorbeeld </w:t>
      </w:r>
      <w:r w:rsidR="003D4B46" w:rsidRPr="000B4DBD">
        <w:t>vereist indien éé</w:t>
      </w:r>
      <w:r w:rsidR="00F70FDD" w:rsidRPr="000B4DBD">
        <w:t>n van de gezag</w:t>
      </w:r>
      <w:r w:rsidR="00800A41" w:rsidRPr="000B4DBD">
        <w:t>houders het kind voor langer als een maand</w:t>
      </w:r>
      <w:r w:rsidR="00706977" w:rsidRPr="000B4DBD">
        <w:t xml:space="preserve"> mee</w:t>
      </w:r>
      <w:r w:rsidR="001D0824" w:rsidRPr="000B4DBD">
        <w:t xml:space="preserve"> buiten Engeland wil</w:t>
      </w:r>
      <w:r w:rsidR="00800A41" w:rsidRPr="000B4DBD">
        <w:t xml:space="preserve"> nemen.</w:t>
      </w:r>
      <w:r w:rsidR="00800A41" w:rsidRPr="000B4DBD">
        <w:rPr>
          <w:rStyle w:val="FootnoteReference"/>
        </w:rPr>
        <w:footnoteReference w:id="388"/>
      </w:r>
    </w:p>
    <w:p w:rsidR="00F0497C" w:rsidRPr="000B4DBD" w:rsidRDefault="00E87D3E" w:rsidP="00E67B2D">
      <w:pPr>
        <w:pStyle w:val="Randnummer"/>
        <w:spacing w:line="360" w:lineRule="auto"/>
        <w:ind w:left="0" w:firstLine="0"/>
      </w:pPr>
      <w:r w:rsidRPr="000B4DBD">
        <w:rPr>
          <w:b/>
          <w:bCs/>
        </w:rPr>
        <w:fldChar w:fldCharType="begin"/>
      </w:r>
      <w:r w:rsidR="00E67B2D" w:rsidRPr="000B4DBD">
        <w:rPr>
          <w:b/>
          <w:bCs/>
        </w:rPr>
        <w:instrText xml:space="preserve"> AUTONUMLGL  </w:instrText>
      </w:r>
      <w:r w:rsidRPr="000B4DBD">
        <w:rPr>
          <w:b/>
          <w:bCs/>
        </w:rPr>
        <w:fldChar w:fldCharType="end"/>
      </w:r>
      <w:r w:rsidR="00E67B2D" w:rsidRPr="000B4DBD">
        <w:rPr>
          <w:b/>
          <w:bCs/>
        </w:rPr>
        <w:t xml:space="preserve"> </w:t>
      </w:r>
      <w:r w:rsidR="00F0497C" w:rsidRPr="000B4DBD">
        <w:t>De personen die ouderlijk gezag hebben, hebben niet allemaal dezelfde bevoegdheden.</w:t>
      </w:r>
      <w:r w:rsidR="00F0497C" w:rsidRPr="000B4DBD">
        <w:rPr>
          <w:rStyle w:val="FootnoteReference"/>
        </w:rPr>
        <w:footnoteReference w:id="389"/>
      </w:r>
      <w:r w:rsidR="00F0497C" w:rsidRPr="000B4DBD">
        <w:t xml:space="preserve"> Zo hebben de personen die ouderlijk gezag hebben verkregen via een </w:t>
      </w:r>
      <w:r w:rsidR="00F0497C" w:rsidRPr="000B4DBD">
        <w:rPr>
          <w:i/>
        </w:rPr>
        <w:t>residence ord</w:t>
      </w:r>
      <w:r w:rsidR="003D4B46" w:rsidRPr="000B4DBD">
        <w:rPr>
          <w:i/>
        </w:rPr>
        <w:t>er</w:t>
      </w:r>
      <w:r w:rsidR="00F0497C" w:rsidRPr="000B4DBD">
        <w:t xml:space="preserve"> geen bevoegdheid om een testamentaire voogd aan te duiden en zij kunnen niet weigeren hun toestemming te geven met de adoptie van het kind.</w:t>
      </w:r>
      <w:r w:rsidR="00F0497C" w:rsidRPr="000B4DBD">
        <w:rPr>
          <w:rStyle w:val="FootnoteReference"/>
        </w:rPr>
        <w:footnoteReference w:id="390"/>
      </w:r>
      <w:r w:rsidR="00F0497C" w:rsidRPr="000B4DBD">
        <w:t xml:space="preserve"> </w:t>
      </w:r>
    </w:p>
    <w:p w:rsidR="000C0BD2" w:rsidRPr="00143631" w:rsidRDefault="00031FC9" w:rsidP="001D7263">
      <w:pPr>
        <w:pStyle w:val="Heading6"/>
        <w:spacing w:line="360" w:lineRule="auto"/>
        <w:jc w:val="both"/>
      </w:pPr>
      <w:bookmarkStart w:id="98" w:name="_Toc449936780"/>
      <w:r>
        <w:t>2</w:t>
      </w:r>
      <w:r w:rsidR="00017330">
        <w:t xml:space="preserve">. </w:t>
      </w:r>
      <w:r w:rsidR="000C0BD2">
        <w:t>Einde</w:t>
      </w:r>
      <w:bookmarkEnd w:id="98"/>
      <w:r w:rsidR="000C0BD2">
        <w:t xml:space="preserve"> </w:t>
      </w:r>
    </w:p>
    <w:p w:rsidR="00376CAA" w:rsidRPr="00F234ED" w:rsidRDefault="00E87D3E" w:rsidP="00F234ED">
      <w:pPr>
        <w:pStyle w:val="Randnummer"/>
        <w:spacing w:line="360" w:lineRule="auto"/>
        <w:ind w:left="0" w:firstLine="0"/>
      </w:pPr>
      <w:r w:rsidRPr="00F234ED">
        <w:rPr>
          <w:b/>
          <w:bCs/>
        </w:rPr>
        <w:fldChar w:fldCharType="begin"/>
      </w:r>
      <w:r w:rsidR="00E67B2D" w:rsidRPr="00F234ED">
        <w:rPr>
          <w:b/>
          <w:bCs/>
        </w:rPr>
        <w:instrText xml:space="preserve"> AUTONUMLGL  </w:instrText>
      </w:r>
      <w:r w:rsidRPr="00F234ED">
        <w:rPr>
          <w:b/>
          <w:bCs/>
        </w:rPr>
        <w:fldChar w:fldCharType="end"/>
      </w:r>
      <w:r w:rsidR="00E67B2D" w:rsidRPr="00F234ED">
        <w:rPr>
          <w:b/>
          <w:bCs/>
        </w:rPr>
        <w:t xml:space="preserve"> </w:t>
      </w:r>
      <w:r w:rsidR="005B6C02" w:rsidRPr="00F234ED">
        <w:t>Het ouderlijk gezag van d</w:t>
      </w:r>
      <w:r w:rsidR="004D0690" w:rsidRPr="00F234ED">
        <w:t xml:space="preserve">e </w:t>
      </w:r>
      <w:r w:rsidR="00706977" w:rsidRPr="00F234ED">
        <w:t>personen die automatisch</w:t>
      </w:r>
      <w:r w:rsidR="000B4DBD" w:rsidRPr="00F234ED">
        <w:t xml:space="preserve"> ouderlijk gezag hebben</w:t>
      </w:r>
      <w:r w:rsidR="004D0690" w:rsidRPr="00F234ED">
        <w:t xml:space="preserve"> is blijvend en eindigt slechts bij meerderjarigheid of overlijden van het kind.</w:t>
      </w:r>
      <w:r w:rsidR="004D0690" w:rsidRPr="00F234ED">
        <w:rPr>
          <w:rStyle w:val="FootnoteReference"/>
        </w:rPr>
        <w:footnoteReference w:id="391"/>
      </w:r>
      <w:r w:rsidR="005B6C02" w:rsidRPr="00F234ED">
        <w:t xml:space="preserve"> </w:t>
      </w:r>
    </w:p>
    <w:p w:rsidR="00395278" w:rsidRPr="00F234ED" w:rsidRDefault="00E87D3E" w:rsidP="00F234ED">
      <w:pPr>
        <w:pStyle w:val="Randnummer"/>
        <w:spacing w:line="360" w:lineRule="auto"/>
        <w:ind w:left="0" w:firstLine="0"/>
      </w:pPr>
      <w:r w:rsidRPr="00F234ED">
        <w:rPr>
          <w:b/>
          <w:bCs/>
        </w:rPr>
        <w:fldChar w:fldCharType="begin"/>
      </w:r>
      <w:r w:rsidR="00E67B2D" w:rsidRPr="00F234ED">
        <w:rPr>
          <w:b/>
          <w:bCs/>
        </w:rPr>
        <w:instrText xml:space="preserve"> AUTONUMLGL  </w:instrText>
      </w:r>
      <w:r w:rsidRPr="00F234ED">
        <w:rPr>
          <w:b/>
          <w:bCs/>
        </w:rPr>
        <w:fldChar w:fldCharType="end"/>
      </w:r>
      <w:r w:rsidR="00E67B2D" w:rsidRPr="00F234ED">
        <w:rPr>
          <w:b/>
          <w:bCs/>
        </w:rPr>
        <w:t xml:space="preserve"> </w:t>
      </w:r>
      <w:r w:rsidR="00395278" w:rsidRPr="00F234ED">
        <w:t xml:space="preserve">Het ouderlijk gezag verkregen door middel van een </w:t>
      </w:r>
      <w:r w:rsidR="00395278" w:rsidRPr="00F234ED">
        <w:rPr>
          <w:i/>
        </w:rPr>
        <w:t>parental responsibility agreement</w:t>
      </w:r>
      <w:r w:rsidR="00395278" w:rsidRPr="00F234ED">
        <w:t xml:space="preserve">, een </w:t>
      </w:r>
      <w:r w:rsidR="00395278" w:rsidRPr="00F234ED">
        <w:rPr>
          <w:i/>
        </w:rPr>
        <w:t>parental responsibility order</w:t>
      </w:r>
      <w:r w:rsidR="00395278" w:rsidRPr="00F234ED">
        <w:t xml:space="preserve"> of als resultaat van een registratie als ouder op de geboorteakte van het kind, kan enkel beëindigd worden door middel van een rechterlijke beslissing.</w:t>
      </w:r>
      <w:r w:rsidR="00395278" w:rsidRPr="00F234ED">
        <w:rPr>
          <w:rStyle w:val="FootnoteReference"/>
        </w:rPr>
        <w:footnoteReference w:id="392"/>
      </w:r>
      <w:r w:rsidR="004A24E3" w:rsidRPr="00F234ED">
        <w:t xml:space="preserve"> Ook</w:t>
      </w:r>
      <w:r w:rsidR="00395278" w:rsidRPr="00F234ED">
        <w:t xml:space="preserve"> ouderlijk gezag verkregen via</w:t>
      </w:r>
      <w:r w:rsidR="003D4B46" w:rsidRPr="00F234ED">
        <w:t xml:space="preserve"> een</w:t>
      </w:r>
      <w:r w:rsidR="00395278" w:rsidRPr="00F234ED">
        <w:t xml:space="preserve"> </w:t>
      </w:r>
      <w:r w:rsidR="00395278" w:rsidRPr="00F234ED">
        <w:rPr>
          <w:i/>
        </w:rPr>
        <w:t>testamentary guardianship</w:t>
      </w:r>
      <w:r w:rsidR="00395278" w:rsidRPr="00F234ED">
        <w:t xml:space="preserve"> kan door de rechtbank beëindigd worden.</w:t>
      </w:r>
      <w:r w:rsidR="00395278" w:rsidRPr="00F234ED">
        <w:rPr>
          <w:rStyle w:val="FootnoteReference"/>
        </w:rPr>
        <w:footnoteReference w:id="393"/>
      </w:r>
      <w:r w:rsidR="00395278" w:rsidRPr="00F234ED">
        <w:t xml:space="preserve"> Het ouderlijk gezag verkregen via een </w:t>
      </w:r>
      <w:r w:rsidR="00395278" w:rsidRPr="00F234ED">
        <w:rPr>
          <w:i/>
        </w:rPr>
        <w:t>residence o</w:t>
      </w:r>
      <w:r w:rsidR="003D4B46" w:rsidRPr="00F234ED">
        <w:rPr>
          <w:i/>
        </w:rPr>
        <w:t xml:space="preserve">rder </w:t>
      </w:r>
      <w:r w:rsidR="003D4B46" w:rsidRPr="00F234ED">
        <w:t>eindigt wanneer de residenc</w:t>
      </w:r>
      <w:r w:rsidR="00395278" w:rsidRPr="00F234ED">
        <w:t>e order niet langer van kracht is.</w:t>
      </w:r>
      <w:r w:rsidR="00395278" w:rsidRPr="00F234ED">
        <w:rPr>
          <w:rStyle w:val="FootnoteReference"/>
        </w:rPr>
        <w:footnoteReference w:id="394"/>
      </w:r>
      <w:r w:rsidR="00395278" w:rsidRPr="00F234ED">
        <w:t xml:space="preserve"> </w:t>
      </w:r>
    </w:p>
    <w:p w:rsidR="00CA5731" w:rsidRPr="00F234ED" w:rsidRDefault="00E87D3E" w:rsidP="00F234ED">
      <w:pPr>
        <w:pStyle w:val="Randnummer"/>
        <w:spacing w:line="360" w:lineRule="auto"/>
        <w:ind w:left="0" w:firstLine="0"/>
      </w:pPr>
      <w:r w:rsidRPr="00F234ED">
        <w:rPr>
          <w:b/>
          <w:bCs/>
        </w:rPr>
        <w:lastRenderedPageBreak/>
        <w:fldChar w:fldCharType="begin"/>
      </w:r>
      <w:r w:rsidR="00E67B2D" w:rsidRPr="00F234ED">
        <w:rPr>
          <w:b/>
          <w:bCs/>
        </w:rPr>
        <w:instrText xml:space="preserve"> AUTONUMLGL  </w:instrText>
      </w:r>
      <w:r w:rsidRPr="00F234ED">
        <w:rPr>
          <w:b/>
          <w:bCs/>
        </w:rPr>
        <w:fldChar w:fldCharType="end"/>
      </w:r>
      <w:r w:rsidR="00E67B2D" w:rsidRPr="00F234ED">
        <w:rPr>
          <w:b/>
          <w:bCs/>
        </w:rPr>
        <w:t xml:space="preserve"> </w:t>
      </w:r>
      <w:r w:rsidR="00E9659F" w:rsidRPr="00F234ED">
        <w:t>Zoals reeds vermeld</w:t>
      </w:r>
      <w:r w:rsidR="003F70E8" w:rsidRPr="00F234ED">
        <w:t>,</w:t>
      </w:r>
      <w:r w:rsidR="00F234ED" w:rsidRPr="00F234ED">
        <w:t xml:space="preserve"> kunnen</w:t>
      </w:r>
      <w:r w:rsidR="00E9659F" w:rsidRPr="00F234ED">
        <w:t xml:space="preserve"> stiefouder</w:t>
      </w:r>
      <w:r w:rsidR="00F234ED" w:rsidRPr="00F234ED">
        <w:t>s</w:t>
      </w:r>
      <w:r w:rsidR="00E9659F" w:rsidRPr="00F234ED">
        <w:t xml:space="preserve"> </w:t>
      </w:r>
      <w:r w:rsidR="00282A35" w:rsidRPr="00F234ED">
        <w:t xml:space="preserve">en </w:t>
      </w:r>
      <w:r w:rsidR="00550184" w:rsidRPr="00F234ED">
        <w:t>donor</w:t>
      </w:r>
      <w:r w:rsidR="00F234ED" w:rsidRPr="00F234ED">
        <w:t>s</w:t>
      </w:r>
      <w:r w:rsidR="00550184" w:rsidRPr="00F234ED">
        <w:t xml:space="preserve"> </w:t>
      </w:r>
      <w:r w:rsidR="00F234ED" w:rsidRPr="00F234ED">
        <w:t xml:space="preserve">ouderlijk </w:t>
      </w:r>
      <w:r w:rsidR="00E9659F" w:rsidRPr="00F234ED">
        <w:t>ge</w:t>
      </w:r>
      <w:r w:rsidR="00550184" w:rsidRPr="00F234ED">
        <w:t xml:space="preserve">zag verkrijgen via een </w:t>
      </w:r>
      <w:r w:rsidR="00550184" w:rsidRPr="00F234ED">
        <w:rPr>
          <w:i/>
        </w:rPr>
        <w:t>residence order</w:t>
      </w:r>
      <w:r w:rsidR="00550184" w:rsidRPr="00F234ED">
        <w:t>.</w:t>
      </w:r>
      <w:r w:rsidR="00550184" w:rsidRPr="00F234ED">
        <w:rPr>
          <w:rStyle w:val="FootnoteReference"/>
        </w:rPr>
        <w:footnoteReference w:id="395"/>
      </w:r>
      <w:r w:rsidR="00E9659F" w:rsidRPr="00F234ED">
        <w:t xml:space="preserve"> </w:t>
      </w:r>
      <w:r w:rsidR="00F234ED" w:rsidRPr="00F234ED">
        <w:t>Ze verliezen</w:t>
      </w:r>
      <w:r w:rsidR="00E9659F" w:rsidRPr="00F234ED">
        <w:t xml:space="preserve"> het ouderlijk gezag indien de </w:t>
      </w:r>
      <w:r w:rsidR="00E9659F" w:rsidRPr="00F234ED">
        <w:rPr>
          <w:i/>
        </w:rPr>
        <w:t>r</w:t>
      </w:r>
      <w:r w:rsidR="00550184" w:rsidRPr="00F234ED">
        <w:rPr>
          <w:i/>
        </w:rPr>
        <w:t xml:space="preserve">esidence order </w:t>
      </w:r>
      <w:r w:rsidR="00550184" w:rsidRPr="00F234ED">
        <w:t>niet langer van kracht is</w:t>
      </w:r>
      <w:r w:rsidR="00E9659F" w:rsidRPr="00F234ED">
        <w:t>.</w:t>
      </w:r>
      <w:r w:rsidR="00E9659F" w:rsidRPr="00F234ED">
        <w:rPr>
          <w:rStyle w:val="FootnoteReference"/>
        </w:rPr>
        <w:footnoteReference w:id="396"/>
      </w:r>
      <w:r w:rsidR="00376CAA" w:rsidRPr="00F234ED">
        <w:t xml:space="preserve"> </w:t>
      </w:r>
    </w:p>
    <w:p w:rsidR="00550184" w:rsidRPr="00F234ED" w:rsidRDefault="00550184" w:rsidP="00F234ED">
      <w:pPr>
        <w:pStyle w:val="Randnummer"/>
        <w:spacing w:line="360" w:lineRule="auto"/>
        <w:ind w:left="0" w:firstLine="0"/>
      </w:pPr>
      <w:r w:rsidRPr="00F234ED">
        <w:t>Het ouderlijk gezag van de stiefouder</w:t>
      </w:r>
      <w:r w:rsidR="00376CAA" w:rsidRPr="00F234ED">
        <w:t xml:space="preserve"> die </w:t>
      </w:r>
      <w:r w:rsidR="00282A35" w:rsidRPr="00F234ED">
        <w:t>een formele relatie heeft met éé</w:t>
      </w:r>
      <w:r w:rsidR="003D4B46" w:rsidRPr="00F234ED">
        <w:t xml:space="preserve">n van de juridische ouders </w:t>
      </w:r>
      <w:r w:rsidR="00376CAA" w:rsidRPr="00F234ED">
        <w:t xml:space="preserve">en het </w:t>
      </w:r>
      <w:r w:rsidRPr="00F234ED">
        <w:t xml:space="preserve">ouderlijk gezag heeft verkregen via een </w:t>
      </w:r>
      <w:r w:rsidRPr="00F234ED">
        <w:rPr>
          <w:i/>
        </w:rPr>
        <w:t>paren</w:t>
      </w:r>
      <w:r w:rsidR="00282A35" w:rsidRPr="00F234ED">
        <w:rPr>
          <w:i/>
        </w:rPr>
        <w:t>tal responsibility agreement</w:t>
      </w:r>
      <w:r w:rsidR="00282A35" w:rsidRPr="00F234ED">
        <w:t xml:space="preserve"> of</w:t>
      </w:r>
      <w:r w:rsidRPr="00F234ED">
        <w:t xml:space="preserve"> via een </w:t>
      </w:r>
      <w:r w:rsidRPr="00F234ED">
        <w:rPr>
          <w:i/>
        </w:rPr>
        <w:t>parental responsibility order</w:t>
      </w:r>
      <w:r w:rsidRPr="00F234ED">
        <w:t>, kan door de rechter beëindigd worden. Zowel de juridische ouder</w:t>
      </w:r>
      <w:r w:rsidR="00376CAA" w:rsidRPr="00F234ED">
        <w:t>(s)</w:t>
      </w:r>
      <w:r w:rsidRPr="00F234ED">
        <w:t>, het kind en de stiefouder kunnen hierom verzoeken.</w:t>
      </w:r>
      <w:r w:rsidRPr="00F234ED">
        <w:rPr>
          <w:rStyle w:val="FootnoteReference"/>
        </w:rPr>
        <w:footnoteReference w:id="397"/>
      </w:r>
      <w:r w:rsidRPr="00F234ED">
        <w:t xml:space="preserve"> De rechter oordeelt in het belang van het kind. Een einde aan de relatie van de sti</w:t>
      </w:r>
      <w:r w:rsidR="003D4B46" w:rsidRPr="00F234ED">
        <w:t xml:space="preserve">efouder en de juridische ouder </w:t>
      </w:r>
      <w:r w:rsidRPr="00F234ED">
        <w:t xml:space="preserve">zorgt niet </w:t>
      </w:r>
      <w:r w:rsidR="003D4B46" w:rsidRPr="00F234ED">
        <w:t xml:space="preserve">automatisch </w:t>
      </w:r>
      <w:r w:rsidRPr="00F234ED">
        <w:t>voor het verlies van het ouderlijk gezag van de stiefouder.</w:t>
      </w:r>
      <w:r w:rsidRPr="00F234ED">
        <w:rPr>
          <w:rStyle w:val="FootnoteReference"/>
        </w:rPr>
        <w:footnoteReference w:id="398"/>
      </w:r>
    </w:p>
    <w:p w:rsidR="000C0BD2" w:rsidRPr="00F234ED" w:rsidRDefault="00031FC9" w:rsidP="001D7263">
      <w:pPr>
        <w:pStyle w:val="Heading4"/>
        <w:spacing w:line="360" w:lineRule="auto"/>
        <w:jc w:val="both"/>
      </w:pPr>
      <w:bookmarkStart w:id="99" w:name="_Toc449936781"/>
      <w:r w:rsidRPr="00F234ED">
        <w:t>§3.</w:t>
      </w:r>
      <w:r w:rsidR="00017330" w:rsidRPr="00F234ED">
        <w:t xml:space="preserve"> </w:t>
      </w:r>
      <w:r w:rsidR="000C0BD2" w:rsidRPr="00F234ED">
        <w:t>Afstammingsloos gezag in België</w:t>
      </w:r>
      <w:bookmarkEnd w:id="99"/>
    </w:p>
    <w:p w:rsidR="000C0BD2" w:rsidRPr="00F234ED" w:rsidRDefault="00017330" w:rsidP="001D7263">
      <w:pPr>
        <w:pStyle w:val="Heading5"/>
        <w:spacing w:line="360" w:lineRule="auto"/>
        <w:jc w:val="both"/>
      </w:pPr>
      <w:bookmarkStart w:id="100" w:name="_Toc449936782"/>
      <w:r w:rsidRPr="00F234ED">
        <w:t xml:space="preserve">A. </w:t>
      </w:r>
      <w:r w:rsidR="000C0BD2" w:rsidRPr="00F234ED">
        <w:t>Zorgouderschap</w:t>
      </w:r>
      <w:bookmarkEnd w:id="100"/>
      <w:r w:rsidR="000C0BD2" w:rsidRPr="00F234ED">
        <w:t xml:space="preserve"> </w:t>
      </w:r>
    </w:p>
    <w:p w:rsidR="000C0BD2" w:rsidRPr="00F234ED" w:rsidRDefault="00E87D3E" w:rsidP="00F234ED">
      <w:pPr>
        <w:pStyle w:val="Randnummer"/>
        <w:spacing w:line="360" w:lineRule="auto"/>
        <w:ind w:left="0" w:firstLine="0"/>
      </w:pPr>
      <w:r w:rsidRPr="00F234ED">
        <w:rPr>
          <w:b/>
          <w:bCs/>
        </w:rPr>
        <w:fldChar w:fldCharType="begin"/>
      </w:r>
      <w:r w:rsidR="00E67B2D" w:rsidRPr="00F234ED">
        <w:rPr>
          <w:b/>
          <w:bCs/>
        </w:rPr>
        <w:instrText xml:space="preserve"> AUTONUMLGL  </w:instrText>
      </w:r>
      <w:r w:rsidRPr="00F234ED">
        <w:rPr>
          <w:b/>
          <w:bCs/>
        </w:rPr>
        <w:fldChar w:fldCharType="end"/>
      </w:r>
      <w:r w:rsidR="00E67B2D" w:rsidRPr="00F234ED">
        <w:rPr>
          <w:b/>
          <w:bCs/>
        </w:rPr>
        <w:t xml:space="preserve"> </w:t>
      </w:r>
      <w:r w:rsidR="00772650" w:rsidRPr="00F234ED">
        <w:t>In het Belgisch</w:t>
      </w:r>
      <w:r w:rsidR="00626BBB" w:rsidRPr="00F234ED">
        <w:t xml:space="preserve"> recht bestaat</w:t>
      </w:r>
      <w:r w:rsidR="000C0BD2" w:rsidRPr="00F234ED">
        <w:t xml:space="preserve"> afstammi</w:t>
      </w:r>
      <w:r w:rsidR="003F70E8" w:rsidRPr="00F234ED">
        <w:t>ngsloos gezag nog niet. Zoals reeds</w:t>
      </w:r>
      <w:r w:rsidR="000C0BD2" w:rsidRPr="00F234ED">
        <w:t xml:space="preserve"> vermeld, zijn er wetgevende initiatieven om hierin verandering te brengen.</w:t>
      </w:r>
      <w:r w:rsidR="000C0BD2" w:rsidRPr="00F234ED">
        <w:rPr>
          <w:rStyle w:val="FootnoteReference"/>
        </w:rPr>
        <w:footnoteReference w:id="399"/>
      </w:r>
      <w:r w:rsidR="000C0BD2" w:rsidRPr="00F234ED">
        <w:t xml:space="preserve"> In de wetsvoorstellen wordt de term “zorgouderschap” gebruikt. De zorgouder is de niet-juridische ouder die opvoedende taken op zich neemt.</w:t>
      </w:r>
      <w:r w:rsidR="000C0BD2" w:rsidRPr="00F234ED">
        <w:rPr>
          <w:rStyle w:val="FootnoteReference"/>
        </w:rPr>
        <w:footnoteReference w:id="400"/>
      </w:r>
    </w:p>
    <w:p w:rsidR="000C0BD2" w:rsidRPr="00F234ED" w:rsidRDefault="00E87D3E" w:rsidP="00F234ED">
      <w:pPr>
        <w:pStyle w:val="Randnummer"/>
        <w:spacing w:line="360" w:lineRule="auto"/>
        <w:ind w:left="0" w:firstLine="0"/>
      </w:pPr>
      <w:r w:rsidRPr="00F234ED">
        <w:rPr>
          <w:b/>
          <w:bCs/>
        </w:rPr>
        <w:fldChar w:fldCharType="begin"/>
      </w:r>
      <w:r w:rsidR="00E67B2D" w:rsidRPr="00F234ED">
        <w:rPr>
          <w:b/>
          <w:bCs/>
        </w:rPr>
        <w:instrText xml:space="preserve"> AUTONUMLGL  </w:instrText>
      </w:r>
      <w:r w:rsidRPr="00F234ED">
        <w:rPr>
          <w:b/>
          <w:bCs/>
        </w:rPr>
        <w:fldChar w:fldCharType="end"/>
      </w:r>
      <w:r w:rsidR="00E67B2D" w:rsidRPr="00F234ED">
        <w:rPr>
          <w:b/>
          <w:bCs/>
        </w:rPr>
        <w:t xml:space="preserve"> </w:t>
      </w:r>
      <w:r w:rsidR="000C0BD2" w:rsidRPr="00F234ED">
        <w:t>In de toelichting van de wetsvoorstellen wordt verduidelijkt waarom zorgouderschap noodzakelijk i</w:t>
      </w:r>
      <w:r w:rsidR="003F70E8" w:rsidRPr="00F234ED">
        <w:t>s. In België bestaan</w:t>
      </w:r>
      <w:r w:rsidR="000C0BD2" w:rsidRPr="00F234ED">
        <w:t xml:space="preserve"> veel nieuw samengestelde gezinnen waar een niet-juridische ouder, de zorgouder, het kind mee opvoedt.</w:t>
      </w:r>
      <w:r w:rsidR="000C0BD2" w:rsidRPr="00F234ED">
        <w:rPr>
          <w:rStyle w:val="FootnoteReference"/>
        </w:rPr>
        <w:footnoteReference w:id="401"/>
      </w:r>
      <w:r w:rsidR="00E36B93" w:rsidRPr="00F234ED">
        <w:t xml:space="preserve"> </w:t>
      </w:r>
      <w:r w:rsidR="000C0BD2" w:rsidRPr="00F234ED">
        <w:t>Tussen de zorgouder en het kind ontstaan zorgrelaties die niet wettelijk beschermd worden. De zorgouder kan weinig of geen rechten en plichten opnem</w:t>
      </w:r>
      <w:r w:rsidR="00F234ED" w:rsidRPr="00F234ED">
        <w:t>en ten opzichte van het</w:t>
      </w:r>
      <w:r w:rsidR="003F70E8" w:rsidRPr="00F234ED">
        <w:t xml:space="preserve"> kind. D</w:t>
      </w:r>
      <w:r w:rsidR="000C0BD2" w:rsidRPr="00F234ED">
        <w:t xml:space="preserve">it </w:t>
      </w:r>
      <w:r w:rsidR="00C96DA7" w:rsidRPr="00F234ED">
        <w:t xml:space="preserve">geeft aanleiding tot onzekerheid </w:t>
      </w:r>
      <w:r w:rsidR="00C96DA7" w:rsidRPr="00F234ED">
        <w:lastRenderedPageBreak/>
        <w:t xml:space="preserve">voor de zorgouders en </w:t>
      </w:r>
      <w:r w:rsidR="000C0BD2" w:rsidRPr="00F234ED">
        <w:t>kinderen.</w:t>
      </w:r>
      <w:r w:rsidR="000C0BD2" w:rsidRPr="00F234ED">
        <w:rPr>
          <w:rStyle w:val="FootnoteReference"/>
        </w:rPr>
        <w:footnoteReference w:id="402"/>
      </w:r>
      <w:r w:rsidR="000C0BD2" w:rsidRPr="00F234ED">
        <w:t xml:space="preserve">  Het zorgouderschap zou een wettelijke omkadering bieden voor deze zorgrelaties, zonder te raken aan de afstammingsregels.</w:t>
      </w:r>
      <w:r w:rsidR="000C0BD2" w:rsidRPr="00F234ED">
        <w:rPr>
          <w:rStyle w:val="FootnoteReference"/>
        </w:rPr>
        <w:footnoteReference w:id="403"/>
      </w:r>
      <w:r w:rsidR="000C0BD2" w:rsidRPr="00F234ED">
        <w:t xml:space="preserve"> </w:t>
      </w:r>
      <w:r w:rsidR="00626BBB" w:rsidRPr="00F234ED">
        <w:t>Het biedt de mogelijkheid om aan niet-juridische ouders</w:t>
      </w:r>
      <w:r w:rsidR="00F234ED" w:rsidRPr="00F234ED">
        <w:t>, de zorgouders,</w:t>
      </w:r>
      <w:r w:rsidR="00626BBB" w:rsidRPr="00F234ED">
        <w:t xml:space="preserve"> ouderlijk gezag te geven.</w:t>
      </w:r>
    </w:p>
    <w:p w:rsidR="009F151D" w:rsidRPr="00F234ED" w:rsidRDefault="009F151D" w:rsidP="00F234ED">
      <w:pPr>
        <w:pStyle w:val="Randnummer"/>
        <w:spacing w:line="360" w:lineRule="auto"/>
        <w:ind w:left="0" w:firstLine="0"/>
      </w:pPr>
      <w:r w:rsidRPr="00F234ED">
        <w:rPr>
          <w:bCs/>
        </w:rPr>
        <w:t xml:space="preserve">Er wordt toegelicht dat </w:t>
      </w:r>
      <w:r w:rsidR="00F234ED" w:rsidRPr="00F234ED">
        <w:rPr>
          <w:bCs/>
        </w:rPr>
        <w:t xml:space="preserve">noch </w:t>
      </w:r>
      <w:r w:rsidRPr="00F234ED">
        <w:rPr>
          <w:bCs/>
        </w:rPr>
        <w:t>adoptie noch pleegvoogdij wenselijke oplossingen zijn voor deze problematiek.</w:t>
      </w:r>
      <w:r w:rsidRPr="00F234ED">
        <w:rPr>
          <w:rStyle w:val="FootnoteReference"/>
          <w:bCs/>
        </w:rPr>
        <w:footnoteReference w:id="404"/>
      </w:r>
      <w:r w:rsidRPr="00F234ED">
        <w:rPr>
          <w:bCs/>
        </w:rPr>
        <w:t xml:space="preserve"> De adoptieprocedure</w:t>
      </w:r>
      <w:r w:rsidR="00626BBB" w:rsidRPr="00F234ED">
        <w:rPr>
          <w:bCs/>
        </w:rPr>
        <w:t xml:space="preserve"> is een ingewikkelde procedure en</w:t>
      </w:r>
      <w:r w:rsidRPr="00F234ED">
        <w:rPr>
          <w:bCs/>
        </w:rPr>
        <w:t xml:space="preserve"> kent zware grondvoorwaarden. Bovendien heeft het zorgouderschap minder verregaande gevolgen. Er komt, in tegenstelling tot adoptie, geen afstammingsband tot stand.</w:t>
      </w:r>
      <w:r w:rsidR="00626BBB" w:rsidRPr="00F234ED">
        <w:rPr>
          <w:rStyle w:val="FootnoteReference"/>
          <w:bCs/>
        </w:rPr>
        <w:footnoteReference w:id="405"/>
      </w:r>
      <w:r w:rsidRPr="00F234ED">
        <w:rPr>
          <w:bCs/>
        </w:rPr>
        <w:t xml:space="preserve"> Ook pleegvoogdij is geen gewenste oplossing. Pleegvoogdij maakt het mogelijk dat</w:t>
      </w:r>
      <w:r w:rsidR="00626BBB" w:rsidRPr="00F234ED">
        <w:rPr>
          <w:bCs/>
        </w:rPr>
        <w:t xml:space="preserve"> aan</w:t>
      </w:r>
      <w:r w:rsidRPr="00F234ED">
        <w:rPr>
          <w:bCs/>
        </w:rPr>
        <w:t xml:space="preserve"> niet-juridische ouders bevoegdhede</w:t>
      </w:r>
      <w:r w:rsidR="00626BBB" w:rsidRPr="00F234ED">
        <w:rPr>
          <w:bCs/>
        </w:rPr>
        <w:t>n van het ouderlijk gezag worden overgedragen</w:t>
      </w:r>
      <w:r w:rsidRPr="00F234ED">
        <w:rPr>
          <w:bCs/>
        </w:rPr>
        <w:t>, maar de overgedragen bevoegheden kunnen niet langer door de juridische ouders worden uitgeoefend.</w:t>
      </w:r>
      <w:r w:rsidR="00626BBB" w:rsidRPr="00F234ED">
        <w:rPr>
          <w:rStyle w:val="FootnoteReference"/>
          <w:bCs/>
        </w:rPr>
        <w:footnoteReference w:id="406"/>
      </w:r>
      <w:r w:rsidRPr="00F234ED">
        <w:rPr>
          <w:bCs/>
        </w:rPr>
        <w:t xml:space="preserve"> Dit biedt dus geen oplossing indien de juridische </w:t>
      </w:r>
      <w:r w:rsidR="00F234ED" w:rsidRPr="00F234ED">
        <w:rPr>
          <w:bCs/>
        </w:rPr>
        <w:t>ouders</w:t>
      </w:r>
      <w:r w:rsidRPr="00F234ED">
        <w:rPr>
          <w:bCs/>
        </w:rPr>
        <w:t xml:space="preserve"> nog steeds </w:t>
      </w:r>
      <w:r w:rsidR="00F234ED" w:rsidRPr="00F234ED">
        <w:rPr>
          <w:bCs/>
        </w:rPr>
        <w:t>instaan voor de opvoedi</w:t>
      </w:r>
      <w:r w:rsidRPr="00F234ED">
        <w:rPr>
          <w:bCs/>
        </w:rPr>
        <w:t>n</w:t>
      </w:r>
      <w:r w:rsidR="00F234ED" w:rsidRPr="00F234ED">
        <w:rPr>
          <w:bCs/>
        </w:rPr>
        <w:t>g van het kind</w:t>
      </w:r>
      <w:r w:rsidRPr="00F234ED">
        <w:rPr>
          <w:bCs/>
        </w:rPr>
        <w:t>.</w:t>
      </w:r>
    </w:p>
    <w:p w:rsidR="000C0BD2" w:rsidRPr="00F234ED" w:rsidRDefault="00E87D3E" w:rsidP="00F234ED">
      <w:pPr>
        <w:pStyle w:val="Randnummer"/>
        <w:spacing w:line="360" w:lineRule="auto"/>
        <w:ind w:left="0" w:firstLine="0"/>
      </w:pPr>
      <w:r w:rsidRPr="00F234ED">
        <w:rPr>
          <w:b/>
          <w:bCs/>
        </w:rPr>
        <w:fldChar w:fldCharType="begin"/>
      </w:r>
      <w:r w:rsidR="00E67B2D" w:rsidRPr="00F234ED">
        <w:rPr>
          <w:b/>
          <w:bCs/>
        </w:rPr>
        <w:instrText xml:space="preserve"> AUTONUMLGL  </w:instrText>
      </w:r>
      <w:r w:rsidRPr="00F234ED">
        <w:rPr>
          <w:b/>
          <w:bCs/>
        </w:rPr>
        <w:fldChar w:fldCharType="end"/>
      </w:r>
      <w:r w:rsidR="00E67B2D" w:rsidRPr="00F234ED">
        <w:rPr>
          <w:b/>
          <w:bCs/>
        </w:rPr>
        <w:t xml:space="preserve"> </w:t>
      </w:r>
      <w:r w:rsidR="000C0BD2" w:rsidRPr="00F234ED">
        <w:t>De toekenning van het zorgouderschap doet geen afbreuk aan de afstammingsbanden van het kind en brengt geen nieuwe afstammingsbanden tot stand.</w:t>
      </w:r>
      <w:r w:rsidR="000C0BD2" w:rsidRPr="00F234ED">
        <w:rPr>
          <w:rStyle w:val="FootnoteReference"/>
        </w:rPr>
        <w:footnoteReference w:id="407"/>
      </w:r>
      <w:r w:rsidR="000C0BD2" w:rsidRPr="00F234ED">
        <w:t xml:space="preserve"> Bovendien gaat het zorgouderschap niet ten koste van de juridische ouders, zij behouden hun rechten en plichten ten opzichte van het kind.</w:t>
      </w:r>
      <w:r w:rsidR="000C0BD2" w:rsidRPr="00F234ED">
        <w:rPr>
          <w:rStyle w:val="FootnoteReference"/>
        </w:rPr>
        <w:footnoteReference w:id="408"/>
      </w:r>
      <w:r w:rsidR="000C0BD2" w:rsidRPr="00F234ED">
        <w:t xml:space="preserve"> Dit houdt een belangrijk verschil in met pleegvoogdij, waar de juridische ouders </w:t>
      </w:r>
      <w:r w:rsidR="00C96DA7" w:rsidRPr="00F234ED">
        <w:t>de overgedragen bevoegdheden van het ouderlijk gezag niet langer kunnen uitoefenen</w:t>
      </w:r>
      <w:r w:rsidR="000C0BD2" w:rsidRPr="00F234ED">
        <w:t>.</w:t>
      </w:r>
      <w:r w:rsidR="00C96DA7" w:rsidRPr="00F234ED">
        <w:rPr>
          <w:rStyle w:val="FootnoteReference"/>
        </w:rPr>
        <w:footnoteReference w:id="409"/>
      </w:r>
    </w:p>
    <w:p w:rsidR="000C0BD2" w:rsidRDefault="00017330" w:rsidP="001D7263">
      <w:pPr>
        <w:pStyle w:val="Heading5"/>
        <w:spacing w:line="360" w:lineRule="auto"/>
        <w:jc w:val="both"/>
      </w:pPr>
      <w:bookmarkStart w:id="101" w:name="_Toc449936783"/>
      <w:r>
        <w:lastRenderedPageBreak/>
        <w:t xml:space="preserve">B. </w:t>
      </w:r>
      <w:r w:rsidR="000C0BD2">
        <w:t>Organisatie zorgouderschap</w:t>
      </w:r>
      <w:bookmarkEnd w:id="101"/>
    </w:p>
    <w:p w:rsidR="000C0BD2" w:rsidRDefault="00017330" w:rsidP="001D7263">
      <w:pPr>
        <w:pStyle w:val="Heading6"/>
        <w:spacing w:line="360" w:lineRule="auto"/>
        <w:jc w:val="both"/>
      </w:pPr>
      <w:bookmarkStart w:id="102" w:name="_Toc449936784"/>
      <w:r>
        <w:t xml:space="preserve">1. </w:t>
      </w:r>
      <w:r w:rsidR="000C0BD2">
        <w:t>Voorwaarden</w:t>
      </w:r>
      <w:bookmarkEnd w:id="102"/>
    </w:p>
    <w:p w:rsidR="000C0BD2" w:rsidRPr="00F234ED" w:rsidRDefault="00E87D3E" w:rsidP="00E67B2D">
      <w:pPr>
        <w:pStyle w:val="Randnummer"/>
        <w:spacing w:line="360" w:lineRule="auto"/>
        <w:ind w:left="0" w:firstLine="0"/>
      </w:pPr>
      <w:r w:rsidRPr="00F234ED">
        <w:rPr>
          <w:b/>
          <w:bCs/>
        </w:rPr>
        <w:fldChar w:fldCharType="begin"/>
      </w:r>
      <w:r w:rsidR="00E67B2D" w:rsidRPr="00F234ED">
        <w:rPr>
          <w:b/>
          <w:bCs/>
        </w:rPr>
        <w:instrText xml:space="preserve"> AUTONUMLGL  </w:instrText>
      </w:r>
      <w:r w:rsidRPr="00F234ED">
        <w:rPr>
          <w:b/>
          <w:bCs/>
        </w:rPr>
        <w:fldChar w:fldCharType="end"/>
      </w:r>
      <w:r w:rsidR="00F234ED" w:rsidRPr="00F234ED">
        <w:rPr>
          <w:b/>
          <w:bCs/>
        </w:rPr>
        <w:t xml:space="preserve"> </w:t>
      </w:r>
      <w:r w:rsidR="003F70E8" w:rsidRPr="00F234ED">
        <w:t>Indien er slechts éé</w:t>
      </w:r>
      <w:r w:rsidR="00257512" w:rsidRPr="00F234ED">
        <w:t>n</w:t>
      </w:r>
      <w:r w:rsidR="00C168BD" w:rsidRPr="00F234ED">
        <w:t xml:space="preserve"> juridische</w:t>
      </w:r>
      <w:r w:rsidR="00257512" w:rsidRPr="00F234ED">
        <w:t xml:space="preserve"> ouder is, </w:t>
      </w:r>
      <w:r w:rsidR="00626BBB" w:rsidRPr="00F234ED">
        <w:t>dienen vijf voorwaarden vervuld te zijn.</w:t>
      </w:r>
      <w:r w:rsidR="000C0BD2" w:rsidRPr="00F234ED">
        <w:rPr>
          <w:rStyle w:val="FootnoteReference"/>
        </w:rPr>
        <w:footnoteReference w:id="410"/>
      </w:r>
      <w:r w:rsidR="003F70E8" w:rsidRPr="00F234ED">
        <w:t xml:space="preserve"> Ten eerste </w:t>
      </w:r>
      <w:r w:rsidR="00626BBB" w:rsidRPr="00F234ED">
        <w:t>moet</w:t>
      </w:r>
      <w:r w:rsidR="00C168BD" w:rsidRPr="00F234ED">
        <w:t>en</w:t>
      </w:r>
      <w:r w:rsidR="00E36B93" w:rsidRPr="00F234ED">
        <w:t xml:space="preserve"> de zorgouder en de</w:t>
      </w:r>
      <w:r w:rsidR="00C168BD" w:rsidRPr="00F234ED">
        <w:t xml:space="preserve"> ouder van het kind gezamenlijk</w:t>
      </w:r>
      <w:r w:rsidR="000C0BD2" w:rsidRPr="00F234ED">
        <w:t xml:space="preserve"> een verzoek</w:t>
      </w:r>
      <w:r w:rsidR="00E36B93" w:rsidRPr="00F234ED">
        <w:t xml:space="preserve"> voor de toekenning van het zorgouderschap indienen.</w:t>
      </w:r>
      <w:r w:rsidR="000C0BD2" w:rsidRPr="00F234ED">
        <w:t xml:space="preserve"> Dit verzoek wordt bij de familierechtban</w:t>
      </w:r>
      <w:r w:rsidR="00C168BD" w:rsidRPr="00F234ED">
        <w:t>k ingediend. Ten tweede moet</w:t>
      </w:r>
      <w:r w:rsidR="00257512" w:rsidRPr="00F234ED">
        <w:t xml:space="preserve"> </w:t>
      </w:r>
      <w:r w:rsidR="000C0BD2" w:rsidRPr="00F234ED">
        <w:t>een bijzonder</w:t>
      </w:r>
      <w:r w:rsidR="00EC587E" w:rsidRPr="00F234ED">
        <w:t>e</w:t>
      </w:r>
      <w:r w:rsidR="000C0BD2" w:rsidRPr="00F234ED">
        <w:t xml:space="preserve"> affectieve band bestaan tussen het kind</w:t>
      </w:r>
      <w:r w:rsidR="00C168BD" w:rsidRPr="00F234ED">
        <w:t xml:space="preserve"> en de zorgouder. Ten derde dien</w:t>
      </w:r>
      <w:r w:rsidR="000C0BD2" w:rsidRPr="00F234ED">
        <w:t>en de ouder en de zorgouder gedurende een onafgebroken periode van twee jaar voorafgaand aan de inleiding van de vordering</w:t>
      </w:r>
      <w:r w:rsidR="00C168BD" w:rsidRPr="00F234ED">
        <w:t>,</w:t>
      </w:r>
      <w:r w:rsidR="000C0BD2" w:rsidRPr="00F234ED">
        <w:t xml:space="preserve"> samen zorg </w:t>
      </w:r>
      <w:r w:rsidR="00C168BD" w:rsidRPr="00F234ED">
        <w:t xml:space="preserve">te </w:t>
      </w:r>
      <w:r w:rsidR="000C0BD2" w:rsidRPr="00F234ED">
        <w:t>hebben gedrag</w:t>
      </w:r>
      <w:r w:rsidR="00C168BD" w:rsidRPr="00F234ED">
        <w:t>en voor het kind. Ten vierde dien</w:t>
      </w:r>
      <w:r w:rsidR="000C0BD2" w:rsidRPr="00F234ED">
        <w:t>t het kind dat de leeftijd van twaalf jaar heeft</w:t>
      </w:r>
      <w:r w:rsidR="00C168BD" w:rsidRPr="00F234ED">
        <w:t xml:space="preserve"> bereikt</w:t>
      </w:r>
      <w:r w:rsidR="000C0BD2" w:rsidRPr="00F234ED">
        <w:t>, in</w:t>
      </w:r>
      <w:r w:rsidR="00C168BD" w:rsidRPr="00F234ED">
        <w:t xml:space="preserve"> te </w:t>
      </w:r>
      <w:r w:rsidR="000C0BD2" w:rsidRPr="00F234ED">
        <w:t>stemmen met het zo</w:t>
      </w:r>
      <w:r w:rsidR="003F70E8" w:rsidRPr="00F234ED">
        <w:t xml:space="preserve">rgouderschap. Ten slotte mag </w:t>
      </w:r>
      <w:r w:rsidR="000C0BD2" w:rsidRPr="00F234ED">
        <w:t>niet al een zorgouderschap toegeke</w:t>
      </w:r>
      <w:r w:rsidR="003F70E8" w:rsidRPr="00F234ED">
        <w:t xml:space="preserve">nd zijn aan een andere persoon. </w:t>
      </w:r>
      <w:r w:rsidR="000C0BD2" w:rsidRPr="00F234ED">
        <w:t>De rechter toetst altijd aan het belang van het kind.</w:t>
      </w:r>
      <w:r w:rsidR="000C0BD2" w:rsidRPr="00F234ED">
        <w:rPr>
          <w:rStyle w:val="FootnoteReference"/>
        </w:rPr>
        <w:footnoteReference w:id="411"/>
      </w:r>
    </w:p>
    <w:p w:rsidR="000C0BD2" w:rsidRPr="00F234ED" w:rsidRDefault="00E87D3E" w:rsidP="00E67B2D">
      <w:pPr>
        <w:pStyle w:val="Randnummer"/>
        <w:spacing w:line="360" w:lineRule="auto"/>
        <w:ind w:left="0" w:firstLine="0"/>
      </w:pPr>
      <w:r w:rsidRPr="00F234ED">
        <w:rPr>
          <w:b/>
          <w:bCs/>
        </w:rPr>
        <w:fldChar w:fldCharType="begin"/>
      </w:r>
      <w:r w:rsidR="00E67B2D" w:rsidRPr="00F234ED">
        <w:rPr>
          <w:b/>
          <w:bCs/>
        </w:rPr>
        <w:instrText xml:space="preserve"> AUTONUMLGL  </w:instrText>
      </w:r>
      <w:r w:rsidRPr="00F234ED">
        <w:rPr>
          <w:b/>
          <w:bCs/>
        </w:rPr>
        <w:fldChar w:fldCharType="end"/>
      </w:r>
      <w:r w:rsidR="00E67B2D" w:rsidRPr="00F234ED">
        <w:rPr>
          <w:b/>
          <w:bCs/>
        </w:rPr>
        <w:t xml:space="preserve"> </w:t>
      </w:r>
      <w:r w:rsidR="000C0BD2" w:rsidRPr="00F234ED">
        <w:t xml:space="preserve">Indien </w:t>
      </w:r>
      <w:r w:rsidR="00A6770A" w:rsidRPr="00F234ED">
        <w:t xml:space="preserve">er twee titularissen zijn van de bevoegdheden van het ouderlijk gezag, </w:t>
      </w:r>
      <w:r w:rsidR="00C93F51" w:rsidRPr="00F234ED">
        <w:t xml:space="preserve">geldt </w:t>
      </w:r>
      <w:r w:rsidR="000C0BD2" w:rsidRPr="00F234ED">
        <w:t xml:space="preserve">een bijkomende voorwaarde. De andere ouder </w:t>
      </w:r>
      <w:r w:rsidR="00EC587E" w:rsidRPr="00F234ED">
        <w:t>dient</w:t>
      </w:r>
      <w:r w:rsidR="000C0BD2" w:rsidRPr="00F234ED">
        <w:t xml:space="preserve"> gehoord </w:t>
      </w:r>
      <w:r w:rsidR="00EC587E" w:rsidRPr="00F234ED">
        <w:t xml:space="preserve">te </w:t>
      </w:r>
      <w:r w:rsidR="000C0BD2" w:rsidRPr="00F234ED">
        <w:t>worden. De instemming is niet vereist, maar de rechtbank houdt wel rekening met zijn mening voor de al dan niet toekenning van het zorgouderschap.</w:t>
      </w:r>
      <w:r w:rsidR="000C0BD2" w:rsidRPr="00F234ED">
        <w:rPr>
          <w:rStyle w:val="FootnoteReference"/>
        </w:rPr>
        <w:footnoteReference w:id="412"/>
      </w:r>
    </w:p>
    <w:p w:rsidR="000C0BD2" w:rsidRDefault="00017330" w:rsidP="001D7263">
      <w:pPr>
        <w:pStyle w:val="Heading6"/>
        <w:spacing w:line="360" w:lineRule="auto"/>
        <w:jc w:val="both"/>
      </w:pPr>
      <w:bookmarkStart w:id="103" w:name="_Toc449936785"/>
      <w:r>
        <w:t xml:space="preserve">2. </w:t>
      </w:r>
      <w:r w:rsidR="000C0BD2">
        <w:t>Omvang ouderlijk gezag</w:t>
      </w:r>
      <w:bookmarkEnd w:id="103"/>
    </w:p>
    <w:p w:rsidR="00A6770A" w:rsidRPr="00B273CF" w:rsidRDefault="00E87D3E" w:rsidP="00E67B2D">
      <w:pPr>
        <w:pStyle w:val="Randnummer"/>
        <w:spacing w:line="360" w:lineRule="auto"/>
        <w:ind w:left="0" w:firstLine="0"/>
      </w:pPr>
      <w:r w:rsidRPr="00B273CF">
        <w:rPr>
          <w:b/>
          <w:bCs/>
        </w:rPr>
        <w:fldChar w:fldCharType="begin"/>
      </w:r>
      <w:r w:rsidR="00E67B2D" w:rsidRPr="00B273CF">
        <w:rPr>
          <w:b/>
          <w:bCs/>
        </w:rPr>
        <w:instrText xml:space="preserve"> AUTONUMLGL  </w:instrText>
      </w:r>
      <w:r w:rsidRPr="00B273CF">
        <w:rPr>
          <w:b/>
          <w:bCs/>
        </w:rPr>
        <w:fldChar w:fldCharType="end"/>
      </w:r>
      <w:r w:rsidR="00E67B2D" w:rsidRPr="00B273CF">
        <w:rPr>
          <w:b/>
          <w:bCs/>
        </w:rPr>
        <w:t xml:space="preserve"> </w:t>
      </w:r>
      <w:r w:rsidR="000C0BD2" w:rsidRPr="00B273CF">
        <w:t>De omvang van het ouderlijk g</w:t>
      </w:r>
      <w:r w:rsidR="003F70E8" w:rsidRPr="00B273CF">
        <w:t xml:space="preserve">ezag </w:t>
      </w:r>
      <w:r w:rsidR="00EC587E" w:rsidRPr="00B273CF">
        <w:t xml:space="preserve">van de zorgouder </w:t>
      </w:r>
      <w:r w:rsidR="003F70E8" w:rsidRPr="00B273CF">
        <w:t>verschilt naar gelang er éé</w:t>
      </w:r>
      <w:r w:rsidR="000C0BD2" w:rsidRPr="00B273CF">
        <w:t>n dan wel twee juridische ouders zijn.</w:t>
      </w:r>
      <w:r w:rsidR="003F70E8" w:rsidRPr="00B273CF">
        <w:t xml:space="preserve"> Indien er slechts éé</w:t>
      </w:r>
      <w:r w:rsidR="00A6770A" w:rsidRPr="00B273CF">
        <w:t xml:space="preserve">n </w:t>
      </w:r>
      <w:r w:rsidR="00EC587E" w:rsidRPr="00B273CF">
        <w:t xml:space="preserve">juridische </w:t>
      </w:r>
      <w:r w:rsidR="00A6770A" w:rsidRPr="00B273CF">
        <w:t>ouder is, kan het ouderlijk gezag met betrekking tot de persoon en de goederen van het kind geheel of gedeeltelijk worden toegekend aan de ouder en de zorgouder samen.</w:t>
      </w:r>
      <w:r w:rsidR="00A6770A" w:rsidRPr="00B273CF">
        <w:rPr>
          <w:rStyle w:val="FootnoteReference"/>
        </w:rPr>
        <w:footnoteReference w:id="413"/>
      </w:r>
      <w:r w:rsidR="00A6770A" w:rsidRPr="00B273CF">
        <w:t xml:space="preserve"> De rechter beschikt over een ruime appreciatiemarge.</w:t>
      </w:r>
      <w:r w:rsidR="00A6770A" w:rsidRPr="00B273CF">
        <w:rPr>
          <w:rStyle w:val="FootnoteReference"/>
        </w:rPr>
        <w:footnoteReference w:id="414"/>
      </w:r>
    </w:p>
    <w:p w:rsidR="00F23ECF" w:rsidRPr="00B273CF" w:rsidRDefault="00E87D3E" w:rsidP="00E67B2D">
      <w:pPr>
        <w:pStyle w:val="Randnummer"/>
        <w:spacing w:line="360" w:lineRule="auto"/>
        <w:ind w:left="0" w:firstLine="0"/>
      </w:pPr>
      <w:r w:rsidRPr="00B273CF">
        <w:rPr>
          <w:b/>
          <w:bCs/>
        </w:rPr>
        <w:fldChar w:fldCharType="begin"/>
      </w:r>
      <w:r w:rsidR="00E67B2D" w:rsidRPr="00B273CF">
        <w:rPr>
          <w:b/>
          <w:bCs/>
        </w:rPr>
        <w:instrText xml:space="preserve"> AUTONUMLGL  </w:instrText>
      </w:r>
      <w:r w:rsidRPr="00B273CF">
        <w:rPr>
          <w:b/>
          <w:bCs/>
        </w:rPr>
        <w:fldChar w:fldCharType="end"/>
      </w:r>
      <w:r w:rsidR="00E67B2D" w:rsidRPr="00B273CF">
        <w:rPr>
          <w:b/>
          <w:bCs/>
        </w:rPr>
        <w:t xml:space="preserve"> </w:t>
      </w:r>
      <w:r w:rsidR="000C0BD2" w:rsidRPr="00B273CF">
        <w:t>In</w:t>
      </w:r>
      <w:r w:rsidR="00EC587E" w:rsidRPr="00B273CF">
        <w:t>dien er twee juridische ouders zijn</w:t>
      </w:r>
      <w:r w:rsidR="000C0BD2" w:rsidRPr="00B273CF">
        <w:t>, zijn de bevoegdheden van de zorgouder beperkter.</w:t>
      </w:r>
      <w:r w:rsidR="000C0BD2" w:rsidRPr="00B273CF">
        <w:rPr>
          <w:rStyle w:val="FootnoteReference"/>
        </w:rPr>
        <w:footnoteReference w:id="415"/>
      </w:r>
      <w:r w:rsidR="00A6770A" w:rsidRPr="00B273CF">
        <w:t xml:space="preserve"> In dit geval gaat het over </w:t>
      </w:r>
      <w:r w:rsidR="000C0BD2" w:rsidRPr="00B273CF">
        <w:t>een overdracht van bevoegdheden.</w:t>
      </w:r>
      <w:r w:rsidR="000C0BD2" w:rsidRPr="00B273CF">
        <w:rPr>
          <w:rStyle w:val="FootnoteReference"/>
        </w:rPr>
        <w:footnoteReference w:id="416"/>
      </w:r>
      <w:r w:rsidR="00257512" w:rsidRPr="00B273CF">
        <w:t xml:space="preserve"> De ouder die </w:t>
      </w:r>
      <w:r w:rsidR="00257512" w:rsidRPr="00B273CF">
        <w:lastRenderedPageBreak/>
        <w:t>gezamenlijk</w:t>
      </w:r>
      <w:r w:rsidR="000C0BD2" w:rsidRPr="00B273CF">
        <w:t xml:space="preserve"> met de zorgouder het verzoek indient, draagt een deel van zijn bevoegdheden over. De overdracht is beperkt tot de bevoegdheden van het ouderlijk gezag inzake de persoon.</w:t>
      </w:r>
      <w:r w:rsidR="000C0BD2" w:rsidRPr="00B273CF">
        <w:rPr>
          <w:rStyle w:val="FootnoteReference"/>
        </w:rPr>
        <w:footnoteReference w:id="417"/>
      </w:r>
      <w:r w:rsidR="000C0BD2" w:rsidRPr="00B273CF">
        <w:t xml:space="preserve"> De rechtbank kan verder preciseren welke rechten overgedragen kunnen worden.</w:t>
      </w:r>
      <w:r w:rsidR="000C0BD2" w:rsidRPr="00B273CF">
        <w:rPr>
          <w:rStyle w:val="FootnoteReference"/>
        </w:rPr>
        <w:footnoteReference w:id="418"/>
      </w:r>
      <w:r w:rsidR="000C0BD2" w:rsidRPr="00B273CF">
        <w:t xml:space="preserve"> De bevoegdheden met betrekking tot de goederen van het kind worden niet overgedragen.</w:t>
      </w:r>
      <w:r w:rsidR="000C0BD2" w:rsidRPr="00B273CF">
        <w:rPr>
          <w:rStyle w:val="FootnoteReference"/>
        </w:rPr>
        <w:footnoteReference w:id="419"/>
      </w:r>
      <w:r w:rsidR="00A6770A" w:rsidRPr="00B273CF">
        <w:t xml:space="preserve"> </w:t>
      </w:r>
      <w:r w:rsidR="000C0BD2" w:rsidRPr="00B273CF">
        <w:t>De overdracht belet niet dat de overdragende ouder zijn eigen rechten en plichten ten aanzien van het kind kan uitoefenen en mag de rechten van de andere ouder niet schaden.</w:t>
      </w:r>
      <w:r w:rsidR="000C0BD2" w:rsidRPr="00B273CF">
        <w:rPr>
          <w:rStyle w:val="FootnoteReference"/>
        </w:rPr>
        <w:footnoteReference w:id="420"/>
      </w:r>
      <w:r w:rsidR="00A6770A" w:rsidRPr="00B273CF">
        <w:t xml:space="preserve"> I</w:t>
      </w:r>
      <w:r w:rsidR="000C0BD2" w:rsidRPr="00B273CF">
        <w:t>n dit geval z</w:t>
      </w:r>
      <w:r w:rsidR="00144C30" w:rsidRPr="00B273CF">
        <w:t>ijn er dus drie personen die</w:t>
      </w:r>
      <w:r w:rsidR="000C0BD2" w:rsidRPr="00B273CF">
        <w:t xml:space="preserve"> ouderlijk gezag hebben, namelijk de twee juridische ouders en de zo</w:t>
      </w:r>
      <w:r w:rsidR="00144C30" w:rsidRPr="00B273CF">
        <w:t xml:space="preserve">rgouder. Dit is meeroudergezag. </w:t>
      </w:r>
      <w:r w:rsidR="000C0BD2" w:rsidRPr="00B273CF">
        <w:t xml:space="preserve">Het ouderlijk gezag </w:t>
      </w:r>
      <w:r w:rsidR="00144C30" w:rsidRPr="00B273CF">
        <w:t>kan toekomen aan</w:t>
      </w:r>
      <w:r w:rsidR="000C0BD2" w:rsidRPr="00B273CF">
        <w:t xml:space="preserve"> meer da</w:t>
      </w:r>
      <w:r w:rsidR="00144C30" w:rsidRPr="00B273CF">
        <w:t>n twee personen</w:t>
      </w:r>
      <w:r w:rsidR="000C0BD2" w:rsidRPr="00B273CF">
        <w:t xml:space="preserve">, zonder te raken aan de </w:t>
      </w:r>
      <w:r w:rsidR="00EC587E" w:rsidRPr="00B273CF">
        <w:t>afstammingsregels</w:t>
      </w:r>
      <w:r w:rsidR="000C0BD2" w:rsidRPr="00B273CF">
        <w:t>.</w:t>
      </w:r>
      <w:r w:rsidR="000C0BD2" w:rsidRPr="00B273CF">
        <w:rPr>
          <w:rStyle w:val="FootnoteReference"/>
        </w:rPr>
        <w:footnoteReference w:id="421"/>
      </w:r>
    </w:p>
    <w:p w:rsidR="00BC7CE2" w:rsidRPr="00B273CF" w:rsidRDefault="00BC7CE2" w:rsidP="00E67B2D">
      <w:pPr>
        <w:pStyle w:val="Randnummer"/>
        <w:spacing w:line="360" w:lineRule="auto"/>
        <w:ind w:left="0" w:firstLine="0"/>
      </w:pPr>
      <w:r w:rsidRPr="00B273CF">
        <w:t xml:space="preserve">In dit geval mag een derde </w:t>
      </w:r>
      <w:r w:rsidR="00590A60" w:rsidRPr="00B273CF">
        <w:t>te goeder trouw</w:t>
      </w:r>
      <w:r w:rsidRPr="00B273CF">
        <w:t xml:space="preserve"> ervan uitgaan dat de zorgouder handelt met instemming van beide ouders, behoudens de bij de wet bepaalde uitzondering.</w:t>
      </w:r>
      <w:r w:rsidR="00A56DFD" w:rsidRPr="00B273CF">
        <w:rPr>
          <w:rStyle w:val="FootnoteReference"/>
        </w:rPr>
        <w:footnoteReference w:id="422"/>
      </w:r>
      <w:r w:rsidRPr="00B273CF">
        <w:t xml:space="preserve"> De beide juridische ouders kunnen een zaak b</w:t>
      </w:r>
      <w:r w:rsidR="00AA1202" w:rsidRPr="00B273CF">
        <w:t>ij de familierechtbank aanhangi</w:t>
      </w:r>
      <w:r w:rsidRPr="00B273CF">
        <w:t xml:space="preserve">g maken bij gebrek aan instemming. De familierechtbank kan </w:t>
      </w:r>
      <w:r w:rsidR="00A56DFD" w:rsidRPr="00B273CF">
        <w:t xml:space="preserve">aan </w:t>
      </w:r>
      <w:r w:rsidRPr="00B273CF">
        <w:t>één van de ouder</w:t>
      </w:r>
      <w:r w:rsidR="00A56DFD" w:rsidRPr="00B273CF">
        <w:t xml:space="preserve">s </w:t>
      </w:r>
      <w:r w:rsidR="00590A60">
        <w:t>of aan de zorgouder toestemming</w:t>
      </w:r>
      <w:r w:rsidRPr="00B273CF">
        <w:t xml:space="preserve"> geven om alleen te handelen m.b.t. de overgedragen bevoegdheden.</w:t>
      </w:r>
      <w:r w:rsidR="00A56DFD" w:rsidRPr="00B273CF">
        <w:rPr>
          <w:rStyle w:val="FootnoteReference"/>
        </w:rPr>
        <w:footnoteReference w:id="423"/>
      </w:r>
      <w:r w:rsidRPr="00B273CF">
        <w:t xml:space="preserve"> De familierechtbank oordeelt in het belang van het kind.</w:t>
      </w:r>
      <w:r w:rsidR="00A56DFD" w:rsidRPr="00B273CF">
        <w:rPr>
          <w:rStyle w:val="FootnoteReference"/>
        </w:rPr>
        <w:t xml:space="preserve"> </w:t>
      </w:r>
      <w:r w:rsidR="00A56DFD" w:rsidRPr="00B273CF">
        <w:rPr>
          <w:rStyle w:val="FootnoteReference"/>
        </w:rPr>
        <w:footnoteReference w:id="424"/>
      </w:r>
    </w:p>
    <w:p w:rsidR="000C0BD2" w:rsidRDefault="00017330" w:rsidP="001D7263">
      <w:pPr>
        <w:pStyle w:val="Heading6"/>
        <w:spacing w:line="360" w:lineRule="auto"/>
        <w:jc w:val="both"/>
      </w:pPr>
      <w:bookmarkStart w:id="104" w:name="_Toc449936786"/>
      <w:r>
        <w:lastRenderedPageBreak/>
        <w:t xml:space="preserve">3. </w:t>
      </w:r>
      <w:r w:rsidR="000C0BD2">
        <w:t>Aantal zorgouders</w:t>
      </w:r>
      <w:bookmarkEnd w:id="104"/>
    </w:p>
    <w:p w:rsidR="000C0BD2" w:rsidRPr="00B273CF" w:rsidRDefault="00E87D3E" w:rsidP="00C45E32">
      <w:pPr>
        <w:pStyle w:val="Randnummer"/>
        <w:spacing w:line="360" w:lineRule="auto"/>
        <w:ind w:left="0" w:firstLine="0"/>
      </w:pPr>
      <w:r w:rsidRPr="00B273CF">
        <w:rPr>
          <w:b/>
          <w:bCs/>
        </w:rPr>
        <w:fldChar w:fldCharType="begin"/>
      </w:r>
      <w:r w:rsidR="00C45E32" w:rsidRPr="00B273CF">
        <w:rPr>
          <w:b/>
          <w:bCs/>
        </w:rPr>
        <w:instrText xml:space="preserve"> AUTONUMLGL  </w:instrText>
      </w:r>
      <w:r w:rsidRPr="00B273CF">
        <w:rPr>
          <w:b/>
          <w:bCs/>
        </w:rPr>
        <w:fldChar w:fldCharType="end"/>
      </w:r>
      <w:r w:rsidR="00C45E32" w:rsidRPr="00B273CF">
        <w:rPr>
          <w:b/>
          <w:bCs/>
        </w:rPr>
        <w:t xml:space="preserve"> </w:t>
      </w:r>
      <w:r w:rsidR="00144C30" w:rsidRPr="00B273CF">
        <w:t>De wetsvoorstellen verhinderen</w:t>
      </w:r>
      <w:r w:rsidR="000C0BD2" w:rsidRPr="00B273CF">
        <w:t xml:space="preserve"> een ca</w:t>
      </w:r>
      <w:r w:rsidR="00144C30" w:rsidRPr="00B273CF">
        <w:t>scade van zorgouders</w:t>
      </w:r>
      <w:r w:rsidR="000C0BD2" w:rsidRPr="00B273CF">
        <w:t>. Elk van de juridische ouders kan maar aan één zorgouder bevoegdheden overdragen.</w:t>
      </w:r>
      <w:r w:rsidR="000C0BD2" w:rsidRPr="00B273CF">
        <w:rPr>
          <w:rStyle w:val="FootnoteReference"/>
        </w:rPr>
        <w:footnoteReference w:id="425"/>
      </w:r>
      <w:r w:rsidR="000C0BD2" w:rsidRPr="00B273CF">
        <w:t xml:space="preserve"> Er kunnen dus maximaal twee zorgouders </w:t>
      </w:r>
      <w:r w:rsidR="004C07D0" w:rsidRPr="00B273CF">
        <w:t xml:space="preserve">tegelijkertijd </w:t>
      </w:r>
      <w:r w:rsidR="000C0BD2" w:rsidRPr="00B273CF">
        <w:t>zijn.</w:t>
      </w:r>
    </w:p>
    <w:p w:rsidR="000C0BD2" w:rsidRDefault="00017330" w:rsidP="001D7263">
      <w:pPr>
        <w:pStyle w:val="Heading6"/>
        <w:spacing w:line="360" w:lineRule="auto"/>
        <w:jc w:val="both"/>
      </w:pPr>
      <w:bookmarkStart w:id="105" w:name="_Toc449936787"/>
      <w:r>
        <w:t xml:space="preserve">4. </w:t>
      </w:r>
      <w:r w:rsidR="000C0BD2">
        <w:t>Einde</w:t>
      </w:r>
      <w:bookmarkEnd w:id="105"/>
    </w:p>
    <w:p w:rsidR="000C0BD2" w:rsidRPr="00B273CF" w:rsidRDefault="00E87D3E" w:rsidP="00C45E32">
      <w:pPr>
        <w:pStyle w:val="Randnummer"/>
        <w:spacing w:line="360" w:lineRule="auto"/>
        <w:ind w:left="0" w:firstLine="0"/>
      </w:pPr>
      <w:r w:rsidRPr="00B273CF">
        <w:rPr>
          <w:b/>
          <w:bCs/>
        </w:rPr>
        <w:fldChar w:fldCharType="begin"/>
      </w:r>
      <w:r w:rsidR="00C45E32" w:rsidRPr="00B273CF">
        <w:rPr>
          <w:b/>
          <w:bCs/>
        </w:rPr>
        <w:instrText xml:space="preserve"> AUTONUMLGL  </w:instrText>
      </w:r>
      <w:r w:rsidRPr="00B273CF">
        <w:rPr>
          <w:b/>
          <w:bCs/>
        </w:rPr>
        <w:fldChar w:fldCharType="end"/>
      </w:r>
      <w:r w:rsidR="00C45E32" w:rsidRPr="00B273CF">
        <w:rPr>
          <w:b/>
          <w:bCs/>
        </w:rPr>
        <w:t xml:space="preserve"> </w:t>
      </w:r>
      <w:r w:rsidR="000C0BD2" w:rsidRPr="00B273CF">
        <w:t>Het zorgouderschap eindigt in beginsel niet wanneer de ouder en zorgouder uit elkaar gaan of wanneer de juridische ouder overlijdt. Het doel van het zorgouderschap is net de beschermin</w:t>
      </w:r>
      <w:r w:rsidR="00144C30" w:rsidRPr="00B273CF">
        <w:t xml:space="preserve">g van de zorgrelaties tussen </w:t>
      </w:r>
      <w:r w:rsidR="000C0BD2" w:rsidRPr="00B273CF">
        <w:t>zorgoud</w:t>
      </w:r>
      <w:r w:rsidR="00EC587E" w:rsidRPr="00B273CF">
        <w:t>er en kind</w:t>
      </w:r>
      <w:r w:rsidR="00144C30" w:rsidRPr="00B273CF">
        <w:t xml:space="preserve"> in</w:t>
      </w:r>
      <w:r w:rsidR="000C0BD2" w:rsidRPr="00B273CF">
        <w:t xml:space="preserve"> </w:t>
      </w:r>
      <w:r w:rsidR="00770D5D" w:rsidRPr="00B273CF">
        <w:t xml:space="preserve">het </w:t>
      </w:r>
      <w:r w:rsidR="000C0BD2" w:rsidRPr="00B273CF">
        <w:t>belang van het kind.</w:t>
      </w:r>
      <w:r w:rsidR="000C0BD2" w:rsidRPr="00B273CF">
        <w:rPr>
          <w:rStyle w:val="FootnoteReference"/>
        </w:rPr>
        <w:footnoteReference w:id="426"/>
      </w:r>
      <w:r w:rsidR="000C0BD2" w:rsidRPr="00B273CF">
        <w:t xml:space="preserve"> De wettelijke bescherming van de zorgrelatie is een voordeel voor het kind en dit voordeel mag niet zomaar ontnomen worden.</w:t>
      </w:r>
      <w:r w:rsidR="000C0BD2" w:rsidRPr="00B273CF">
        <w:rPr>
          <w:rStyle w:val="FootnoteReference"/>
        </w:rPr>
        <w:footnoteReference w:id="427"/>
      </w:r>
    </w:p>
    <w:p w:rsidR="000C0BD2" w:rsidRPr="00B273CF" w:rsidRDefault="00E87D3E" w:rsidP="00C45E32">
      <w:pPr>
        <w:pStyle w:val="Randnummer"/>
        <w:spacing w:line="360" w:lineRule="auto"/>
        <w:ind w:left="0" w:firstLine="0"/>
      </w:pPr>
      <w:r w:rsidRPr="00B273CF">
        <w:rPr>
          <w:b/>
          <w:bCs/>
        </w:rPr>
        <w:fldChar w:fldCharType="begin"/>
      </w:r>
      <w:r w:rsidR="00C45E32" w:rsidRPr="00B273CF">
        <w:rPr>
          <w:b/>
          <w:bCs/>
        </w:rPr>
        <w:instrText xml:space="preserve"> AUTONUMLGL  </w:instrText>
      </w:r>
      <w:r w:rsidRPr="00B273CF">
        <w:rPr>
          <w:b/>
          <w:bCs/>
        </w:rPr>
        <w:fldChar w:fldCharType="end"/>
      </w:r>
      <w:r w:rsidR="000C0BD2" w:rsidRPr="00B273CF">
        <w:t>De famil</w:t>
      </w:r>
      <w:r w:rsidR="00B273CF" w:rsidRPr="00B273CF">
        <w:t>ierechtbank kan de zorgouder</w:t>
      </w:r>
      <w:r w:rsidR="000C0BD2" w:rsidRPr="00B273CF">
        <w:t xml:space="preserve"> uit het zorgouderschap ontzetten in dezelfde omstandigheden die gelden voor de juridische ouders.</w:t>
      </w:r>
      <w:r w:rsidR="000C0BD2" w:rsidRPr="00B273CF">
        <w:rPr>
          <w:rStyle w:val="FootnoteReference"/>
        </w:rPr>
        <w:footnoteReference w:id="428"/>
      </w:r>
    </w:p>
    <w:p w:rsidR="000267FB" w:rsidRPr="00B273CF" w:rsidRDefault="000267FB" w:rsidP="00C45E32">
      <w:pPr>
        <w:pStyle w:val="Randnummer"/>
        <w:spacing w:line="360" w:lineRule="auto"/>
        <w:ind w:left="0" w:firstLine="0"/>
      </w:pPr>
      <w:r w:rsidRPr="00B273CF">
        <w:rPr>
          <w:bCs/>
        </w:rPr>
        <w:t>De familierechtbank kan het zorgouderschap herroepen indien hiervoor zeer gewichtige redenen zijn.</w:t>
      </w:r>
      <w:r w:rsidRPr="00B273CF">
        <w:rPr>
          <w:rStyle w:val="FootnoteReference"/>
          <w:bCs/>
        </w:rPr>
        <w:footnoteReference w:id="429"/>
      </w:r>
      <w:r w:rsidRPr="00B273CF">
        <w:rPr>
          <w:bCs/>
        </w:rPr>
        <w:t xml:space="preserve"> Het verzoek tot herroeping kan uitgaan van de zorgouder zelf, de juridische ouders, het kind of de procureur des Konings.</w:t>
      </w:r>
      <w:r w:rsidRPr="00B273CF">
        <w:rPr>
          <w:rStyle w:val="FootnoteReference"/>
          <w:bCs/>
        </w:rPr>
        <w:footnoteReference w:id="430"/>
      </w:r>
    </w:p>
    <w:p w:rsidR="000C0BD2" w:rsidRPr="00B273CF" w:rsidRDefault="00E87D3E" w:rsidP="00437F8B">
      <w:pPr>
        <w:pStyle w:val="Randnummer"/>
        <w:spacing w:line="360" w:lineRule="auto"/>
        <w:ind w:left="0" w:firstLine="0"/>
      </w:pPr>
      <w:r w:rsidRPr="00B273CF">
        <w:rPr>
          <w:b/>
          <w:bCs/>
        </w:rPr>
        <w:fldChar w:fldCharType="begin"/>
      </w:r>
      <w:r w:rsidR="00C45E32" w:rsidRPr="00B273CF">
        <w:rPr>
          <w:b/>
          <w:bCs/>
        </w:rPr>
        <w:instrText xml:space="preserve"> AUTONUMLGL  </w:instrText>
      </w:r>
      <w:r w:rsidRPr="00B273CF">
        <w:rPr>
          <w:b/>
          <w:bCs/>
        </w:rPr>
        <w:fldChar w:fldCharType="end"/>
      </w:r>
      <w:r w:rsidR="00C45E32" w:rsidRPr="00B273CF">
        <w:rPr>
          <w:b/>
          <w:bCs/>
        </w:rPr>
        <w:t xml:space="preserve"> </w:t>
      </w:r>
      <w:r w:rsidR="000C0BD2" w:rsidRPr="00B273CF">
        <w:t>Het zorgouderschap eindigt in sommige gevallen van rechtswege, onder andere door overlijden of meerderjarigheid van het kind.</w:t>
      </w:r>
      <w:r w:rsidR="000C0BD2" w:rsidRPr="00B273CF">
        <w:rPr>
          <w:rStyle w:val="FootnoteReference"/>
        </w:rPr>
        <w:footnoteReference w:id="431"/>
      </w:r>
    </w:p>
    <w:p w:rsidR="000C0BD2" w:rsidRDefault="000D6619" w:rsidP="001D7263">
      <w:pPr>
        <w:pStyle w:val="Heading3"/>
        <w:spacing w:line="360" w:lineRule="auto"/>
        <w:jc w:val="both"/>
      </w:pPr>
      <w:bookmarkStart w:id="106" w:name="_Toc449936788"/>
      <w:r>
        <w:t>Afdeling III.</w:t>
      </w:r>
      <w:r w:rsidR="00017330">
        <w:t xml:space="preserve"> </w:t>
      </w:r>
      <w:r>
        <w:t>Evaluatie</w:t>
      </w:r>
      <w:bookmarkEnd w:id="106"/>
      <w:r w:rsidR="000C0BD2">
        <w:t xml:space="preserve"> </w:t>
      </w:r>
    </w:p>
    <w:p w:rsidR="008E7112" w:rsidRDefault="008E7112" w:rsidP="001D7263">
      <w:pPr>
        <w:pStyle w:val="Heading4"/>
        <w:spacing w:line="360" w:lineRule="auto"/>
        <w:jc w:val="both"/>
      </w:pPr>
      <w:bookmarkStart w:id="107" w:name="_Toc449936789"/>
      <w:r>
        <w:t>§1. Wettelijke erkenning van feitelijke gezagsrelaties</w:t>
      </w:r>
      <w:bookmarkEnd w:id="107"/>
    </w:p>
    <w:p w:rsidR="008E7112" w:rsidRPr="00926138" w:rsidRDefault="00E87D3E" w:rsidP="00926138">
      <w:pPr>
        <w:pStyle w:val="Randnummer"/>
        <w:spacing w:line="360" w:lineRule="auto"/>
        <w:ind w:left="0" w:firstLine="0"/>
      </w:pPr>
      <w:r w:rsidRPr="00926138">
        <w:rPr>
          <w:b/>
          <w:bCs/>
        </w:rPr>
        <w:fldChar w:fldCharType="begin"/>
      </w:r>
      <w:r w:rsidR="008E7112" w:rsidRPr="00926138">
        <w:rPr>
          <w:b/>
          <w:bCs/>
        </w:rPr>
        <w:instrText xml:space="preserve"> AUTONUMLGL  </w:instrText>
      </w:r>
      <w:r w:rsidRPr="00926138">
        <w:rPr>
          <w:b/>
          <w:bCs/>
        </w:rPr>
        <w:fldChar w:fldCharType="end"/>
      </w:r>
      <w:r w:rsidR="008E7112" w:rsidRPr="00926138">
        <w:rPr>
          <w:b/>
          <w:bCs/>
        </w:rPr>
        <w:t xml:space="preserve"> </w:t>
      </w:r>
      <w:r w:rsidR="008E7112" w:rsidRPr="00926138">
        <w:t xml:space="preserve">Zoals blijkt uit deze masterproef, bieden zowel meerouderschap als afstammingsloos gezag een oplossing voor de huidige lacunes in de wet. Indien meerouderschap dan wel </w:t>
      </w:r>
      <w:r w:rsidR="008E7112" w:rsidRPr="00926138">
        <w:lastRenderedPageBreak/>
        <w:t xml:space="preserve">afstammingsloos gezag zou ingevoerd worden, verkrijgen de feitelijke gezagsrelaties die ontstaan tussen </w:t>
      </w:r>
      <w:r w:rsidR="007B126F" w:rsidRPr="00926138">
        <w:t>de zorgouders</w:t>
      </w:r>
      <w:r w:rsidR="008E7112" w:rsidRPr="00926138">
        <w:t xml:space="preserve"> en kinderen wettelijke bescherming.</w:t>
      </w:r>
    </w:p>
    <w:p w:rsidR="008E7112" w:rsidRPr="00926138" w:rsidRDefault="008E7112" w:rsidP="00926138">
      <w:pPr>
        <w:pStyle w:val="Randnummer"/>
        <w:spacing w:line="360" w:lineRule="auto"/>
        <w:ind w:left="0" w:firstLine="0"/>
      </w:pPr>
      <w:r w:rsidRPr="00926138">
        <w:t>Deze bescherming komt tot stand doordat de personen die mee instaan</w:t>
      </w:r>
      <w:r w:rsidR="00A56DFD" w:rsidRPr="00926138">
        <w:t xml:space="preserve"> voor de opvoeding van het kind</w:t>
      </w:r>
      <w:r w:rsidRPr="00926138">
        <w:t xml:space="preserve"> voortaan titularis zijn van de bevoegdheden van het ouderlijk gezag.</w:t>
      </w:r>
      <w:r w:rsidRPr="00926138">
        <w:rPr>
          <w:rStyle w:val="FootnoteReference"/>
        </w:rPr>
        <w:footnoteReference w:id="432"/>
      </w:r>
      <w:r w:rsidRPr="00926138">
        <w:t xml:space="preserve"> Wanneer het kind bijvoorbeeld ernstige medische ingrepen dient te ondergaan, hebben de zorgouders voortaan een wettelijke bevoegdheid om deze beslissingen te maken. De beslissingen omtrent ernstige medische behandelingen vallen namelijk onder het beslissingsrecht inzake fundamentele opties.</w:t>
      </w:r>
      <w:r w:rsidRPr="00926138">
        <w:rPr>
          <w:rStyle w:val="FootnoteReference"/>
        </w:rPr>
        <w:footnoteReference w:id="433"/>
      </w:r>
      <w:r w:rsidRPr="00926138">
        <w:t xml:space="preserve"> Zoals reeds vermeld, is het beslissingsrecht inzake fundamentele opties een bevoegdheid van het ouderlijk gezag.</w:t>
      </w:r>
      <w:r w:rsidRPr="00926138">
        <w:rPr>
          <w:rStyle w:val="FootnoteReference"/>
        </w:rPr>
        <w:footnoteReference w:id="434"/>
      </w:r>
    </w:p>
    <w:p w:rsidR="008E7112" w:rsidRPr="00926138" w:rsidRDefault="008E7112" w:rsidP="00926138">
      <w:pPr>
        <w:pStyle w:val="Randnummer"/>
        <w:spacing w:line="360" w:lineRule="auto"/>
        <w:ind w:left="0" w:firstLine="0"/>
      </w:pPr>
      <w:r w:rsidRPr="00926138">
        <w:t>Indien afstammingsloos gezag wordt ingevoerd, verkrijgen de zorgouders deze bevoegdheden door de loskoppeling tussen ouderlijk gezag en afstamming.</w:t>
      </w:r>
      <w:r w:rsidRPr="00926138">
        <w:rPr>
          <w:rStyle w:val="FootnoteReference"/>
        </w:rPr>
        <w:footnoteReference w:id="435"/>
      </w:r>
      <w:r w:rsidRPr="00926138">
        <w:t xml:space="preserve"> De bevoegdheden van het ouderlijk gezag kunnen toe</w:t>
      </w:r>
      <w:r w:rsidR="007B126F" w:rsidRPr="00926138">
        <w:t>komen aan niet-juridische ouders</w:t>
      </w:r>
      <w:r w:rsidRPr="00926138">
        <w:t>.</w:t>
      </w:r>
      <w:r w:rsidRPr="00926138">
        <w:rPr>
          <w:rStyle w:val="FootnoteReference"/>
        </w:rPr>
        <w:footnoteReference w:id="436"/>
      </w:r>
      <w:r w:rsidRPr="00926138">
        <w:t xml:space="preserve"> Indien meerouderschap wordt ingevoerd, is het mogelijk dat kinderen meer d</w:t>
      </w:r>
      <w:r w:rsidR="00926138" w:rsidRPr="00926138">
        <w:t>an twee juridische ouders</w:t>
      </w:r>
      <w:r w:rsidRPr="00926138">
        <w:t xml:space="preserve"> hebben.</w:t>
      </w:r>
      <w:r w:rsidRPr="00926138">
        <w:rPr>
          <w:rStyle w:val="FootnoteReference"/>
        </w:rPr>
        <w:footnoteReference w:id="437"/>
      </w:r>
      <w:r w:rsidRPr="00926138">
        <w:t xml:space="preserve"> Bij meeroudersch</w:t>
      </w:r>
      <w:r w:rsidR="004F5E2B">
        <w:t xml:space="preserve">ap zoals het bestaat in Canada, </w:t>
      </w:r>
      <w:r w:rsidRPr="00926138">
        <w:t>blijft het ouderlijk gezag toekomen aan de juridische ouders.</w:t>
      </w:r>
      <w:r w:rsidRPr="00926138">
        <w:rPr>
          <w:rStyle w:val="FootnoteReference"/>
        </w:rPr>
        <w:footnoteReference w:id="438"/>
      </w:r>
      <w:r w:rsidRPr="00926138">
        <w:t xml:space="preserve"> Bijgevolg zijn alle juridische ouders titularis van de bevoegdheden van het ouderlijk gezag. </w:t>
      </w:r>
    </w:p>
    <w:p w:rsidR="008E7112" w:rsidRPr="008E7112" w:rsidRDefault="008E7112" w:rsidP="001D7263">
      <w:pPr>
        <w:pStyle w:val="Heading4"/>
        <w:spacing w:line="360" w:lineRule="auto"/>
        <w:jc w:val="both"/>
      </w:pPr>
      <w:bookmarkStart w:id="108" w:name="_Toc449936790"/>
      <w:r>
        <w:lastRenderedPageBreak/>
        <w:t>§2</w:t>
      </w:r>
      <w:r w:rsidR="00031FC9">
        <w:t>. Voor- en nadelen</w:t>
      </w:r>
      <w:bookmarkEnd w:id="108"/>
    </w:p>
    <w:p w:rsidR="00A03B3A" w:rsidRPr="00926138" w:rsidRDefault="00E87D3E" w:rsidP="00926138">
      <w:pPr>
        <w:pStyle w:val="Randnummer"/>
        <w:spacing w:line="360" w:lineRule="auto"/>
        <w:ind w:left="0" w:firstLine="0"/>
      </w:pPr>
      <w:r w:rsidRPr="00926138">
        <w:rPr>
          <w:b/>
          <w:bCs/>
        </w:rPr>
        <w:fldChar w:fldCharType="begin"/>
      </w:r>
      <w:r w:rsidR="00A03B3A" w:rsidRPr="00926138">
        <w:rPr>
          <w:b/>
          <w:bCs/>
        </w:rPr>
        <w:instrText xml:space="preserve"> AUTONUMLGL  </w:instrText>
      </w:r>
      <w:r w:rsidRPr="00926138">
        <w:rPr>
          <w:b/>
          <w:bCs/>
        </w:rPr>
        <w:fldChar w:fldCharType="end"/>
      </w:r>
      <w:r w:rsidR="00A03B3A" w:rsidRPr="00926138">
        <w:rPr>
          <w:b/>
          <w:bCs/>
        </w:rPr>
        <w:t xml:space="preserve"> </w:t>
      </w:r>
      <w:r w:rsidR="00A03B3A" w:rsidRPr="00926138">
        <w:t xml:space="preserve">In wat volgt </w:t>
      </w:r>
      <w:r w:rsidR="00A46107" w:rsidRPr="00926138">
        <w:t xml:space="preserve">worden de </w:t>
      </w:r>
      <w:r w:rsidR="00031FC9" w:rsidRPr="00926138">
        <w:t>voor-en nadelen</w:t>
      </w:r>
      <w:r w:rsidR="00A46107" w:rsidRPr="00926138">
        <w:t xml:space="preserve"> </w:t>
      </w:r>
      <w:r w:rsidR="00A03B3A" w:rsidRPr="00926138">
        <w:t xml:space="preserve">van de invoering van </w:t>
      </w:r>
      <w:r w:rsidR="00926138" w:rsidRPr="00926138">
        <w:t xml:space="preserve">meerouderschap en </w:t>
      </w:r>
      <w:r w:rsidR="00A03B3A" w:rsidRPr="00926138">
        <w:t>afstammingsloos gezag i</w:t>
      </w:r>
      <w:r w:rsidR="00772650" w:rsidRPr="00926138">
        <w:t>n het Belgisch</w:t>
      </w:r>
      <w:r w:rsidR="00A03B3A" w:rsidRPr="00926138">
        <w:t xml:space="preserve"> recht</w:t>
      </w:r>
      <w:r w:rsidR="00A46107" w:rsidRPr="00926138">
        <w:t xml:space="preserve"> besproken</w:t>
      </w:r>
      <w:r w:rsidR="00D51AD3" w:rsidRPr="00926138">
        <w:t xml:space="preserve">. Deze bespreking gebeurt op basis van </w:t>
      </w:r>
      <w:r w:rsidR="00A46107" w:rsidRPr="00926138">
        <w:t>bestaande</w:t>
      </w:r>
      <w:r w:rsidR="00A03B3A" w:rsidRPr="00926138">
        <w:t xml:space="preserve"> argumenten</w:t>
      </w:r>
      <w:r w:rsidR="008E7112" w:rsidRPr="00926138">
        <w:t xml:space="preserve"> ten voordele en ten nadele van meerouderschap en afstammingsloos gezag</w:t>
      </w:r>
      <w:r w:rsidR="000B0A13" w:rsidRPr="00926138">
        <w:t xml:space="preserve">, die </w:t>
      </w:r>
      <w:r w:rsidR="00D51AD3" w:rsidRPr="00926138">
        <w:t>onderbouwd</w:t>
      </w:r>
      <w:r w:rsidR="00A46107" w:rsidRPr="00926138">
        <w:t xml:space="preserve"> worden met persoonlijke aanvullingen.</w:t>
      </w:r>
    </w:p>
    <w:p w:rsidR="00A46107" w:rsidRDefault="00031FC9" w:rsidP="001D7263">
      <w:pPr>
        <w:pStyle w:val="Heading5"/>
        <w:numPr>
          <w:ilvl w:val="4"/>
          <w:numId w:val="6"/>
        </w:numPr>
        <w:spacing w:line="360" w:lineRule="auto"/>
        <w:jc w:val="both"/>
      </w:pPr>
      <w:bookmarkStart w:id="109" w:name="_Toc449936791"/>
      <w:r>
        <w:t>Voordelen</w:t>
      </w:r>
      <w:bookmarkEnd w:id="109"/>
    </w:p>
    <w:p w:rsidR="008E7112" w:rsidRPr="008924D5" w:rsidRDefault="008E7112" w:rsidP="001D7263">
      <w:pPr>
        <w:pStyle w:val="Heading6"/>
        <w:spacing w:line="360" w:lineRule="auto"/>
        <w:jc w:val="both"/>
      </w:pPr>
      <w:bookmarkStart w:id="110" w:name="_Toc449936792"/>
      <w:r>
        <w:t>1. Belang van het kind</w:t>
      </w:r>
      <w:bookmarkEnd w:id="110"/>
    </w:p>
    <w:p w:rsidR="008E7112" w:rsidRPr="00926138" w:rsidRDefault="00E87D3E" w:rsidP="008E7112">
      <w:pPr>
        <w:pStyle w:val="Randnummer"/>
        <w:spacing w:line="360" w:lineRule="auto"/>
        <w:ind w:left="0" w:firstLine="0"/>
      </w:pPr>
      <w:r w:rsidRPr="00926138">
        <w:rPr>
          <w:b/>
          <w:bCs/>
        </w:rPr>
        <w:fldChar w:fldCharType="begin"/>
      </w:r>
      <w:r w:rsidR="008E7112" w:rsidRPr="00926138">
        <w:rPr>
          <w:b/>
          <w:bCs/>
        </w:rPr>
        <w:instrText xml:space="preserve"> AUTONUMLGL  </w:instrText>
      </w:r>
      <w:r w:rsidRPr="00926138">
        <w:rPr>
          <w:b/>
          <w:bCs/>
        </w:rPr>
        <w:fldChar w:fldCharType="end"/>
      </w:r>
      <w:r w:rsidR="00926138" w:rsidRPr="00926138">
        <w:rPr>
          <w:b/>
          <w:bCs/>
        </w:rPr>
        <w:t xml:space="preserve"> </w:t>
      </w:r>
      <w:r w:rsidR="008E7112" w:rsidRPr="00926138">
        <w:t>Meerouderschap dan wel afstammingsloos gezag dient het belang van het kind.</w:t>
      </w:r>
      <w:r w:rsidR="008E7112" w:rsidRPr="00926138">
        <w:rPr>
          <w:rStyle w:val="FootnoteReference"/>
        </w:rPr>
        <w:footnoteReference w:id="439"/>
      </w:r>
      <w:r w:rsidR="008E7112" w:rsidRPr="00926138">
        <w:t xml:space="preserve"> </w:t>
      </w:r>
      <w:r w:rsidR="00A56DFD" w:rsidRPr="00926138">
        <w:t>Het zorgt voor rechtszekerheid. H</w:t>
      </w:r>
      <w:r w:rsidR="008E7112" w:rsidRPr="00926138">
        <w:t>et is namelijk een garantie voor de continuïteit in de opvoeding en zorgt ervoor dat kinderen een stabiele opvoedingsomgeving hebben.</w:t>
      </w:r>
      <w:r w:rsidR="008E7112" w:rsidRPr="00926138">
        <w:rPr>
          <w:rStyle w:val="FootnoteReference"/>
        </w:rPr>
        <w:footnoteReference w:id="440"/>
      </w:r>
      <w:r w:rsidR="008E7112" w:rsidRPr="00926138">
        <w:t xml:space="preserve"> </w:t>
      </w:r>
    </w:p>
    <w:p w:rsidR="008E7112" w:rsidRPr="00926138" w:rsidRDefault="008E7112" w:rsidP="008E7112">
      <w:pPr>
        <w:pStyle w:val="Randnummer"/>
        <w:spacing w:line="360" w:lineRule="auto"/>
        <w:ind w:left="0" w:firstLine="0"/>
      </w:pPr>
      <w:r w:rsidRPr="00926138">
        <w:t>De feitelijke opvoedingsomgeving van de kinderen wordt voortaan juridisch beschermd. Indien een juridische ouder en zijn nieuwe partner, de stiefouder, een kind al jaren samen opvoeden en de juridische ouder overlijdt, dan heeft de stiefouder voortaan een wettelijke bevoegdheid om de opvoeding van het kind verder te zetten.</w:t>
      </w:r>
      <w:r w:rsidR="00767629" w:rsidRPr="00926138">
        <w:t xml:space="preserve"> De vrees, die kan bestaan bij zowel het kind als de stiefouder, dat de stiefouder het kind in dit geval niet langer kan opvoeden, is niet langer g</w:t>
      </w:r>
      <w:r w:rsidR="00926138" w:rsidRPr="00926138">
        <w:t>egrond.</w:t>
      </w:r>
    </w:p>
    <w:p w:rsidR="008E7112" w:rsidRDefault="00767629" w:rsidP="001D7263">
      <w:pPr>
        <w:pStyle w:val="Heading6"/>
        <w:spacing w:line="360" w:lineRule="auto"/>
        <w:jc w:val="both"/>
      </w:pPr>
      <w:bookmarkStart w:id="111" w:name="_Toc449936793"/>
      <w:r>
        <w:t>2</w:t>
      </w:r>
      <w:r w:rsidR="008E7112">
        <w:t xml:space="preserve">. </w:t>
      </w:r>
      <w:r w:rsidR="008E7112" w:rsidRPr="00173BC5">
        <w:t>Ouderlijk gezag op maat van het gezin</w:t>
      </w:r>
      <w:bookmarkEnd w:id="111"/>
    </w:p>
    <w:p w:rsidR="00767629" w:rsidRPr="00926138" w:rsidRDefault="00E87D3E" w:rsidP="008E7112">
      <w:pPr>
        <w:pStyle w:val="Randnummer"/>
        <w:spacing w:line="360" w:lineRule="auto"/>
        <w:ind w:left="0" w:firstLine="0"/>
      </w:pPr>
      <w:r w:rsidRPr="00926138">
        <w:rPr>
          <w:b/>
          <w:bCs/>
        </w:rPr>
        <w:fldChar w:fldCharType="begin"/>
      </w:r>
      <w:r w:rsidR="008E7112" w:rsidRPr="00926138">
        <w:rPr>
          <w:b/>
          <w:bCs/>
        </w:rPr>
        <w:instrText xml:space="preserve"> AUTONUMLGL  </w:instrText>
      </w:r>
      <w:r w:rsidRPr="00926138">
        <w:rPr>
          <w:b/>
          <w:bCs/>
        </w:rPr>
        <w:fldChar w:fldCharType="end"/>
      </w:r>
      <w:r w:rsidR="008E7112" w:rsidRPr="00926138">
        <w:rPr>
          <w:b/>
          <w:bCs/>
        </w:rPr>
        <w:t xml:space="preserve"> </w:t>
      </w:r>
      <w:r w:rsidR="008E7112" w:rsidRPr="00926138">
        <w:t xml:space="preserve">Meerouderschap en afstammingsloos gezag komen </w:t>
      </w:r>
      <w:r w:rsidR="00926138" w:rsidRPr="00926138">
        <w:t xml:space="preserve">niet automatisch tot stand. In </w:t>
      </w:r>
      <w:r w:rsidR="008E7112" w:rsidRPr="00926138">
        <w:t>Canada is een overeenkomst tussen de verschillende partijen vereist voor de totstandkoming van meerouderschap.</w:t>
      </w:r>
      <w:r w:rsidR="008E7112" w:rsidRPr="00926138">
        <w:rPr>
          <w:rStyle w:val="FootnoteReference"/>
        </w:rPr>
        <w:footnoteReference w:id="441"/>
      </w:r>
      <w:r w:rsidR="008E7112" w:rsidRPr="00926138">
        <w:t xml:space="preserve"> In Engeland kan het ouderlijk gezag toekomen aan een niet-juridische ouder via een </w:t>
      </w:r>
      <w:r w:rsidR="008E7112" w:rsidRPr="00926138">
        <w:rPr>
          <w:i/>
        </w:rPr>
        <w:t>parental responsibility agreement</w:t>
      </w:r>
      <w:r w:rsidR="008E7112" w:rsidRPr="00926138">
        <w:t xml:space="preserve">, een </w:t>
      </w:r>
      <w:r w:rsidR="008E7112" w:rsidRPr="00926138">
        <w:rPr>
          <w:i/>
        </w:rPr>
        <w:t>parental responsibility order</w:t>
      </w:r>
      <w:r w:rsidR="00A56DFD" w:rsidRPr="00926138">
        <w:t xml:space="preserve">, </w:t>
      </w:r>
      <w:r w:rsidR="008E7112" w:rsidRPr="00926138">
        <w:t xml:space="preserve">een </w:t>
      </w:r>
      <w:r w:rsidR="008E7112" w:rsidRPr="00926138">
        <w:rPr>
          <w:i/>
        </w:rPr>
        <w:t>residence order</w:t>
      </w:r>
      <w:r w:rsidR="00A56DFD" w:rsidRPr="00926138">
        <w:rPr>
          <w:i/>
        </w:rPr>
        <w:t xml:space="preserve"> </w:t>
      </w:r>
      <w:r w:rsidR="00A56DFD" w:rsidRPr="00926138">
        <w:t xml:space="preserve">of via </w:t>
      </w:r>
      <w:r w:rsidR="00A56DFD" w:rsidRPr="00926138">
        <w:rPr>
          <w:i/>
        </w:rPr>
        <w:t>testamentary guardianship</w:t>
      </w:r>
      <w:r w:rsidR="008E7112" w:rsidRPr="00926138">
        <w:t>.</w:t>
      </w:r>
      <w:r w:rsidR="008E7112" w:rsidRPr="00926138">
        <w:rPr>
          <w:rStyle w:val="FootnoteReference"/>
        </w:rPr>
        <w:footnoteReference w:id="442"/>
      </w:r>
      <w:r w:rsidR="008E7112" w:rsidRPr="00926138">
        <w:t xml:space="preserve"> In de Belgische wetsvoorstellen betreffende de invoering van zorgouderschap, komt zorgouderschap slechts tot stand indien </w:t>
      </w:r>
      <w:r w:rsidR="008E7112" w:rsidRPr="00926138">
        <w:lastRenderedPageBreak/>
        <w:t>de zorgouder en de juridische ouder hiertoe gezamenlijk een verzoek indienen bij de familierechtbank.</w:t>
      </w:r>
      <w:r w:rsidR="008E7112" w:rsidRPr="00926138">
        <w:rPr>
          <w:rStyle w:val="FootnoteReference"/>
        </w:rPr>
        <w:footnoteReference w:id="443"/>
      </w:r>
      <w:r w:rsidR="008E7112" w:rsidRPr="00926138">
        <w:t xml:space="preserve"> </w:t>
      </w:r>
    </w:p>
    <w:p w:rsidR="008E7112" w:rsidRPr="00926138" w:rsidRDefault="008E7112" w:rsidP="008E7112">
      <w:pPr>
        <w:pStyle w:val="Randnummer"/>
        <w:spacing w:line="360" w:lineRule="auto"/>
        <w:ind w:left="0" w:firstLine="0"/>
      </w:pPr>
      <w:r w:rsidRPr="00926138">
        <w:t xml:space="preserve">Meerouderschap dan wel afstammingsloos gezag </w:t>
      </w:r>
      <w:r w:rsidR="00767629" w:rsidRPr="00926138">
        <w:t>bestaan</w:t>
      </w:r>
      <w:r w:rsidRPr="00926138">
        <w:t xml:space="preserve"> dus naast de gewone afstammingsregels. De mensen die ervoor open staan kunnen meerouderschap dan wel afstamm</w:t>
      </w:r>
      <w:r w:rsidR="00767629" w:rsidRPr="00926138">
        <w:t>ingloos gezag tot stand brengen. Indien afstamming</w:t>
      </w:r>
      <w:r w:rsidR="00A56DFD" w:rsidRPr="00926138">
        <w:t xml:space="preserve">sloos gezag wordt ingevoerd, blijft </w:t>
      </w:r>
      <w:r w:rsidR="00767629" w:rsidRPr="00926138">
        <w:t>het nog steeds mogelijk om het ouderlijk gezag alleen te laten toekomen aan de juridische ouders. Indien meerouderschap wordt</w:t>
      </w:r>
      <w:r w:rsidR="00A56DFD" w:rsidRPr="00926138">
        <w:t xml:space="preserve"> ingevoerd, blijft</w:t>
      </w:r>
      <w:r w:rsidR="00767629" w:rsidRPr="00926138">
        <w:t xml:space="preserve"> het nog steeds mogelijk om</w:t>
      </w:r>
      <w:r w:rsidR="00590A60">
        <w:t xml:space="preserve"> gewoon twee juridische ouders </w:t>
      </w:r>
      <w:r w:rsidR="00767629" w:rsidRPr="00926138">
        <w:t xml:space="preserve">met ouderlijk gezag te hebben. </w:t>
      </w:r>
    </w:p>
    <w:p w:rsidR="008E7112" w:rsidRPr="00926138" w:rsidRDefault="00E87D3E" w:rsidP="00767629">
      <w:pPr>
        <w:pStyle w:val="Randnummer"/>
        <w:spacing w:line="360" w:lineRule="auto"/>
        <w:ind w:left="0" w:firstLine="0"/>
      </w:pPr>
      <w:r w:rsidRPr="00926138">
        <w:rPr>
          <w:b/>
          <w:bCs/>
        </w:rPr>
        <w:fldChar w:fldCharType="begin"/>
      </w:r>
      <w:r w:rsidR="00767629" w:rsidRPr="00926138">
        <w:rPr>
          <w:b/>
          <w:bCs/>
        </w:rPr>
        <w:instrText xml:space="preserve"> AUTONUMLGL  </w:instrText>
      </w:r>
      <w:r w:rsidRPr="00926138">
        <w:rPr>
          <w:b/>
          <w:bCs/>
        </w:rPr>
        <w:fldChar w:fldCharType="end"/>
      </w:r>
      <w:r w:rsidR="006E1538">
        <w:rPr>
          <w:b/>
          <w:bCs/>
        </w:rPr>
        <w:t xml:space="preserve"> </w:t>
      </w:r>
      <w:r w:rsidR="008E43BE" w:rsidRPr="00926138">
        <w:t>In een</w:t>
      </w:r>
      <w:r w:rsidR="00695880" w:rsidRPr="00926138">
        <w:t xml:space="preserve"> Nederlands</w:t>
      </w:r>
      <w:r w:rsidR="008E7112" w:rsidRPr="00926138">
        <w:t xml:space="preserve"> onderzoek naar de mogelijkheid van meeroudergezag, wordt gewezen o</w:t>
      </w:r>
      <w:r w:rsidR="00A56DFD" w:rsidRPr="00926138">
        <w:t>p de grote diversiteit tussen</w:t>
      </w:r>
      <w:r w:rsidR="008E7112" w:rsidRPr="00926138">
        <w:t xml:space="preserve"> gezinnen.</w:t>
      </w:r>
      <w:r w:rsidR="008E7112" w:rsidRPr="00926138">
        <w:rPr>
          <w:rStyle w:val="FootnoteReference"/>
        </w:rPr>
        <w:footnoteReference w:id="444"/>
      </w:r>
      <w:r w:rsidR="008E7112" w:rsidRPr="00926138">
        <w:t xml:space="preserve"> Niet alle stiefouders en donors vervullen dezelfde rol in de opvoeding van het kind.</w:t>
      </w:r>
      <w:r w:rsidR="008E7112" w:rsidRPr="00926138">
        <w:rPr>
          <w:rStyle w:val="FootnoteReference"/>
        </w:rPr>
        <w:footnoteReference w:id="445"/>
      </w:r>
      <w:r w:rsidR="008E7112" w:rsidRPr="00926138">
        <w:t xml:space="preserve"> </w:t>
      </w:r>
      <w:r w:rsidR="008E43BE" w:rsidRPr="00926138">
        <w:t xml:space="preserve">Indien meerouderschap dan wel afstammingsloos gezag zou worden ingevoerd, dienen de partijen mijn inziens verplicht afspraken te maken omtrent de uitoefening en verdeling van de bevoegdheden van het ouderlijk gezag. </w:t>
      </w:r>
      <w:r w:rsidR="008E7112" w:rsidRPr="00926138">
        <w:t xml:space="preserve">Door de partijen </w:t>
      </w:r>
      <w:r w:rsidR="00AD6EC9" w:rsidRPr="00926138">
        <w:t xml:space="preserve">hierover </w:t>
      </w:r>
      <w:r w:rsidR="008E7112" w:rsidRPr="00926138">
        <w:t>afspraken te laten maken</w:t>
      </w:r>
      <w:r w:rsidR="00AD6EC9" w:rsidRPr="00926138">
        <w:t xml:space="preserve">, </w:t>
      </w:r>
      <w:r w:rsidR="008E7112" w:rsidRPr="00926138">
        <w:t>kan rekening worden geho</w:t>
      </w:r>
      <w:r w:rsidR="006E1538">
        <w:t>uden met de eventueel beperkte</w:t>
      </w:r>
      <w:r w:rsidR="008E7112" w:rsidRPr="00926138">
        <w:t xml:space="preserve"> </w:t>
      </w:r>
      <w:r w:rsidR="00767629" w:rsidRPr="00926138">
        <w:t>rol van de stiefouder en donor.</w:t>
      </w:r>
    </w:p>
    <w:p w:rsidR="00A46107" w:rsidRPr="00A46107" w:rsidRDefault="00767629" w:rsidP="001D7263">
      <w:pPr>
        <w:pStyle w:val="Heading6"/>
        <w:spacing w:line="360" w:lineRule="auto"/>
      </w:pPr>
      <w:bookmarkStart w:id="112" w:name="_Toc449936794"/>
      <w:r>
        <w:t>3</w:t>
      </w:r>
      <w:r w:rsidR="00017330">
        <w:t xml:space="preserve">. </w:t>
      </w:r>
      <w:r w:rsidR="000C0BD2">
        <w:t>Slechts bevestiging van de praktijk</w:t>
      </w:r>
      <w:bookmarkEnd w:id="112"/>
    </w:p>
    <w:p w:rsidR="00B51EF7" w:rsidRPr="00926138" w:rsidRDefault="00E87D3E" w:rsidP="00C45E32">
      <w:pPr>
        <w:pStyle w:val="Randnummer"/>
        <w:spacing w:line="360" w:lineRule="auto"/>
        <w:ind w:left="0" w:firstLine="0"/>
      </w:pPr>
      <w:r w:rsidRPr="00926138">
        <w:rPr>
          <w:b/>
          <w:bCs/>
        </w:rPr>
        <w:fldChar w:fldCharType="begin"/>
      </w:r>
      <w:r w:rsidR="00C45E32" w:rsidRPr="00926138">
        <w:rPr>
          <w:b/>
          <w:bCs/>
        </w:rPr>
        <w:instrText xml:space="preserve"> AUTONUMLGL  </w:instrText>
      </w:r>
      <w:r w:rsidRPr="00926138">
        <w:rPr>
          <w:b/>
          <w:bCs/>
        </w:rPr>
        <w:fldChar w:fldCharType="end"/>
      </w:r>
      <w:r w:rsidR="00C45E32" w:rsidRPr="00926138">
        <w:rPr>
          <w:b/>
          <w:bCs/>
        </w:rPr>
        <w:t xml:space="preserve"> </w:t>
      </w:r>
      <w:r w:rsidR="000C0BD2" w:rsidRPr="00926138">
        <w:t>De invoering van meerouderschap dan wel afstammingsloos gezag zou slechts een bevestiging zij</w:t>
      </w:r>
      <w:r w:rsidR="00AD6EC9" w:rsidRPr="00926138">
        <w:t>n van wat zich in het dagelijks</w:t>
      </w:r>
      <w:r w:rsidR="000C0BD2" w:rsidRPr="00926138">
        <w:t xml:space="preserve"> leven reeds voordoet.</w:t>
      </w:r>
      <w:r w:rsidR="000C0BD2" w:rsidRPr="00926138">
        <w:rPr>
          <w:rStyle w:val="FootnoteReference"/>
        </w:rPr>
        <w:footnoteReference w:id="446"/>
      </w:r>
      <w:r w:rsidR="000C0BD2" w:rsidRPr="00926138">
        <w:t xml:space="preserve"> Het is een wettelijke omkadering van een feitelijke situatie</w:t>
      </w:r>
      <w:r w:rsidR="003F70E8" w:rsidRPr="00926138">
        <w:t>. I</w:t>
      </w:r>
      <w:r w:rsidR="000C0BD2" w:rsidRPr="00926138">
        <w:t>n de maatschappij zijn er namelijk al personen die ervoor kiezen om met drie of vier samen een kind op te voeden.</w:t>
      </w:r>
      <w:r w:rsidR="000C0BD2" w:rsidRPr="00926138">
        <w:rPr>
          <w:rStyle w:val="FootnoteReference"/>
        </w:rPr>
        <w:footnoteReference w:id="447"/>
      </w:r>
      <w:r w:rsidR="000C0BD2" w:rsidRPr="00926138">
        <w:t xml:space="preserve"> Door de invoering van meerouderschap dan wel afstammingsloos gezag worden deze feitelijke situaties juridisch geregeld</w:t>
      </w:r>
      <w:r w:rsidR="003F70E8" w:rsidRPr="00926138">
        <w:t xml:space="preserve">. </w:t>
      </w:r>
    </w:p>
    <w:p w:rsidR="008E43BE" w:rsidRPr="00926138" w:rsidRDefault="008E43BE" w:rsidP="00C45E32">
      <w:pPr>
        <w:pStyle w:val="Randnummer"/>
        <w:spacing w:line="360" w:lineRule="auto"/>
        <w:ind w:left="0" w:firstLine="0"/>
      </w:pPr>
      <w:r w:rsidRPr="00926138">
        <w:lastRenderedPageBreak/>
        <w:t>Dit kan er mijn inziens voor zorgen dat de invoering van afstammingsloos gezag dan wel meerouderschap</w:t>
      </w:r>
      <w:r w:rsidR="00926138" w:rsidRPr="00926138">
        <w:t>,</w:t>
      </w:r>
      <w:r w:rsidRPr="00926138">
        <w:t xml:space="preserve"> gemakkelijker aanvaard wordt door leken in het fam</w:t>
      </w:r>
      <w:r w:rsidR="00AD6EC9" w:rsidRPr="00926138">
        <w:t>ilierecht. De invoering is slec</w:t>
      </w:r>
      <w:r w:rsidRPr="00926138">
        <w:t>hts een juridische bevestiging van de praktijk.</w:t>
      </w:r>
    </w:p>
    <w:p w:rsidR="00031FC9" w:rsidRPr="00031FC9" w:rsidRDefault="00031FC9" w:rsidP="001D7263">
      <w:pPr>
        <w:pStyle w:val="Heading5"/>
        <w:numPr>
          <w:ilvl w:val="4"/>
          <w:numId w:val="6"/>
        </w:numPr>
        <w:spacing w:line="360" w:lineRule="auto"/>
        <w:jc w:val="both"/>
      </w:pPr>
      <w:bookmarkStart w:id="113" w:name="_Toc449936795"/>
      <w:r>
        <w:t>Nadelen</w:t>
      </w:r>
      <w:bookmarkEnd w:id="113"/>
    </w:p>
    <w:p w:rsidR="00031FC9" w:rsidRDefault="00031FC9" w:rsidP="001D7263">
      <w:pPr>
        <w:pStyle w:val="Heading6"/>
        <w:spacing w:line="360" w:lineRule="auto"/>
        <w:jc w:val="both"/>
      </w:pPr>
      <w:bookmarkStart w:id="114" w:name="_Toc449936796"/>
      <w:r>
        <w:t>A. Vergroting kans op conflicten</w:t>
      </w:r>
      <w:bookmarkEnd w:id="114"/>
    </w:p>
    <w:p w:rsidR="00995C7F" w:rsidRPr="005B2ACF" w:rsidRDefault="00E87D3E" w:rsidP="00C45E32">
      <w:pPr>
        <w:pStyle w:val="Randnummer"/>
        <w:spacing w:line="360" w:lineRule="auto"/>
        <w:ind w:left="0" w:firstLine="0"/>
      </w:pPr>
      <w:r w:rsidRPr="005B2ACF">
        <w:rPr>
          <w:b/>
          <w:bCs/>
        </w:rPr>
        <w:fldChar w:fldCharType="begin"/>
      </w:r>
      <w:r w:rsidR="00C45E32" w:rsidRPr="005B2ACF">
        <w:rPr>
          <w:b/>
          <w:bCs/>
        </w:rPr>
        <w:instrText xml:space="preserve"> AUTONUMLGL  </w:instrText>
      </w:r>
      <w:r w:rsidRPr="005B2ACF">
        <w:rPr>
          <w:b/>
          <w:bCs/>
        </w:rPr>
        <w:fldChar w:fldCharType="end"/>
      </w:r>
      <w:r w:rsidR="008E43BE" w:rsidRPr="005B2ACF">
        <w:rPr>
          <w:b/>
          <w:bCs/>
        </w:rPr>
        <w:t xml:space="preserve"> </w:t>
      </w:r>
      <w:r w:rsidR="008E43BE" w:rsidRPr="005B2ACF">
        <w:t>Zowel bij meerouderschap als bij afstammingsloos gezag kan het ouderlijk gezag toekomen aan meerdere personen. Dit kan leiden tot een vergroting van de kans op conflicten</w:t>
      </w:r>
      <w:r w:rsidR="00E0176B" w:rsidRPr="005B2ACF">
        <w:t>: h</w:t>
      </w:r>
      <w:r w:rsidR="00C97AA3" w:rsidRPr="005B2ACF">
        <w:t>oe meer personen ouderlijk gezag hebben, hoe groter de kans op meningsverschillen.</w:t>
      </w:r>
      <w:r w:rsidR="00E0176B" w:rsidRPr="005B2ACF">
        <w:rPr>
          <w:rStyle w:val="FootnoteReference"/>
        </w:rPr>
        <w:t xml:space="preserve"> </w:t>
      </w:r>
      <w:r w:rsidR="00E0176B" w:rsidRPr="005B2ACF">
        <w:rPr>
          <w:rStyle w:val="FootnoteReference"/>
        </w:rPr>
        <w:footnoteReference w:id="448"/>
      </w:r>
    </w:p>
    <w:p w:rsidR="00995C7F" w:rsidRPr="005B2ACF" w:rsidRDefault="00E0176B" w:rsidP="00C45E32">
      <w:pPr>
        <w:pStyle w:val="Randnummer"/>
        <w:spacing w:line="360" w:lineRule="auto"/>
        <w:ind w:left="0" w:firstLine="0"/>
        <w:rPr>
          <w:b/>
          <w:bCs/>
        </w:rPr>
      </w:pPr>
      <w:r w:rsidRPr="005B2ACF">
        <w:t>Mijn inziens bestaat de kans dat tussen de</w:t>
      </w:r>
      <w:r w:rsidR="00A03B3A" w:rsidRPr="005B2ACF">
        <w:t xml:space="preserve"> </w:t>
      </w:r>
      <w:r w:rsidR="000C0BD2" w:rsidRPr="005B2ACF">
        <w:t xml:space="preserve">verschillende partijen </w:t>
      </w:r>
      <w:r w:rsidR="00A03B3A" w:rsidRPr="005B2ACF">
        <w:t>discussies</w:t>
      </w:r>
      <w:r w:rsidRPr="005B2ACF">
        <w:t xml:space="preserve"> ontstaan over</w:t>
      </w:r>
      <w:r w:rsidR="000C0BD2" w:rsidRPr="005B2ACF">
        <w:t xml:space="preserve"> wie welke bevoegdheid van het ouderlijk gezag mag uitoefenen. Deze discussies </w:t>
      </w:r>
      <w:r w:rsidRPr="005B2ACF">
        <w:t xml:space="preserve">zouden mijn inziens </w:t>
      </w:r>
      <w:r w:rsidR="000C0BD2" w:rsidRPr="005B2ACF">
        <w:t>deels vermeden</w:t>
      </w:r>
      <w:r w:rsidRPr="005B2ACF">
        <w:t xml:space="preserve"> kunnen</w:t>
      </w:r>
      <w:r w:rsidR="000C0BD2" w:rsidRPr="005B2ACF">
        <w:t xml:space="preserve"> worden </w:t>
      </w:r>
      <w:r w:rsidRPr="005B2ACF">
        <w:t>door</w:t>
      </w:r>
      <w:r w:rsidR="000C0BD2" w:rsidRPr="005B2ACF">
        <w:t xml:space="preserve"> de partijen </w:t>
      </w:r>
      <w:r w:rsidRPr="005B2ACF">
        <w:t>verplicht</w:t>
      </w:r>
      <w:r w:rsidR="000C0BD2" w:rsidRPr="005B2ACF">
        <w:t xml:space="preserve"> afspraken te </w:t>
      </w:r>
      <w:r w:rsidRPr="005B2ACF">
        <w:t xml:space="preserve">laten </w:t>
      </w:r>
      <w:r w:rsidR="000C0BD2" w:rsidRPr="005B2ACF">
        <w:t>maken over de verdeling en uitoefening van de bevoe</w:t>
      </w:r>
      <w:r w:rsidRPr="005B2ACF">
        <w:t>gdheden van het ouderlijk gezag. Een</w:t>
      </w:r>
      <w:r w:rsidR="00AD6EC9" w:rsidRPr="005B2ACF">
        <w:t xml:space="preserve"> conflict zou ook kunnen on</w:t>
      </w:r>
      <w:r w:rsidR="00AA1202" w:rsidRPr="005B2ACF">
        <w:t>t</w:t>
      </w:r>
      <w:r w:rsidR="00AD6EC9" w:rsidRPr="005B2ACF">
        <w:t>staan</w:t>
      </w:r>
      <w:r w:rsidRPr="005B2ACF">
        <w:t xml:space="preserve"> wanneer de partijen bijvoorbeeld</w:t>
      </w:r>
      <w:r w:rsidR="000C0BD2" w:rsidRPr="005B2ACF">
        <w:t xml:space="preserve"> zijn overeengekomen dat beslissingen inzake de schoolkeuze gezam</w:t>
      </w:r>
      <w:r w:rsidRPr="005B2ACF">
        <w:t>enlijk worden genomen. Indien</w:t>
      </w:r>
      <w:r w:rsidR="000C0BD2" w:rsidRPr="005B2ACF">
        <w:t xml:space="preserve"> vervolgens geen overeenstemming wordt bereikt, moeten de partijen wellicht naar de rechter om het geschil te laten beslechten.</w:t>
      </w:r>
    </w:p>
    <w:p w:rsidR="000C0BD2" w:rsidRPr="005B2ACF" w:rsidRDefault="000C0BD2" w:rsidP="00C45E32">
      <w:pPr>
        <w:pStyle w:val="Randnummer"/>
        <w:spacing w:line="360" w:lineRule="auto"/>
        <w:ind w:left="0" w:firstLine="0"/>
      </w:pPr>
      <w:r w:rsidRPr="005B2ACF">
        <w:t>Er dient wel op gewezen te worden dat in Engeland geen verhoging van conflicten is vastgesteld na de invoering</w:t>
      </w:r>
      <w:r w:rsidR="005B2ACF">
        <w:t xml:space="preserve"> van afstammingsloos gezag</w:t>
      </w:r>
      <w:r w:rsidRPr="005B2ACF">
        <w:t>.</w:t>
      </w:r>
      <w:r w:rsidRPr="005B2ACF">
        <w:rPr>
          <w:rStyle w:val="FootnoteReference"/>
        </w:rPr>
        <w:footnoteReference w:id="449"/>
      </w:r>
    </w:p>
    <w:p w:rsidR="00031FC9" w:rsidRPr="00031FC9" w:rsidRDefault="00031FC9" w:rsidP="001D7263">
      <w:pPr>
        <w:pStyle w:val="Heading6"/>
        <w:spacing w:line="360" w:lineRule="auto"/>
        <w:jc w:val="both"/>
      </w:pPr>
      <w:bookmarkStart w:id="115" w:name="_Toc449936797"/>
      <w:r>
        <w:t>B. Stellen van grenzen</w:t>
      </w:r>
      <w:bookmarkEnd w:id="115"/>
    </w:p>
    <w:p w:rsidR="000C0BD2" w:rsidRPr="005B2ACF" w:rsidRDefault="00E87D3E" w:rsidP="00C45E32">
      <w:pPr>
        <w:pStyle w:val="Randnummer"/>
        <w:spacing w:line="360" w:lineRule="auto"/>
        <w:ind w:left="0" w:firstLine="0"/>
      </w:pPr>
      <w:r w:rsidRPr="005B2ACF">
        <w:rPr>
          <w:b/>
          <w:bCs/>
        </w:rPr>
        <w:fldChar w:fldCharType="begin"/>
      </w:r>
      <w:r w:rsidR="00C45E32" w:rsidRPr="005B2ACF">
        <w:rPr>
          <w:b/>
          <w:bCs/>
        </w:rPr>
        <w:instrText xml:space="preserve"> AUTONUMLGL  </w:instrText>
      </w:r>
      <w:r w:rsidRPr="005B2ACF">
        <w:rPr>
          <w:b/>
          <w:bCs/>
        </w:rPr>
        <w:fldChar w:fldCharType="end"/>
      </w:r>
      <w:r w:rsidR="00C45E32" w:rsidRPr="005B2ACF">
        <w:rPr>
          <w:b/>
          <w:bCs/>
        </w:rPr>
        <w:t xml:space="preserve"> </w:t>
      </w:r>
      <w:r w:rsidR="000C0BD2" w:rsidRPr="005B2ACF">
        <w:t>Een volgend nadeel van deze twee rechtsfiguren is het stellen van grenzen.</w:t>
      </w:r>
      <w:r w:rsidR="000C0BD2" w:rsidRPr="005B2ACF">
        <w:rPr>
          <w:rStyle w:val="FootnoteReference"/>
        </w:rPr>
        <w:footnoteReference w:id="450"/>
      </w:r>
      <w:r w:rsidR="000C0BD2" w:rsidRPr="005B2ACF">
        <w:t xml:space="preserve"> Indien meerouders</w:t>
      </w:r>
      <w:r w:rsidR="003F70E8" w:rsidRPr="005B2ACF">
        <w:t xml:space="preserve">chap wordt ingevoerd, moet </w:t>
      </w:r>
      <w:r w:rsidR="000C0BD2" w:rsidRPr="005B2ACF">
        <w:t xml:space="preserve">mijn inziens </w:t>
      </w:r>
      <w:r w:rsidR="00995C7F" w:rsidRPr="005B2ACF">
        <w:t>meteen een nieuw maximum</w:t>
      </w:r>
      <w:r w:rsidR="000C0BD2" w:rsidRPr="005B2ACF">
        <w:t xml:space="preserve"> aantal juridische ouders worden bepaald.</w:t>
      </w:r>
      <w:r w:rsidR="003F70E8" w:rsidRPr="005B2ACF">
        <w:t xml:space="preserve"> </w:t>
      </w:r>
      <w:r w:rsidR="00E0176B" w:rsidRPr="005B2ACF">
        <w:t>De vraag is echter hoeveel juridische ouders er maximum kunnen zijn</w:t>
      </w:r>
      <w:r w:rsidR="000C0BD2" w:rsidRPr="005B2ACF">
        <w:t xml:space="preserve">. In de huidige maatschappij </w:t>
      </w:r>
      <w:r w:rsidR="003F70E8" w:rsidRPr="005B2ACF">
        <w:t>bestaan</w:t>
      </w:r>
      <w:r w:rsidR="000C0BD2" w:rsidRPr="005B2ACF">
        <w:t xml:space="preserve"> zoveel ver</w:t>
      </w:r>
      <w:r w:rsidR="003F70E8" w:rsidRPr="005B2ACF">
        <w:t>schillende soorten gezinsvormen</w:t>
      </w:r>
      <w:r w:rsidR="009D0216" w:rsidRPr="005B2ACF">
        <w:t>,</w:t>
      </w:r>
      <w:r w:rsidR="000C0BD2" w:rsidRPr="005B2ACF">
        <w:t xml:space="preserve"> dat de kans bestaat dat er nog steeds feitelijke gezagsrelaties bestaan die geen wettelijke </w:t>
      </w:r>
      <w:r w:rsidR="00E56145" w:rsidRPr="005B2ACF">
        <w:lastRenderedPageBreak/>
        <w:t>bescherming genieten. Er</w:t>
      </w:r>
      <w:r w:rsidR="000C0BD2" w:rsidRPr="005B2ACF">
        <w:t xml:space="preserve"> valt</w:t>
      </w:r>
      <w:r w:rsidR="00E56145" w:rsidRPr="005B2ACF">
        <w:t xml:space="preserve"> te denken</w:t>
      </w:r>
      <w:r w:rsidR="000C0BD2" w:rsidRPr="005B2ACF">
        <w:t xml:space="preserve"> aan de situatie waarin de wensouders zwanger worden door</w:t>
      </w:r>
      <w:r w:rsidR="00995C7F" w:rsidRPr="005B2ACF">
        <w:t xml:space="preserve"> middel van zowel een eicel-</w:t>
      </w:r>
      <w:r w:rsidR="000C0BD2" w:rsidRPr="005B2ACF">
        <w:t xml:space="preserve"> als een zaadcel</w:t>
      </w:r>
      <w:r w:rsidR="00995C7F" w:rsidRPr="005B2ACF">
        <w:t>donor. Indien zowel de eicel- als de</w:t>
      </w:r>
      <w:r w:rsidR="000C0BD2" w:rsidRPr="005B2ACF">
        <w:t xml:space="preserve"> zaadceldonor een partner hebben en al deze personen mee willen instaan voor de opvoeding van het kind, kan men tot zes juridische ouders komen.</w:t>
      </w:r>
    </w:p>
    <w:p w:rsidR="001B7693" w:rsidRDefault="00995C7F" w:rsidP="00192127">
      <w:pPr>
        <w:pStyle w:val="Randnummer"/>
        <w:spacing w:line="360" w:lineRule="auto"/>
        <w:ind w:left="0" w:firstLine="0"/>
      </w:pPr>
      <w:r>
        <w:t xml:space="preserve">Dit probleem stelt zich </w:t>
      </w:r>
      <w:r w:rsidR="000C0BD2">
        <w:t>ook bij afstammingsloos gezag. Indien het mogelijk is dat het ouderlijk gezag kan toekomen aan niet</w:t>
      </w:r>
      <w:r w:rsidR="00E56145">
        <w:t>-juridische ouders, dient</w:t>
      </w:r>
      <w:r w:rsidR="00D013B2">
        <w:t xml:space="preserve"> </w:t>
      </w:r>
      <w:r w:rsidR="000C0BD2">
        <w:t xml:space="preserve">ook bepaald </w:t>
      </w:r>
      <w:r w:rsidR="009D0216">
        <w:t>te worden</w:t>
      </w:r>
      <w:r w:rsidR="00E56145">
        <w:t xml:space="preserve"> h</w:t>
      </w:r>
      <w:r w:rsidR="000C0BD2">
        <w:t>oeveel niet-juridische ouders bevoegdheden van het o</w:t>
      </w:r>
      <w:r w:rsidR="009D0216">
        <w:t>uderlijk gezag kunnen verkrijgen</w:t>
      </w:r>
      <w:r w:rsidR="000C0BD2">
        <w:t xml:space="preserve">. De </w:t>
      </w:r>
      <w:r w:rsidR="006E1538">
        <w:t xml:space="preserve">Belgische </w:t>
      </w:r>
      <w:r w:rsidR="000C0BD2">
        <w:t>wetsvoorstellen betreffende de invoering van zorgouderschap stellen dat el</w:t>
      </w:r>
      <w:r w:rsidR="00E56145">
        <w:t xml:space="preserve">k van de juridische ouders maximum </w:t>
      </w:r>
      <w:r w:rsidR="000C0BD2">
        <w:t>aan één zorgouder bevoegdheden kan overdragen.</w:t>
      </w:r>
      <w:r w:rsidR="000C0BD2">
        <w:rPr>
          <w:rStyle w:val="FootnoteReference"/>
        </w:rPr>
        <w:footnoteReference w:id="451"/>
      </w:r>
      <w:r w:rsidR="000C0BD2">
        <w:t xml:space="preserve"> Er kunnen dus maximum twee niet-juridische ouders zijn die bevoegdheden van het oud</w:t>
      </w:r>
      <w:r w:rsidR="00E56145">
        <w:t>erlijk gezag hebben. Dit</w:t>
      </w:r>
      <w:r w:rsidR="000C0BD2">
        <w:t xml:space="preserve"> kan tot gevolg hebben dat er nog steeds feitelijke gezagsrelaties bestaan die n</w:t>
      </w:r>
      <w:r w:rsidR="00D013B2">
        <w:t>iet wettelijk beschermd worden.</w:t>
      </w:r>
    </w:p>
    <w:p w:rsidR="00031FC9" w:rsidRPr="001B7693" w:rsidRDefault="008E7112" w:rsidP="001D7263">
      <w:pPr>
        <w:pStyle w:val="Heading4"/>
        <w:spacing w:line="360" w:lineRule="auto"/>
        <w:jc w:val="both"/>
      </w:pPr>
      <w:bookmarkStart w:id="116" w:name="_Toc449936798"/>
      <w:r>
        <w:t>§3</w:t>
      </w:r>
      <w:r w:rsidR="00031FC9">
        <w:t>. Voorstel de lege ferenda meerouderschap</w:t>
      </w:r>
      <w:bookmarkEnd w:id="116"/>
    </w:p>
    <w:p w:rsidR="0038051D" w:rsidRPr="005B2ACF" w:rsidRDefault="00E87D3E" w:rsidP="00C45E32">
      <w:pPr>
        <w:pStyle w:val="Randnummer"/>
        <w:spacing w:line="360" w:lineRule="auto"/>
        <w:ind w:left="0" w:firstLine="0"/>
      </w:pPr>
      <w:r w:rsidRPr="005B2ACF">
        <w:rPr>
          <w:b/>
          <w:bCs/>
        </w:rPr>
        <w:fldChar w:fldCharType="begin"/>
      </w:r>
      <w:r w:rsidR="00C45E32" w:rsidRPr="005B2ACF">
        <w:rPr>
          <w:b/>
          <w:bCs/>
        </w:rPr>
        <w:instrText xml:space="preserve"> AUTONUMLGL  </w:instrText>
      </w:r>
      <w:r w:rsidRPr="005B2ACF">
        <w:rPr>
          <w:b/>
          <w:bCs/>
        </w:rPr>
        <w:fldChar w:fldCharType="end"/>
      </w:r>
      <w:r w:rsidR="00C45E32" w:rsidRPr="005B2ACF">
        <w:rPr>
          <w:b/>
          <w:bCs/>
        </w:rPr>
        <w:t xml:space="preserve"> </w:t>
      </w:r>
      <w:r w:rsidR="0039171F" w:rsidRPr="005B2ACF">
        <w:t>In wat volgt worden</w:t>
      </w:r>
      <w:r w:rsidR="0038051D" w:rsidRPr="005B2ACF">
        <w:t xml:space="preserve"> eigen </w:t>
      </w:r>
      <w:r w:rsidR="00747FEA" w:rsidRPr="005B2ACF">
        <w:t xml:space="preserve">voorstellen </w:t>
      </w:r>
      <w:r w:rsidR="00AD6EC9" w:rsidRPr="005B2ACF">
        <w:t>voo</w:t>
      </w:r>
      <w:r w:rsidR="0038051D" w:rsidRPr="005B2ACF">
        <w:t xml:space="preserve">r </w:t>
      </w:r>
      <w:r w:rsidR="00747FEA" w:rsidRPr="005B2ACF">
        <w:t xml:space="preserve">de invoering van </w:t>
      </w:r>
      <w:r w:rsidR="0038051D" w:rsidRPr="005B2ACF">
        <w:t xml:space="preserve">meerouderschap en afstammingsloos gezag </w:t>
      </w:r>
      <w:r w:rsidR="00747FEA" w:rsidRPr="005B2ACF">
        <w:t>in België</w:t>
      </w:r>
      <w:r w:rsidR="0039171F" w:rsidRPr="005B2ACF">
        <w:t xml:space="preserve"> gegeven</w:t>
      </w:r>
      <w:r w:rsidR="00747FEA" w:rsidRPr="005B2ACF">
        <w:t>.</w:t>
      </w:r>
      <w:r w:rsidR="0038051D" w:rsidRPr="005B2ACF">
        <w:t xml:space="preserve"> </w:t>
      </w:r>
      <w:r w:rsidR="0039171F" w:rsidRPr="005B2ACF">
        <w:t xml:space="preserve">Het voorstel tot invoering van meerouderschap is </w:t>
      </w:r>
      <w:r w:rsidR="00BE0698" w:rsidRPr="005B2ACF">
        <w:t xml:space="preserve">gebaseerd op het meerouderschap in Canada. </w:t>
      </w:r>
      <w:r w:rsidR="0039171F" w:rsidRPr="005B2ACF">
        <w:t>Het voorstel tot de invoering van</w:t>
      </w:r>
      <w:r w:rsidR="00BE0698" w:rsidRPr="005B2ACF">
        <w:t xml:space="preserve"> af</w:t>
      </w:r>
      <w:r w:rsidR="0039171F" w:rsidRPr="005B2ACF">
        <w:t>stammingsloos gezag is g</w:t>
      </w:r>
      <w:r w:rsidR="00BE0698" w:rsidRPr="005B2ACF">
        <w:t xml:space="preserve">ebaseerd op het afstammingsloos gezag in Engeland en op de Belgische wetsvoorstellen omtrent de invoering van zorgouderschap. </w:t>
      </w:r>
    </w:p>
    <w:p w:rsidR="0038051D" w:rsidRDefault="00031FC9" w:rsidP="001D7263">
      <w:pPr>
        <w:pStyle w:val="Heading5"/>
        <w:spacing w:line="360" w:lineRule="auto"/>
        <w:jc w:val="both"/>
      </w:pPr>
      <w:bookmarkStart w:id="117" w:name="_Toc449936799"/>
      <w:r>
        <w:t>A</w:t>
      </w:r>
      <w:r w:rsidR="00AB62C5">
        <w:t>. Voorstel de lege ferenda meerouderschap</w:t>
      </w:r>
      <w:bookmarkEnd w:id="117"/>
    </w:p>
    <w:p w:rsidR="0038051D" w:rsidRPr="00192127" w:rsidRDefault="00031FC9" w:rsidP="001D7263">
      <w:pPr>
        <w:pStyle w:val="Heading6"/>
        <w:spacing w:line="360" w:lineRule="auto"/>
        <w:jc w:val="both"/>
      </w:pPr>
      <w:bookmarkStart w:id="118" w:name="_Toc449936800"/>
      <w:r>
        <w:t>1</w:t>
      </w:r>
      <w:r w:rsidR="00192127">
        <w:t>. Totstandkoming meerouderschap</w:t>
      </w:r>
      <w:bookmarkEnd w:id="118"/>
    </w:p>
    <w:p w:rsidR="00BB3E18" w:rsidRPr="00A33284" w:rsidRDefault="00E87D3E" w:rsidP="00C45E32">
      <w:pPr>
        <w:pStyle w:val="Randnummer"/>
        <w:spacing w:line="360" w:lineRule="auto"/>
        <w:ind w:left="0" w:firstLine="0"/>
        <w:rPr>
          <w:bCs/>
        </w:rPr>
      </w:pPr>
      <w:r w:rsidRPr="00A33284">
        <w:rPr>
          <w:b/>
          <w:bCs/>
        </w:rPr>
        <w:fldChar w:fldCharType="begin"/>
      </w:r>
      <w:r w:rsidR="00C45E32" w:rsidRPr="00A33284">
        <w:rPr>
          <w:b/>
          <w:bCs/>
        </w:rPr>
        <w:instrText xml:space="preserve"> AUTONUMLGL  </w:instrText>
      </w:r>
      <w:r w:rsidRPr="00A33284">
        <w:rPr>
          <w:b/>
          <w:bCs/>
        </w:rPr>
        <w:fldChar w:fldCharType="end"/>
      </w:r>
      <w:r w:rsidR="00C45E32" w:rsidRPr="00A33284">
        <w:rPr>
          <w:b/>
          <w:bCs/>
        </w:rPr>
        <w:t xml:space="preserve"> </w:t>
      </w:r>
      <w:r w:rsidR="00B34FE5" w:rsidRPr="00A33284">
        <w:rPr>
          <w:bCs/>
        </w:rPr>
        <w:t>Meerouderschap</w:t>
      </w:r>
      <w:r w:rsidR="0039171F" w:rsidRPr="00A33284">
        <w:rPr>
          <w:bCs/>
        </w:rPr>
        <w:t xml:space="preserve"> zou naar mijn mening niet automatisch tot stand komen. Voor de totstandkoming is een overeenkomst </w:t>
      </w:r>
      <w:r w:rsidR="00833A6B" w:rsidRPr="00A33284">
        <w:rPr>
          <w:bCs/>
        </w:rPr>
        <w:t xml:space="preserve">tussen de toekomstige juridische ouders </w:t>
      </w:r>
      <w:r w:rsidR="0039171F" w:rsidRPr="00A33284">
        <w:rPr>
          <w:bCs/>
        </w:rPr>
        <w:t xml:space="preserve">vereist. </w:t>
      </w:r>
      <w:r w:rsidR="00BB3E18" w:rsidRPr="00A33284">
        <w:t xml:space="preserve">Mijn inziens dient de overeenkomst pre-conceptueel te zijn. </w:t>
      </w:r>
      <w:r w:rsidR="00BB3E18" w:rsidRPr="00A33284">
        <w:rPr>
          <w:bCs/>
        </w:rPr>
        <w:t xml:space="preserve">Na de </w:t>
      </w:r>
      <w:r w:rsidR="00833A6B" w:rsidRPr="00A33284">
        <w:rPr>
          <w:bCs/>
        </w:rPr>
        <w:t>geboorte van het kind zijn de partijen bij de overeenkomst</w:t>
      </w:r>
      <w:r w:rsidR="00BB3E18" w:rsidRPr="00A33284">
        <w:rPr>
          <w:bCs/>
        </w:rPr>
        <w:t xml:space="preserve"> juridisch ouder</w:t>
      </w:r>
      <w:r w:rsidR="00B34FE5" w:rsidRPr="00A33284">
        <w:rPr>
          <w:bCs/>
        </w:rPr>
        <w:t xml:space="preserve"> van het kind</w:t>
      </w:r>
      <w:r w:rsidR="00BB3E18" w:rsidRPr="00A33284">
        <w:rPr>
          <w:bCs/>
        </w:rPr>
        <w:t xml:space="preserve">. </w:t>
      </w:r>
      <w:r w:rsidR="00BB3E18" w:rsidRPr="00A33284">
        <w:t xml:space="preserve">Het meerouderschap biedt een oplossing voor intentionele meeroudergezinnen. Niet-intentionele meeroudergezinnen kunnen geen gebruik maken van meerouderschap. In niet-intentionele meeroudergezinnen hebben de feitelijke opvoeders </w:t>
      </w:r>
      <w:r w:rsidR="00833A6B" w:rsidRPr="00A33284">
        <w:t xml:space="preserve">namelijk </w:t>
      </w:r>
      <w:r w:rsidR="00BB3E18" w:rsidRPr="00A33284">
        <w:t xml:space="preserve">niet ingestemd met de geboorte van het kind. </w:t>
      </w:r>
    </w:p>
    <w:p w:rsidR="008005E9" w:rsidRPr="00A33284" w:rsidRDefault="00E87D3E" w:rsidP="008005E9">
      <w:pPr>
        <w:pStyle w:val="Randnummer"/>
        <w:spacing w:line="360" w:lineRule="auto"/>
        <w:ind w:left="0" w:firstLine="0"/>
      </w:pPr>
      <w:r w:rsidRPr="00A33284">
        <w:rPr>
          <w:b/>
          <w:bCs/>
        </w:rPr>
        <w:lastRenderedPageBreak/>
        <w:fldChar w:fldCharType="begin"/>
      </w:r>
      <w:r w:rsidR="00BB3E18" w:rsidRPr="00A33284">
        <w:rPr>
          <w:b/>
          <w:bCs/>
        </w:rPr>
        <w:instrText xml:space="preserve"> AUTONUMLGL  </w:instrText>
      </w:r>
      <w:r w:rsidRPr="00A33284">
        <w:rPr>
          <w:b/>
          <w:bCs/>
        </w:rPr>
        <w:fldChar w:fldCharType="end"/>
      </w:r>
      <w:r w:rsidR="00B34FE5" w:rsidRPr="00A33284">
        <w:rPr>
          <w:b/>
          <w:bCs/>
        </w:rPr>
        <w:t xml:space="preserve"> </w:t>
      </w:r>
      <w:r w:rsidR="00C93F51" w:rsidRPr="00A33284">
        <w:t>De overeenkomst</w:t>
      </w:r>
      <w:r w:rsidR="0039171F" w:rsidRPr="00A33284">
        <w:t xml:space="preserve"> zou mijn inziens</w:t>
      </w:r>
      <w:r w:rsidR="00C93F51" w:rsidRPr="00A33284">
        <w:t xml:space="preserve"> </w:t>
      </w:r>
      <w:r w:rsidR="008005E9" w:rsidRPr="00A33284">
        <w:t xml:space="preserve">vastgelegd </w:t>
      </w:r>
      <w:r w:rsidR="0039171F" w:rsidRPr="00A33284">
        <w:t xml:space="preserve">moeten </w:t>
      </w:r>
      <w:r w:rsidR="00833A6B" w:rsidRPr="00A33284">
        <w:t>worden in een notariële akte. D</w:t>
      </w:r>
      <w:r w:rsidR="008005E9" w:rsidRPr="00A33284">
        <w:t xml:space="preserve">it laat toe dat de notaris de partijen </w:t>
      </w:r>
      <w:r w:rsidR="00833A6B" w:rsidRPr="00A33284">
        <w:t>inlicht</w:t>
      </w:r>
      <w:r w:rsidR="008005E9" w:rsidRPr="00A33284">
        <w:t xml:space="preserve"> over de gevolgen van het juridisch ouderschap. </w:t>
      </w:r>
      <w:r w:rsidR="00C93F51" w:rsidRPr="00A33284">
        <w:t>Bovendien zou</w:t>
      </w:r>
      <w:r w:rsidR="008005E9" w:rsidRPr="00A33284">
        <w:t xml:space="preserve"> de overeenkomst door de rechter getoetst</w:t>
      </w:r>
      <w:r w:rsidR="00AF6C54" w:rsidRPr="00A33284">
        <w:t xml:space="preserve"> </w:t>
      </w:r>
      <w:r w:rsidR="00833A6B" w:rsidRPr="00A33284">
        <w:t>dienen te</w:t>
      </w:r>
      <w:r w:rsidR="00C93F51" w:rsidRPr="00A33284">
        <w:t xml:space="preserve"> worden</w:t>
      </w:r>
      <w:r w:rsidR="008005E9" w:rsidRPr="00A33284">
        <w:t xml:space="preserve">. De rechter gaat de ouderschapsintenties van de partijen na en kijkt of het belang van het kind centraal staat. </w:t>
      </w:r>
    </w:p>
    <w:p w:rsidR="008005E9" w:rsidRPr="00A33284" w:rsidRDefault="008005E9" w:rsidP="00C45E32">
      <w:pPr>
        <w:pStyle w:val="Randnummer"/>
        <w:spacing w:line="360" w:lineRule="auto"/>
        <w:ind w:left="0" w:firstLine="0"/>
      </w:pPr>
      <w:r w:rsidRPr="00A33284">
        <w:t>De vereiste</w:t>
      </w:r>
      <w:r w:rsidR="00C93F51" w:rsidRPr="00A33284">
        <w:t>n</w:t>
      </w:r>
      <w:r w:rsidRPr="00A33284">
        <w:t xml:space="preserve"> van een notariële akte en de toetsing door de rechter bieden</w:t>
      </w:r>
      <w:r w:rsidR="00833A6B" w:rsidRPr="00A33284">
        <w:t xml:space="preserve"> mijn inziens</w:t>
      </w:r>
      <w:r w:rsidRPr="00A33284">
        <w:t xml:space="preserve"> een garantie dat de partijen weloverwogen handelen. De pre</w:t>
      </w:r>
      <w:r w:rsidR="00833A6B" w:rsidRPr="00A33284">
        <w:t xml:space="preserve">-conceptuele overeenkomst zou </w:t>
      </w:r>
      <w:r w:rsidRPr="00A33284">
        <w:t xml:space="preserve">bindende kracht </w:t>
      </w:r>
      <w:r w:rsidR="00833A6B" w:rsidRPr="00A33284">
        <w:t xml:space="preserve">hebben </w:t>
      </w:r>
      <w:r w:rsidRPr="00A33284">
        <w:t xml:space="preserve">wat betreft de aanduiding van de juridische ouders. </w:t>
      </w:r>
    </w:p>
    <w:p w:rsidR="00833A6B" w:rsidRPr="00A33284" w:rsidRDefault="00E87D3E" w:rsidP="00C45E32">
      <w:pPr>
        <w:pStyle w:val="Randnummer"/>
        <w:spacing w:line="360" w:lineRule="auto"/>
        <w:ind w:left="0" w:firstLine="0"/>
      </w:pPr>
      <w:r w:rsidRPr="00A33284">
        <w:rPr>
          <w:b/>
          <w:bCs/>
        </w:rPr>
        <w:fldChar w:fldCharType="begin"/>
      </w:r>
      <w:r w:rsidR="00833A6B" w:rsidRPr="00A33284">
        <w:rPr>
          <w:b/>
          <w:bCs/>
        </w:rPr>
        <w:instrText xml:space="preserve"> AUTONUMLGL  </w:instrText>
      </w:r>
      <w:r w:rsidRPr="00A33284">
        <w:rPr>
          <w:b/>
          <w:bCs/>
        </w:rPr>
        <w:fldChar w:fldCharType="end"/>
      </w:r>
      <w:r w:rsidR="00833A6B" w:rsidRPr="00A33284">
        <w:rPr>
          <w:b/>
          <w:bCs/>
        </w:rPr>
        <w:t xml:space="preserve"> </w:t>
      </w:r>
      <w:r w:rsidR="00833A6B" w:rsidRPr="00A33284">
        <w:t>Voor het meerouderschap zou mijn inziens niet vereist zijn dat het kind verwekt is via kunstmatige voortplanting. Ook voor kinderen die verwekt zijn via geslachtsgemeenschap staat meerouderschap open.</w:t>
      </w:r>
      <w:r w:rsidR="00E175E4" w:rsidRPr="00A33284">
        <w:t xml:space="preserve"> Bovendien is het niet vereist dat de “ext</w:t>
      </w:r>
      <w:r w:rsidR="006E1538">
        <w:t>ra” juridische ouder een biologische band heeft</w:t>
      </w:r>
      <w:r w:rsidR="00E175E4" w:rsidRPr="00A33284">
        <w:t xml:space="preserve"> met het kind. Dit laat toe dat de partner van de eicel- of zaadce</w:t>
      </w:r>
      <w:r w:rsidR="005E239B" w:rsidRPr="00A33284">
        <w:t>ldonor ook</w:t>
      </w:r>
      <w:r w:rsidR="00A33284" w:rsidRPr="00A33284">
        <w:t xml:space="preserve"> een</w:t>
      </w:r>
      <w:r w:rsidR="005E239B" w:rsidRPr="00A33284">
        <w:t xml:space="preserve"> juridisch</w:t>
      </w:r>
      <w:r w:rsidR="00A33284" w:rsidRPr="00A33284">
        <w:t>e</w:t>
      </w:r>
      <w:r w:rsidR="005E239B" w:rsidRPr="00A33284">
        <w:t xml:space="preserve"> ouder ka</w:t>
      </w:r>
      <w:r w:rsidR="00E175E4" w:rsidRPr="00A33284">
        <w:t>n zijn.</w:t>
      </w:r>
    </w:p>
    <w:p w:rsidR="00BB3E18" w:rsidRDefault="00BB3E18" w:rsidP="001D7263">
      <w:pPr>
        <w:pStyle w:val="Heading6"/>
        <w:spacing w:line="360" w:lineRule="auto"/>
        <w:jc w:val="both"/>
      </w:pPr>
      <w:bookmarkStart w:id="119" w:name="_Toc449936801"/>
      <w:r>
        <w:t>2. Bestaan naast huidige afstammingsregels</w:t>
      </w:r>
      <w:bookmarkEnd w:id="119"/>
    </w:p>
    <w:p w:rsidR="00E175E4" w:rsidRPr="00A33284" w:rsidRDefault="00E87D3E" w:rsidP="00C45E32">
      <w:pPr>
        <w:pStyle w:val="Randnummer"/>
        <w:spacing w:line="360" w:lineRule="auto"/>
        <w:ind w:left="0" w:firstLine="0"/>
      </w:pPr>
      <w:r w:rsidRPr="00A33284">
        <w:rPr>
          <w:b/>
          <w:bCs/>
        </w:rPr>
        <w:fldChar w:fldCharType="begin"/>
      </w:r>
      <w:r w:rsidR="00C45E32" w:rsidRPr="00A33284">
        <w:rPr>
          <w:b/>
          <w:bCs/>
        </w:rPr>
        <w:instrText xml:space="preserve"> AUTONUMLGL  </w:instrText>
      </w:r>
      <w:r w:rsidRPr="00A33284">
        <w:rPr>
          <w:b/>
          <w:bCs/>
        </w:rPr>
        <w:fldChar w:fldCharType="end"/>
      </w:r>
      <w:r w:rsidR="00C45E32" w:rsidRPr="00A33284">
        <w:rPr>
          <w:b/>
          <w:bCs/>
        </w:rPr>
        <w:t xml:space="preserve"> </w:t>
      </w:r>
      <w:r w:rsidR="0038051D" w:rsidRPr="00A33284">
        <w:t xml:space="preserve">Het meerouderschap </w:t>
      </w:r>
      <w:r w:rsidR="008005E9" w:rsidRPr="00A33284">
        <w:t xml:space="preserve">zou </w:t>
      </w:r>
      <w:r w:rsidR="00F23ECF" w:rsidRPr="00A33284">
        <w:t xml:space="preserve">mijn inziens </w:t>
      </w:r>
      <w:r w:rsidR="008005E9" w:rsidRPr="00A33284">
        <w:t>bestaan</w:t>
      </w:r>
      <w:r w:rsidR="00833A6B" w:rsidRPr="00A33284">
        <w:t xml:space="preserve"> naast de huidige</w:t>
      </w:r>
      <w:r w:rsidR="0038051D" w:rsidRPr="00A33284">
        <w:t xml:space="preserve"> afstammingsregels. </w:t>
      </w:r>
      <w:r w:rsidR="00E175E4" w:rsidRPr="00A33284">
        <w:t xml:space="preserve">De huidige afstammingsregels </w:t>
      </w:r>
      <w:r w:rsidR="00533F73">
        <w:t xml:space="preserve">blijven </w:t>
      </w:r>
      <w:r w:rsidR="00E175E4" w:rsidRPr="00A33284">
        <w:t xml:space="preserve">bepalen wie </w:t>
      </w:r>
      <w:r w:rsidR="00A33284" w:rsidRPr="00A33284">
        <w:t xml:space="preserve">de </w:t>
      </w:r>
      <w:r w:rsidR="00E175E4" w:rsidRPr="00A33284">
        <w:t>juridisch</w:t>
      </w:r>
      <w:r w:rsidR="00A33284" w:rsidRPr="00A33284">
        <w:t>e</w:t>
      </w:r>
      <w:r w:rsidR="00E175E4" w:rsidRPr="00A33284">
        <w:t xml:space="preserve"> ouder</w:t>
      </w:r>
      <w:r w:rsidR="00A33284" w:rsidRPr="00A33284">
        <w:t>s zijn</w:t>
      </w:r>
      <w:r w:rsidR="00E175E4" w:rsidRPr="00A33284">
        <w:t xml:space="preserve">. </w:t>
      </w:r>
      <w:r w:rsidR="00B910BC" w:rsidRPr="00A33284">
        <w:t>Meerouderschap maakt het mogelijk om andere personen, dus andere personen dan de huidige juridische ouders, het statuut van juridische ouder te geven. Hiervoor is zoals reeds gezegd, een pre-conceptuele overeenkomst tussen de juridische ouders en de “andere” persoon vereist.</w:t>
      </w:r>
      <w:r w:rsidR="00E175E4" w:rsidRPr="00A33284">
        <w:t xml:space="preserve"> Als gev</w:t>
      </w:r>
      <w:r w:rsidR="00B910BC" w:rsidRPr="00A33284">
        <w:t>olg van deze overeenkomst wordt de andere persoon</w:t>
      </w:r>
      <w:r w:rsidR="00E175E4" w:rsidRPr="00A33284">
        <w:t>,</w:t>
      </w:r>
      <w:r w:rsidR="00A33284" w:rsidRPr="00A33284">
        <w:t xml:space="preserve"> die geen juridische ouder</w:t>
      </w:r>
      <w:r w:rsidR="00384AA3" w:rsidRPr="00A33284">
        <w:t xml:space="preserve"> is</w:t>
      </w:r>
      <w:r w:rsidR="00E175E4" w:rsidRPr="00A33284">
        <w:t xml:space="preserve"> onder het huidige afstammingsrecht, na de geboorte van het kind </w:t>
      </w:r>
      <w:r w:rsidR="00A33284" w:rsidRPr="00A33284">
        <w:t xml:space="preserve">een </w:t>
      </w:r>
      <w:r w:rsidR="00E175E4" w:rsidRPr="00A33284">
        <w:t>juridisch</w:t>
      </w:r>
      <w:r w:rsidR="00A33284" w:rsidRPr="00A33284">
        <w:t>e</w:t>
      </w:r>
      <w:r w:rsidR="00E175E4" w:rsidRPr="00A33284">
        <w:t xml:space="preserve"> ouder.</w:t>
      </w:r>
    </w:p>
    <w:p w:rsidR="0038051D" w:rsidRPr="00A33284" w:rsidRDefault="00BB3E18" w:rsidP="00C45E32">
      <w:pPr>
        <w:pStyle w:val="Randnummer"/>
        <w:spacing w:line="360" w:lineRule="auto"/>
        <w:ind w:left="0" w:firstLine="0"/>
      </w:pPr>
      <w:r w:rsidRPr="00A33284">
        <w:t>De vereiste van het bestaan van een pre-conceptuele overeenkomst zorgt ervoor dat de partijen zelf meerouders</w:t>
      </w:r>
      <w:r w:rsidR="00384AA3" w:rsidRPr="00A33284">
        <w:t>c</w:t>
      </w:r>
      <w:r w:rsidRPr="00A33284">
        <w:t>hap tot stand kunnen brengen. Indien meerdere personen samen een kind willen opvoeden, kunnen ze een meerouderschapsovereenkoms</w:t>
      </w:r>
      <w:r w:rsidR="005E239B" w:rsidRPr="00A33284">
        <w:t>t</w:t>
      </w:r>
      <w:r w:rsidRPr="00A33284">
        <w:t xml:space="preserve"> sluiten om zo allemaal juridisch ouder te zijn. Dit is evenwel geen verplichting.</w:t>
      </w:r>
      <w:r w:rsidR="0038051D" w:rsidRPr="00A33284">
        <w:t xml:space="preserve"> Indien de partijen geen overeenkomst sluiten, zijn er maximaal twee juridische ouders.</w:t>
      </w:r>
      <w:r w:rsidRPr="00A33284">
        <w:t xml:space="preserve"> De juridische ouders zijn diegene die volgens het huidige afstammingsrecht juridisch ouder zijn.</w:t>
      </w:r>
    </w:p>
    <w:p w:rsidR="00192127" w:rsidRDefault="004045EF" w:rsidP="001D7263">
      <w:pPr>
        <w:pStyle w:val="Heading6"/>
        <w:spacing w:line="360" w:lineRule="auto"/>
        <w:jc w:val="both"/>
      </w:pPr>
      <w:bookmarkStart w:id="120" w:name="_Toc449936802"/>
      <w:r>
        <w:t>3</w:t>
      </w:r>
      <w:r w:rsidR="00192127">
        <w:t>. Ouderlijk gezag</w:t>
      </w:r>
      <w:bookmarkEnd w:id="120"/>
      <w:r w:rsidR="00192127">
        <w:t xml:space="preserve"> </w:t>
      </w:r>
    </w:p>
    <w:p w:rsidR="0038051D" w:rsidRPr="00A33284" w:rsidRDefault="00E87D3E" w:rsidP="00C45E32">
      <w:pPr>
        <w:pStyle w:val="Randnummer"/>
        <w:spacing w:line="360" w:lineRule="auto"/>
        <w:ind w:left="0" w:firstLine="0"/>
      </w:pPr>
      <w:r w:rsidRPr="00A33284">
        <w:rPr>
          <w:b/>
          <w:bCs/>
        </w:rPr>
        <w:fldChar w:fldCharType="begin"/>
      </w:r>
      <w:r w:rsidR="00C45E32" w:rsidRPr="00A33284">
        <w:rPr>
          <w:b/>
          <w:bCs/>
        </w:rPr>
        <w:instrText xml:space="preserve"> AUTONUMLGL  </w:instrText>
      </w:r>
      <w:r w:rsidRPr="00A33284">
        <w:rPr>
          <w:b/>
          <w:bCs/>
        </w:rPr>
        <w:fldChar w:fldCharType="end"/>
      </w:r>
      <w:r w:rsidR="00C45E32" w:rsidRPr="00A33284">
        <w:rPr>
          <w:b/>
          <w:bCs/>
        </w:rPr>
        <w:t xml:space="preserve"> </w:t>
      </w:r>
      <w:r w:rsidR="00384AA3" w:rsidRPr="00A33284">
        <w:rPr>
          <w:bCs/>
        </w:rPr>
        <w:t>Al d</w:t>
      </w:r>
      <w:r w:rsidR="00833A6B" w:rsidRPr="00A33284">
        <w:rPr>
          <w:bCs/>
        </w:rPr>
        <w:t>e juridische ouders</w:t>
      </w:r>
      <w:r w:rsidR="00E175E4" w:rsidRPr="00A33284">
        <w:rPr>
          <w:bCs/>
        </w:rPr>
        <w:t>, d</w:t>
      </w:r>
      <w:r w:rsidR="00384AA3" w:rsidRPr="00A33284">
        <w:rPr>
          <w:bCs/>
        </w:rPr>
        <w:t>it zijn dus de</w:t>
      </w:r>
      <w:r w:rsidR="00E175E4" w:rsidRPr="00A33284">
        <w:rPr>
          <w:bCs/>
        </w:rPr>
        <w:t xml:space="preserve"> personen die partij zijn bij de overeenkomst, zouden net zoals in het huidige recht</w:t>
      </w:r>
      <w:r w:rsidR="00833A6B" w:rsidRPr="00A33284">
        <w:rPr>
          <w:bCs/>
        </w:rPr>
        <w:t xml:space="preserve"> van rechtswege ouderlijk gezag hebben. M</w:t>
      </w:r>
      <w:r w:rsidR="00995C7F" w:rsidRPr="00A33284">
        <w:t xml:space="preserve">ijn inziens </w:t>
      </w:r>
      <w:r w:rsidR="00833A6B" w:rsidRPr="00A33284">
        <w:t xml:space="preserve">zouden </w:t>
      </w:r>
      <w:r w:rsidR="0038051D" w:rsidRPr="00A33284">
        <w:t xml:space="preserve">verplicht </w:t>
      </w:r>
      <w:r w:rsidR="00995C7F" w:rsidRPr="00A33284">
        <w:t xml:space="preserve">afspraken </w:t>
      </w:r>
      <w:r w:rsidR="00833A6B" w:rsidRPr="00A33284">
        <w:t>gemaakt moeten worden</w:t>
      </w:r>
      <w:r w:rsidR="0038051D" w:rsidRPr="00A33284">
        <w:t xml:space="preserve"> omtrent de verdeling en uit</w:t>
      </w:r>
      <w:r w:rsidR="00833A6B" w:rsidRPr="00A33284">
        <w:t xml:space="preserve">oefening van </w:t>
      </w:r>
      <w:r w:rsidR="00833A6B" w:rsidRPr="00A33284">
        <w:lastRenderedPageBreak/>
        <w:t>het ouderlijk gezag</w:t>
      </w:r>
      <w:r w:rsidR="0038051D" w:rsidRPr="00A33284">
        <w:t>.</w:t>
      </w:r>
      <w:r w:rsidR="00833A6B" w:rsidRPr="00A33284">
        <w:t xml:space="preserve"> Deze afspraken worden opgenomen in de pre-conceptuele overeenkomst die meerouderschap tot stand brengt.</w:t>
      </w:r>
      <w:r w:rsidR="00533F73">
        <w:t xml:space="preserve"> </w:t>
      </w:r>
      <w:r w:rsidR="0038051D" w:rsidRPr="00A33284">
        <w:t xml:space="preserve">Deze regelingen omtrent het ouderlijk gezag worden mee door de rechter getoetst om na te gaan of het belang </w:t>
      </w:r>
      <w:r w:rsidR="001B7693" w:rsidRPr="00A33284">
        <w:t xml:space="preserve">van het kind centraal staat. </w:t>
      </w:r>
      <w:r w:rsidR="00533F73">
        <w:t>Na de toetsing zouden de afspraken bindende kracht hebben.</w:t>
      </w:r>
    </w:p>
    <w:p w:rsidR="0038051D" w:rsidRPr="00A33284" w:rsidRDefault="00E87D3E" w:rsidP="00C45E32">
      <w:pPr>
        <w:pStyle w:val="Randnummer"/>
        <w:spacing w:line="360" w:lineRule="auto"/>
        <w:ind w:left="0" w:firstLine="0"/>
      </w:pPr>
      <w:r w:rsidRPr="00A33284">
        <w:rPr>
          <w:b/>
          <w:bCs/>
        </w:rPr>
        <w:fldChar w:fldCharType="begin"/>
      </w:r>
      <w:r w:rsidR="00C45E32" w:rsidRPr="00A33284">
        <w:rPr>
          <w:b/>
          <w:bCs/>
        </w:rPr>
        <w:instrText xml:space="preserve"> AUTONUMLGL  </w:instrText>
      </w:r>
      <w:r w:rsidRPr="00A33284">
        <w:rPr>
          <w:b/>
          <w:bCs/>
        </w:rPr>
        <w:fldChar w:fldCharType="end"/>
      </w:r>
      <w:r w:rsidR="00C45E32" w:rsidRPr="00A33284">
        <w:rPr>
          <w:b/>
          <w:bCs/>
        </w:rPr>
        <w:t xml:space="preserve"> </w:t>
      </w:r>
      <w:r w:rsidR="0038051D" w:rsidRPr="00A33284">
        <w:t xml:space="preserve">De </w:t>
      </w:r>
      <w:r w:rsidR="00862717" w:rsidRPr="00A33284">
        <w:t>verplichting</w:t>
      </w:r>
      <w:r w:rsidR="0038051D" w:rsidRPr="00A33284">
        <w:t xml:space="preserve"> om afspraken te maken over de verdeling en uitoefening van het ouderlijk gezag, laat toe om tegemoet te komen aan de verschi</w:t>
      </w:r>
      <w:r w:rsidR="00C93F51" w:rsidRPr="00A33284">
        <w:t>llende rol</w:t>
      </w:r>
      <w:r w:rsidR="00533F73">
        <w:t>len</w:t>
      </w:r>
      <w:r w:rsidR="00C93F51" w:rsidRPr="00A33284">
        <w:t xml:space="preserve"> die de ouders </w:t>
      </w:r>
      <w:r w:rsidR="0038051D" w:rsidRPr="00A33284">
        <w:t>spelen. Indien de donor het kind mee opvoedt maar niet zo betrokken is als</w:t>
      </w:r>
      <w:r w:rsidR="00C93F51" w:rsidRPr="00A33284">
        <w:t xml:space="preserve"> de wensouders, is het </w:t>
      </w:r>
      <w:r w:rsidR="0038051D" w:rsidRPr="00A33284">
        <w:t xml:space="preserve">niet wenselijk dat de donor alle bevoegdheden van het ouderlijk gezag heeft. </w:t>
      </w:r>
    </w:p>
    <w:p w:rsidR="0038051D" w:rsidRDefault="004045EF" w:rsidP="001D7263">
      <w:pPr>
        <w:pStyle w:val="Heading6"/>
        <w:spacing w:line="360" w:lineRule="auto"/>
        <w:jc w:val="both"/>
      </w:pPr>
      <w:bookmarkStart w:id="121" w:name="_Toc449936803"/>
      <w:r>
        <w:t>4</w:t>
      </w:r>
      <w:r w:rsidR="00017330">
        <w:t xml:space="preserve">. </w:t>
      </w:r>
      <w:r w:rsidR="0038051D">
        <w:t>Aantal juridische ouders</w:t>
      </w:r>
      <w:bookmarkEnd w:id="121"/>
    </w:p>
    <w:p w:rsidR="0038051D" w:rsidRPr="00A33284" w:rsidRDefault="00E87D3E" w:rsidP="002970C4">
      <w:pPr>
        <w:pStyle w:val="Randnummer"/>
        <w:spacing w:line="360" w:lineRule="auto"/>
        <w:ind w:left="0" w:firstLine="0"/>
      </w:pPr>
      <w:r w:rsidRPr="00A33284">
        <w:rPr>
          <w:b/>
          <w:bCs/>
        </w:rPr>
        <w:fldChar w:fldCharType="begin"/>
      </w:r>
      <w:r w:rsidR="002970C4" w:rsidRPr="00A33284">
        <w:rPr>
          <w:b/>
          <w:bCs/>
        </w:rPr>
        <w:instrText xml:space="preserve"> AUTONUMLGL  </w:instrText>
      </w:r>
      <w:r w:rsidRPr="00A33284">
        <w:rPr>
          <w:b/>
          <w:bCs/>
        </w:rPr>
        <w:fldChar w:fldCharType="end"/>
      </w:r>
      <w:r w:rsidR="00305FEB" w:rsidRPr="00A33284">
        <w:rPr>
          <w:b/>
          <w:bCs/>
        </w:rPr>
        <w:t xml:space="preserve"> </w:t>
      </w:r>
      <w:r w:rsidR="00833A6B" w:rsidRPr="00A33284">
        <w:t>Mijn inziens zouden er maximum vier juridische ouders kunnen zijn.</w:t>
      </w:r>
      <w:r w:rsidR="002970C4" w:rsidRPr="00A33284">
        <w:rPr>
          <w:b/>
          <w:bCs/>
        </w:rPr>
        <w:t xml:space="preserve"> </w:t>
      </w:r>
      <w:r w:rsidR="0038051D" w:rsidRPr="00A33284">
        <w:t xml:space="preserve">Een maximum van vier juridische ouders komt tegemoet aan </w:t>
      </w:r>
      <w:r w:rsidR="004045EF" w:rsidRPr="00A33284">
        <w:t>verschillende</w:t>
      </w:r>
      <w:r w:rsidR="00E175E4" w:rsidRPr="00A33284">
        <w:t xml:space="preserve"> soorten</w:t>
      </w:r>
      <w:r w:rsidR="0038051D" w:rsidRPr="00A33284">
        <w:t xml:space="preserve"> gezinssamenstellingen. </w:t>
      </w:r>
      <w:r w:rsidR="004045EF" w:rsidRPr="00A33284">
        <w:t xml:space="preserve">Er blijven echter nog </w:t>
      </w:r>
      <w:r w:rsidR="0038051D" w:rsidRPr="00A33284">
        <w:t>scenario</w:t>
      </w:r>
      <w:r w:rsidR="004045EF" w:rsidRPr="00A33284">
        <w:t>’</w:t>
      </w:r>
      <w:r w:rsidR="0038051D" w:rsidRPr="00A33284">
        <w:t>s denkbaar</w:t>
      </w:r>
      <w:r w:rsidR="004045EF" w:rsidRPr="00A33284">
        <w:t xml:space="preserve"> waar het maximum van vier juridische ouders nog steeds te beperkt is. Er valt te denken aan </w:t>
      </w:r>
      <w:r w:rsidR="0038051D" w:rsidRPr="00A33284">
        <w:t>h</w:t>
      </w:r>
      <w:r w:rsidR="00E175E4" w:rsidRPr="00A33284">
        <w:t xml:space="preserve">et geval waar zowel de eicel als de </w:t>
      </w:r>
      <w:r w:rsidR="0038051D" w:rsidRPr="00A33284">
        <w:t xml:space="preserve">zaadcel niet eigen zijn. Indien zowel de eiceldonor als zaadceldonor een partner heeft, zou men tot zes juridische ouders kunnen komen. Mijn inziens is het praktisch moeilijk haalbaar om het ouderlijk gezag met zes uit te oefenen of om tot een verdeling te komen die voor iedereen aanvaardbaar is. </w:t>
      </w:r>
    </w:p>
    <w:p w:rsidR="0038051D" w:rsidRDefault="00031FC9" w:rsidP="001D7263">
      <w:pPr>
        <w:pStyle w:val="Heading5"/>
        <w:spacing w:line="360" w:lineRule="auto"/>
        <w:jc w:val="both"/>
      </w:pPr>
      <w:bookmarkStart w:id="122" w:name="_Toc449936804"/>
      <w:r>
        <w:t>B</w:t>
      </w:r>
      <w:r w:rsidR="00AB62C5">
        <w:t>. Voorstel de lege ferenda afstammingsloos gezag</w:t>
      </w:r>
      <w:bookmarkEnd w:id="122"/>
    </w:p>
    <w:p w:rsidR="00BE0698" w:rsidRDefault="00031FC9" w:rsidP="001D7263">
      <w:pPr>
        <w:pStyle w:val="Heading6"/>
        <w:spacing w:line="360" w:lineRule="auto"/>
        <w:jc w:val="both"/>
      </w:pPr>
      <w:bookmarkStart w:id="123" w:name="_Toc449936805"/>
      <w:r>
        <w:t>1</w:t>
      </w:r>
      <w:r w:rsidR="00BE0698">
        <w:t xml:space="preserve">. </w:t>
      </w:r>
      <w:r w:rsidR="00376C1C">
        <w:t>Totstandkoming</w:t>
      </w:r>
      <w:r w:rsidR="00BE0698">
        <w:t xml:space="preserve"> afstammingsloos gezag</w:t>
      </w:r>
      <w:bookmarkEnd w:id="123"/>
    </w:p>
    <w:p w:rsidR="000917F0" w:rsidRPr="00A33284" w:rsidRDefault="00E87D3E" w:rsidP="002970C4">
      <w:pPr>
        <w:pStyle w:val="Randnummer"/>
        <w:spacing w:line="360" w:lineRule="auto"/>
        <w:ind w:left="0" w:firstLine="0"/>
      </w:pPr>
      <w:r w:rsidRPr="00A33284">
        <w:rPr>
          <w:b/>
          <w:bCs/>
        </w:rPr>
        <w:fldChar w:fldCharType="begin"/>
      </w:r>
      <w:r w:rsidR="002970C4" w:rsidRPr="00A33284">
        <w:rPr>
          <w:b/>
          <w:bCs/>
        </w:rPr>
        <w:instrText xml:space="preserve"> AUTONUMLGL  </w:instrText>
      </w:r>
      <w:r w:rsidRPr="00A33284">
        <w:rPr>
          <w:b/>
          <w:bCs/>
        </w:rPr>
        <w:fldChar w:fldCharType="end"/>
      </w:r>
      <w:r w:rsidR="002970C4" w:rsidRPr="00A33284">
        <w:rPr>
          <w:b/>
          <w:bCs/>
        </w:rPr>
        <w:t xml:space="preserve"> </w:t>
      </w:r>
      <w:r w:rsidR="00BE0698" w:rsidRPr="00A33284">
        <w:t xml:space="preserve">De </w:t>
      </w:r>
      <w:r w:rsidR="00862717" w:rsidRPr="00A33284">
        <w:t xml:space="preserve">Belgische </w:t>
      </w:r>
      <w:r w:rsidR="00BE0698" w:rsidRPr="00A33284">
        <w:t>wetsvoorstellen hebben uitsluitend betrekking op niet-intentionele meeroudergezinnen. Ook in Engeland ligt de focus op deze gezinnen. Mijn inziens moet afstammingsloos gezag in gelijke mate openstaan voor intentionele meeroudergezinnen.</w:t>
      </w:r>
    </w:p>
    <w:p w:rsidR="00BE0698" w:rsidRPr="00A33284" w:rsidRDefault="00E87D3E" w:rsidP="002970C4">
      <w:pPr>
        <w:pStyle w:val="Randnummer"/>
        <w:spacing w:line="360" w:lineRule="auto"/>
        <w:ind w:left="0" w:firstLine="0"/>
      </w:pPr>
      <w:r w:rsidRPr="00A33284">
        <w:rPr>
          <w:b/>
          <w:bCs/>
        </w:rPr>
        <w:fldChar w:fldCharType="begin"/>
      </w:r>
      <w:r w:rsidR="002970C4" w:rsidRPr="00A33284">
        <w:rPr>
          <w:b/>
          <w:bCs/>
        </w:rPr>
        <w:instrText xml:space="preserve"> AUTONUMLGL  </w:instrText>
      </w:r>
      <w:r w:rsidRPr="00A33284">
        <w:rPr>
          <w:b/>
          <w:bCs/>
        </w:rPr>
        <w:fldChar w:fldCharType="end"/>
      </w:r>
      <w:r w:rsidR="002970C4" w:rsidRPr="00A33284">
        <w:rPr>
          <w:b/>
          <w:bCs/>
        </w:rPr>
        <w:t xml:space="preserve"> </w:t>
      </w:r>
      <w:r w:rsidR="006A51F2" w:rsidRPr="00A33284">
        <w:t>De juridische ouders zouden</w:t>
      </w:r>
      <w:r w:rsidR="00B910BC" w:rsidRPr="00A33284">
        <w:t xml:space="preserve"> mijn inziens</w:t>
      </w:r>
      <w:r w:rsidR="00BE0698" w:rsidRPr="00A33284">
        <w:t xml:space="preserve"> van rechtswege ouderlijk gezag</w:t>
      </w:r>
      <w:r w:rsidR="00945496" w:rsidRPr="00A33284">
        <w:t xml:space="preserve"> moeten</w:t>
      </w:r>
      <w:r w:rsidR="006A51F2" w:rsidRPr="00A33284">
        <w:t xml:space="preserve"> hebben</w:t>
      </w:r>
      <w:r w:rsidR="00BE0698" w:rsidRPr="00A33284">
        <w:t>.</w:t>
      </w:r>
      <w:r w:rsidR="00812D64" w:rsidRPr="00A33284">
        <w:t xml:space="preserve"> </w:t>
      </w:r>
      <w:r w:rsidR="00BE0698" w:rsidRPr="00A33284">
        <w:t xml:space="preserve">De niet-juridische ouders </w:t>
      </w:r>
      <w:r w:rsidR="006A51F2" w:rsidRPr="00A33284">
        <w:t>zouden n</w:t>
      </w:r>
      <w:r w:rsidR="00B910BC" w:rsidRPr="00A33284">
        <w:t xml:space="preserve">iet automatisch titularis zijn van de bevoegdheden van het ouderlijk gezag. Opdat het ouderlijk gezag kan toekomen aan een niet-juridische ouder, is </w:t>
      </w:r>
      <w:r w:rsidR="005E239B" w:rsidRPr="00A33284">
        <w:t xml:space="preserve">mijn inziens </w:t>
      </w:r>
      <w:r w:rsidR="00B910BC" w:rsidRPr="00A33284">
        <w:t>een overeenkomst tussen de juridische ouder</w:t>
      </w:r>
      <w:r w:rsidR="00862717" w:rsidRPr="00A33284">
        <w:t>s en de</w:t>
      </w:r>
      <w:r w:rsidR="00B910BC" w:rsidRPr="00A33284">
        <w:t xml:space="preserve"> niet-juridische ouder vereist.</w:t>
      </w:r>
      <w:r w:rsidR="006A51F2" w:rsidRPr="00A33284">
        <w:t xml:space="preserve"> Indien éé</w:t>
      </w:r>
      <w:r w:rsidR="00BE0698" w:rsidRPr="00A33284">
        <w:t>n van de juridisc</w:t>
      </w:r>
      <w:r w:rsidR="006A51F2" w:rsidRPr="00A33284">
        <w:t>he ouders niet</w:t>
      </w:r>
      <w:r w:rsidR="00B910BC" w:rsidRPr="00A33284">
        <w:t xml:space="preserve"> instemt</w:t>
      </w:r>
      <w:r w:rsidR="006A51F2" w:rsidRPr="00A33284">
        <w:t xml:space="preserve">, </w:t>
      </w:r>
      <w:r w:rsidR="00AF6C54" w:rsidRPr="00A33284">
        <w:t xml:space="preserve">moet </w:t>
      </w:r>
      <w:r w:rsidR="00862717" w:rsidRPr="00A33284">
        <w:t xml:space="preserve">het </w:t>
      </w:r>
      <w:r w:rsidR="00B910BC" w:rsidRPr="00A33284">
        <w:t xml:space="preserve">mijn inziens </w:t>
      </w:r>
      <w:r w:rsidR="00862717" w:rsidRPr="00A33284">
        <w:t xml:space="preserve">mogelijk zijn om </w:t>
      </w:r>
      <w:r w:rsidR="00BE0698" w:rsidRPr="00A33284">
        <w:t xml:space="preserve">een verzoek </w:t>
      </w:r>
      <w:r w:rsidR="00862717" w:rsidRPr="00A33284">
        <w:t>in te dienen</w:t>
      </w:r>
      <w:r w:rsidR="00BE0698" w:rsidRPr="00A33284">
        <w:t xml:space="preserve"> bij de familierechtbank. De familierechtbank oordeelt in het belang van het kind. De mogelijkheden voor het verkrijgen van ouderlijk gezag worden dus uit het Engelse recht gehaald, waar de toekenning van ouderlijk gezag mogelijk is door een </w:t>
      </w:r>
      <w:r w:rsidR="00BE0698" w:rsidRPr="00A33284">
        <w:lastRenderedPageBreak/>
        <w:t>overeenkomst tussen de betrokken partijen (</w:t>
      </w:r>
      <w:r w:rsidR="00BE0698" w:rsidRPr="00A33284">
        <w:rPr>
          <w:i/>
        </w:rPr>
        <w:t>parental responsibility agreement</w:t>
      </w:r>
      <w:r w:rsidR="00BE0698" w:rsidRPr="00A33284">
        <w:t>) of door een rechterlijke beslissing (</w:t>
      </w:r>
      <w:r w:rsidR="00BE0698" w:rsidRPr="00A33284">
        <w:rPr>
          <w:i/>
        </w:rPr>
        <w:t>parental responsibility order</w:t>
      </w:r>
      <w:r w:rsidR="00BE0698" w:rsidRPr="00A33284">
        <w:t>).</w:t>
      </w:r>
      <w:r w:rsidR="00BE0698" w:rsidRPr="00A33284">
        <w:rPr>
          <w:rStyle w:val="FootnoteReference"/>
        </w:rPr>
        <w:footnoteReference w:id="452"/>
      </w:r>
      <w:r w:rsidR="00BE0698" w:rsidRPr="00A33284">
        <w:t xml:space="preserve"> Voor intentionele meeroudergezinnen</w:t>
      </w:r>
      <w:r w:rsidR="008005E9" w:rsidRPr="00A33284">
        <w:t xml:space="preserve"> zou</w:t>
      </w:r>
      <w:r w:rsidR="00BE0698" w:rsidRPr="00A33284">
        <w:t xml:space="preserve"> deze overeenkomst pre-conceptueel</w:t>
      </w:r>
      <w:r w:rsidR="008005E9" w:rsidRPr="00A33284">
        <w:t xml:space="preserve"> moeten</w:t>
      </w:r>
      <w:r w:rsidR="00305FEB" w:rsidRPr="00A33284">
        <w:t xml:space="preserve"> zijn. </w:t>
      </w:r>
      <w:r w:rsidR="00BE0698" w:rsidRPr="00A33284">
        <w:t>Voor niet-intentionele meeroudergezinnnen kan deze overeenkomst vanzelfsprekend pas na de geboorte van het kind tot stand komen.</w:t>
      </w:r>
    </w:p>
    <w:p w:rsidR="00BE0698" w:rsidRPr="00A33284" w:rsidRDefault="00BE0698" w:rsidP="002970C4">
      <w:pPr>
        <w:pStyle w:val="Randnummer"/>
        <w:spacing w:line="360" w:lineRule="auto"/>
        <w:ind w:left="0" w:firstLine="0"/>
      </w:pPr>
      <w:r w:rsidRPr="00A33284">
        <w:t>De overeenkomst die gezag geeft aan</w:t>
      </w:r>
      <w:r w:rsidR="007F6DF9" w:rsidRPr="00A33284">
        <w:t xml:space="preserve"> een niet-juridische ouder </w:t>
      </w:r>
      <w:r w:rsidR="00B910BC" w:rsidRPr="00A33284">
        <w:t xml:space="preserve">zou door de rechter getoetst dienen te worden. </w:t>
      </w:r>
      <w:r w:rsidRPr="00A33284">
        <w:t>De rechter toetst aan het belang van het kind</w:t>
      </w:r>
      <w:r w:rsidR="00B910BC" w:rsidRPr="00A33284">
        <w:t xml:space="preserve">. </w:t>
      </w:r>
      <w:r w:rsidRPr="00A33284">
        <w:t>De overeenkomst</w:t>
      </w:r>
      <w:r w:rsidR="00B910BC" w:rsidRPr="00A33284">
        <w:t xml:space="preserve"> zou bindende kracht hebben wat betreft de toekenning van het ouderlijk gezag aan een niet-juridische ou</w:t>
      </w:r>
      <w:r w:rsidR="00AD6EC9" w:rsidRPr="00A33284">
        <w:t>d</w:t>
      </w:r>
      <w:r w:rsidR="00B910BC" w:rsidRPr="00A33284">
        <w:t>er.</w:t>
      </w:r>
      <w:r w:rsidRPr="00A33284">
        <w:t xml:space="preserve"> </w:t>
      </w:r>
    </w:p>
    <w:p w:rsidR="00305FEB" w:rsidRPr="00A33284" w:rsidRDefault="00E87D3E" w:rsidP="002970C4">
      <w:pPr>
        <w:pStyle w:val="Randnummer"/>
        <w:spacing w:line="360" w:lineRule="auto"/>
        <w:ind w:left="0" w:firstLine="0"/>
      </w:pPr>
      <w:r w:rsidRPr="00A33284">
        <w:rPr>
          <w:b/>
          <w:bCs/>
        </w:rPr>
        <w:fldChar w:fldCharType="begin"/>
      </w:r>
      <w:r w:rsidR="00305FEB" w:rsidRPr="00A33284">
        <w:rPr>
          <w:b/>
          <w:bCs/>
        </w:rPr>
        <w:instrText xml:space="preserve"> AUTONUMLGL  </w:instrText>
      </w:r>
      <w:r w:rsidRPr="00A33284">
        <w:rPr>
          <w:b/>
          <w:bCs/>
        </w:rPr>
        <w:fldChar w:fldCharType="end"/>
      </w:r>
      <w:r w:rsidR="00305FEB" w:rsidRPr="00A33284">
        <w:rPr>
          <w:b/>
          <w:bCs/>
        </w:rPr>
        <w:t xml:space="preserve"> </w:t>
      </w:r>
      <w:r w:rsidR="00305FEB" w:rsidRPr="00A33284">
        <w:t xml:space="preserve">Indien het kind een zekere leeftijd en maturiteit heeft bereikt, zou het mijn inziens gehoord moeten worden. Deze voorwaarde geldt alleen voor niet-intentionele meeroudergezinnen. In intentionele meeroudergezinnen komt de overeenkomst </w:t>
      </w:r>
      <w:r w:rsidR="00A33284" w:rsidRPr="00A33284">
        <w:t xml:space="preserve">reeds </w:t>
      </w:r>
      <w:r w:rsidR="00305FEB" w:rsidRPr="00A33284">
        <w:t>voor de geboorte van het kind tot stand</w:t>
      </w:r>
      <w:r w:rsidR="00A33284" w:rsidRPr="00A33284">
        <w:t xml:space="preserve"> en kan het kind dus niet gehoord worden</w:t>
      </w:r>
      <w:r w:rsidR="00305FEB" w:rsidRPr="00A33284">
        <w:t>.</w:t>
      </w:r>
    </w:p>
    <w:p w:rsidR="00B910BC" w:rsidRDefault="00B910BC" w:rsidP="001D7263">
      <w:pPr>
        <w:pStyle w:val="Heading6"/>
        <w:spacing w:line="360" w:lineRule="auto"/>
        <w:jc w:val="both"/>
      </w:pPr>
      <w:bookmarkStart w:id="124" w:name="_Toc449936806"/>
      <w:r>
        <w:t>2. Bestaan naast huid</w:t>
      </w:r>
      <w:r w:rsidR="00106D6E">
        <w:t>i</w:t>
      </w:r>
      <w:r>
        <w:t>ge afstammingsregels</w:t>
      </w:r>
      <w:bookmarkEnd w:id="124"/>
    </w:p>
    <w:p w:rsidR="00384AA3" w:rsidRPr="00A33284" w:rsidRDefault="00E87D3E" w:rsidP="002970C4">
      <w:pPr>
        <w:pStyle w:val="Randnummer"/>
        <w:spacing w:line="360" w:lineRule="auto"/>
        <w:ind w:left="0" w:firstLine="0"/>
      </w:pPr>
      <w:r w:rsidRPr="00A33284">
        <w:rPr>
          <w:b/>
          <w:bCs/>
        </w:rPr>
        <w:fldChar w:fldCharType="begin"/>
      </w:r>
      <w:r w:rsidR="002970C4" w:rsidRPr="00A33284">
        <w:rPr>
          <w:b/>
          <w:bCs/>
        </w:rPr>
        <w:instrText xml:space="preserve"> AUTONUMLGL  </w:instrText>
      </w:r>
      <w:r w:rsidRPr="00A33284">
        <w:rPr>
          <w:b/>
          <w:bCs/>
        </w:rPr>
        <w:fldChar w:fldCharType="end"/>
      </w:r>
      <w:r w:rsidR="002970C4" w:rsidRPr="00A33284">
        <w:rPr>
          <w:b/>
          <w:bCs/>
        </w:rPr>
        <w:t xml:space="preserve"> </w:t>
      </w:r>
      <w:r w:rsidR="00BE0698" w:rsidRPr="00A33284">
        <w:t>Afstammingsloos gezag</w:t>
      </w:r>
      <w:r w:rsidR="007F6DF9" w:rsidRPr="00A33284">
        <w:t xml:space="preserve"> zou bestaan</w:t>
      </w:r>
      <w:r w:rsidR="00BE0698" w:rsidRPr="00A33284">
        <w:t xml:space="preserve"> naast de huidige afstammingsregels. </w:t>
      </w:r>
      <w:r w:rsidR="00A33284" w:rsidRPr="00A33284">
        <w:t>Diegene die juridisch</w:t>
      </w:r>
      <w:r w:rsidR="00533F73">
        <w:t xml:space="preserve"> ouder zijn, blijven van </w:t>
      </w:r>
      <w:r w:rsidR="00B910BC" w:rsidRPr="00A33284">
        <w:t>rechtswege ouderlijk gezag</w:t>
      </w:r>
      <w:r w:rsidR="00533F73">
        <w:t xml:space="preserve"> hebben</w:t>
      </w:r>
      <w:r w:rsidR="00B910BC" w:rsidRPr="00A33284">
        <w:t>. Afstammingsloos gezag maakt het mogelijk dat ouder</w:t>
      </w:r>
      <w:r w:rsidR="00AA1202" w:rsidRPr="00A33284">
        <w:t>l</w:t>
      </w:r>
      <w:r w:rsidR="00B910BC" w:rsidRPr="00A33284">
        <w:t xml:space="preserve">ijk gezag </w:t>
      </w:r>
      <w:r w:rsidR="00A33284">
        <w:t xml:space="preserve">ook </w:t>
      </w:r>
      <w:r w:rsidR="00B910BC" w:rsidRPr="00A33284">
        <w:t xml:space="preserve">kan toekomen aan niet-juridische ouders. </w:t>
      </w:r>
    </w:p>
    <w:p w:rsidR="007F6DF9" w:rsidRPr="00A33284" w:rsidRDefault="00BE0698" w:rsidP="002970C4">
      <w:pPr>
        <w:pStyle w:val="Randnummer"/>
        <w:spacing w:line="360" w:lineRule="auto"/>
        <w:ind w:left="0" w:firstLine="0"/>
      </w:pPr>
      <w:r w:rsidRPr="00A33284">
        <w:t xml:space="preserve">De vereiste van een overeenkomst zorgt ervoor dat de partijen kunnen kiezen of ze afstammingsloos gezag tot stand brengen. </w:t>
      </w:r>
      <w:r w:rsidR="00384AA3" w:rsidRPr="00A33284">
        <w:t xml:space="preserve">Dit is geen verplichting. </w:t>
      </w:r>
      <w:r w:rsidRPr="00A33284">
        <w:t>Indien er geen overeenkomst is, hebben alleen de juridische ouders ouderlijk gezag (tenzij er een rechterlijke beslissing is die ouderlijk gezag geeft aan de zorgouder).</w:t>
      </w:r>
    </w:p>
    <w:p w:rsidR="00BE0698" w:rsidRDefault="001D7263" w:rsidP="001D7263">
      <w:pPr>
        <w:pStyle w:val="Heading6"/>
        <w:spacing w:line="360" w:lineRule="auto"/>
        <w:jc w:val="both"/>
        <w:rPr>
          <w:rStyle w:val="Heading8Char"/>
        </w:rPr>
      </w:pPr>
      <w:bookmarkStart w:id="125" w:name="_Toc449936807"/>
      <w:r>
        <w:rPr>
          <w:rStyle w:val="Heading8Char"/>
        </w:rPr>
        <w:t>3</w:t>
      </w:r>
      <w:r w:rsidR="00AE27E0">
        <w:rPr>
          <w:rStyle w:val="Heading8Char"/>
        </w:rPr>
        <w:t>.</w:t>
      </w:r>
      <w:r w:rsidR="00192127">
        <w:rPr>
          <w:rStyle w:val="Heading8Char"/>
        </w:rPr>
        <w:t xml:space="preserve"> O</w:t>
      </w:r>
      <w:r w:rsidR="00BE0698" w:rsidRPr="00AE27E0">
        <w:rPr>
          <w:rStyle w:val="Heading8Char"/>
        </w:rPr>
        <w:t>uderlijk gezag</w:t>
      </w:r>
      <w:bookmarkEnd w:id="125"/>
    </w:p>
    <w:p w:rsidR="00BE0698" w:rsidRPr="00A33284" w:rsidRDefault="00E87D3E" w:rsidP="00384AA3">
      <w:pPr>
        <w:pStyle w:val="Randnummer"/>
        <w:spacing w:line="360" w:lineRule="auto"/>
        <w:ind w:left="0" w:firstLine="0"/>
      </w:pPr>
      <w:r w:rsidRPr="00A33284">
        <w:rPr>
          <w:b/>
          <w:bCs/>
        </w:rPr>
        <w:fldChar w:fldCharType="begin"/>
      </w:r>
      <w:r w:rsidR="00384AA3" w:rsidRPr="00A33284">
        <w:rPr>
          <w:b/>
          <w:bCs/>
        </w:rPr>
        <w:instrText xml:space="preserve"> AUTONUMLGL  </w:instrText>
      </w:r>
      <w:r w:rsidRPr="00A33284">
        <w:rPr>
          <w:b/>
          <w:bCs/>
        </w:rPr>
        <w:fldChar w:fldCharType="end"/>
      </w:r>
      <w:r w:rsidR="00384AA3" w:rsidRPr="00A33284">
        <w:rPr>
          <w:b/>
          <w:bCs/>
        </w:rPr>
        <w:t xml:space="preserve"> </w:t>
      </w:r>
      <w:r w:rsidR="00384AA3" w:rsidRPr="00A33284">
        <w:t>De juridische ouders verkrijgen, net zoals in het huidige afstammingsrecht, van rechtswege alle bevoegdheden van het ouderlijk gezag. Het is mogelijk dat de niet-juridische ouder niet evenveel opvoedende taken op zich neemt als de juridische ouder</w:t>
      </w:r>
      <w:r w:rsidR="008535B5" w:rsidRPr="00A33284">
        <w:t>s</w:t>
      </w:r>
      <w:r w:rsidR="00384AA3" w:rsidRPr="00A33284">
        <w:t xml:space="preserve">. </w:t>
      </w:r>
      <w:r w:rsidR="008535B5" w:rsidRPr="00A33284">
        <w:t>Via</w:t>
      </w:r>
      <w:r w:rsidR="00C87528" w:rsidRPr="00A33284">
        <w:t xml:space="preserve"> afspraken over </w:t>
      </w:r>
      <w:r w:rsidR="008535B5" w:rsidRPr="00A33284">
        <w:t>de verdeling en uitoefening van</w:t>
      </w:r>
      <w:r w:rsidR="00C87528" w:rsidRPr="00A33284">
        <w:t xml:space="preserve"> de bevoegdheden van het ouderlijk gezag, kunnen de bevoegdheden van de niet-juridische ouder beperkt worden. Mijn inziens</w:t>
      </w:r>
      <w:r w:rsidR="00384AA3" w:rsidRPr="00A33284">
        <w:t xml:space="preserve"> zouden </w:t>
      </w:r>
      <w:r w:rsidR="00533F73">
        <w:t xml:space="preserve">de </w:t>
      </w:r>
      <w:r w:rsidR="00384AA3" w:rsidRPr="00A33284">
        <w:t>partij</w:t>
      </w:r>
      <w:r w:rsidR="00533F73">
        <w:t>en</w:t>
      </w:r>
      <w:r w:rsidR="00384AA3" w:rsidRPr="00A33284">
        <w:t xml:space="preserve"> bij de overeenkomst die</w:t>
      </w:r>
      <w:r w:rsidR="00BE0698" w:rsidRPr="00A33284">
        <w:t xml:space="preserve"> afstammingsloos</w:t>
      </w:r>
      <w:r w:rsidR="00384AA3" w:rsidRPr="00A33284">
        <w:t xml:space="preserve"> tot stand brengt,</w:t>
      </w:r>
      <w:r w:rsidR="00BE0698" w:rsidRPr="00A33284">
        <w:t xml:space="preserve"> </w:t>
      </w:r>
      <w:r w:rsidR="00C87528" w:rsidRPr="00A33284">
        <w:t xml:space="preserve">dan ook </w:t>
      </w:r>
      <w:r w:rsidR="007F6DF9" w:rsidRPr="00A33284">
        <w:t>verplicht</w:t>
      </w:r>
      <w:r w:rsidR="00BE0698" w:rsidRPr="00A33284">
        <w:t xml:space="preserve"> afspraken </w:t>
      </w:r>
      <w:r w:rsidR="007F6DF9" w:rsidRPr="00A33284">
        <w:lastRenderedPageBreak/>
        <w:t>m</w:t>
      </w:r>
      <w:r w:rsidR="000917F0" w:rsidRPr="00A33284">
        <w:t>o</w:t>
      </w:r>
      <w:r w:rsidR="007F6DF9" w:rsidRPr="00A33284">
        <w:t xml:space="preserve">eten </w:t>
      </w:r>
      <w:r w:rsidR="00BE0698" w:rsidRPr="00A33284">
        <w:t xml:space="preserve">maken omtrent de verdeling en de uitoefening van het ouderlijk gezag. De overeenkomst </w:t>
      </w:r>
      <w:r w:rsidR="00AD6EC9" w:rsidRPr="00A33284">
        <w:t xml:space="preserve">zou </w:t>
      </w:r>
      <w:r w:rsidR="00BE0698" w:rsidRPr="00A33284">
        <w:t xml:space="preserve">a priori door de rechter </w:t>
      </w:r>
      <w:r w:rsidR="00AD6EC9" w:rsidRPr="00A33284">
        <w:t xml:space="preserve">getoetst worden </w:t>
      </w:r>
      <w:r w:rsidR="00BE0698" w:rsidRPr="00A33284">
        <w:t xml:space="preserve">aan </w:t>
      </w:r>
      <w:r w:rsidR="008535B5" w:rsidRPr="00A33284">
        <w:t>het belang van het kind</w:t>
      </w:r>
      <w:r w:rsidR="00BE0698" w:rsidRPr="00A33284">
        <w:t>. Na de toetsing</w:t>
      </w:r>
      <w:r w:rsidR="000917F0" w:rsidRPr="00A33284">
        <w:t xml:space="preserve"> zou de</w:t>
      </w:r>
      <w:r w:rsidR="00BE0698" w:rsidRPr="00A33284">
        <w:t xml:space="preserve"> overeenkomst bindende kracht</w:t>
      </w:r>
      <w:r w:rsidR="008535B5" w:rsidRPr="00A33284">
        <w:t xml:space="preserve"> </w:t>
      </w:r>
      <w:r w:rsidR="000917F0" w:rsidRPr="00A33284">
        <w:t>hebben</w:t>
      </w:r>
      <w:r w:rsidR="00BE0698" w:rsidRPr="00A33284">
        <w:t xml:space="preserve">. </w:t>
      </w:r>
    </w:p>
    <w:p w:rsidR="008535B5" w:rsidRPr="00A33284" w:rsidRDefault="00E87D3E" w:rsidP="002970C4">
      <w:pPr>
        <w:pStyle w:val="Randnummer"/>
        <w:spacing w:line="360" w:lineRule="auto"/>
        <w:ind w:left="0" w:firstLine="0"/>
      </w:pPr>
      <w:r w:rsidRPr="00A33284">
        <w:rPr>
          <w:b/>
          <w:bCs/>
        </w:rPr>
        <w:fldChar w:fldCharType="begin"/>
      </w:r>
      <w:r w:rsidR="002970C4" w:rsidRPr="00A33284">
        <w:rPr>
          <w:b/>
          <w:bCs/>
        </w:rPr>
        <w:instrText xml:space="preserve"> AUTONUMLGL  </w:instrText>
      </w:r>
      <w:r w:rsidRPr="00A33284">
        <w:rPr>
          <w:b/>
          <w:bCs/>
        </w:rPr>
        <w:fldChar w:fldCharType="end"/>
      </w:r>
      <w:r w:rsidR="00AE27E0" w:rsidRPr="00A33284">
        <w:rPr>
          <w:b/>
          <w:bCs/>
        </w:rPr>
        <w:t xml:space="preserve"> </w:t>
      </w:r>
      <w:r w:rsidR="00BE0698" w:rsidRPr="00A33284">
        <w:t>Het ouderlijk gezag van</w:t>
      </w:r>
      <w:r w:rsidR="008535B5" w:rsidRPr="00A33284">
        <w:t xml:space="preserve"> de</w:t>
      </w:r>
      <w:r w:rsidR="00BE0698" w:rsidRPr="00A33284">
        <w:t xml:space="preserve"> juridische ouders is blijvend. </w:t>
      </w:r>
      <w:r w:rsidR="00AF6C54" w:rsidRPr="00A33284">
        <w:t>Een rechter zou het ouderlijk gezag van een niet-juridische ouder moeten kunnen beëindigen.</w:t>
      </w:r>
      <w:r w:rsidR="008535B5" w:rsidRPr="00A33284">
        <w:t xml:space="preserve"> Alle perso</w:t>
      </w:r>
      <w:r w:rsidR="00BE0698" w:rsidRPr="00A33284">
        <w:t>n</w:t>
      </w:r>
      <w:r w:rsidR="008535B5" w:rsidRPr="00A33284">
        <w:t>en</w:t>
      </w:r>
      <w:r w:rsidR="00BE0698" w:rsidRPr="00A33284">
        <w:t xml:space="preserve"> die bij de overeenkom</w:t>
      </w:r>
      <w:r w:rsidR="008535B5" w:rsidRPr="00A33284">
        <w:t>s</w:t>
      </w:r>
      <w:r w:rsidR="00BE0698" w:rsidRPr="00A33284">
        <w:t>t</w:t>
      </w:r>
      <w:r w:rsidR="008535B5" w:rsidRPr="00A33284">
        <w:t xml:space="preserve"> partij zijn</w:t>
      </w:r>
      <w:r w:rsidR="000917F0" w:rsidRPr="00A33284">
        <w:t xml:space="preserve"> en het kind zelf, zou</w:t>
      </w:r>
      <w:r w:rsidR="008535B5" w:rsidRPr="00A33284">
        <w:t>den</w:t>
      </w:r>
      <w:r w:rsidR="00BE0698" w:rsidRPr="00A33284">
        <w:t xml:space="preserve"> een verzoek tot beëindiging </w:t>
      </w:r>
      <w:r w:rsidR="00AF6C54" w:rsidRPr="00A33284">
        <w:t xml:space="preserve">moeten </w:t>
      </w:r>
      <w:r w:rsidR="000917F0" w:rsidRPr="00A33284">
        <w:t>kunnen indienen bij</w:t>
      </w:r>
      <w:r w:rsidR="005E239B" w:rsidRPr="00A33284">
        <w:t xml:space="preserve"> de rechter. </w:t>
      </w:r>
      <w:r w:rsidR="008535B5" w:rsidRPr="00A33284">
        <w:t xml:space="preserve">Wanneer de niet-juridische ouder de nieuwe echtgenoot of partner van één van de juridische ouders is, zou de beëindiging van de relatie met de juridische ouder of het overlijden van de juridische ouder </w:t>
      </w:r>
      <w:r w:rsidR="00533F73">
        <w:t>niet automatisch het ouderlijk gezag</w:t>
      </w:r>
      <w:r w:rsidR="008535B5" w:rsidRPr="00A33284">
        <w:t xml:space="preserve"> beëindigen.</w:t>
      </w:r>
    </w:p>
    <w:p w:rsidR="000C0BD2" w:rsidRPr="002B4EF8" w:rsidRDefault="008E7112" w:rsidP="001D7263">
      <w:pPr>
        <w:pStyle w:val="Heading4"/>
        <w:spacing w:line="360" w:lineRule="auto"/>
        <w:jc w:val="both"/>
      </w:pPr>
      <w:bookmarkStart w:id="126" w:name="_Toc449936808"/>
      <w:r>
        <w:t>§4</w:t>
      </w:r>
      <w:r w:rsidR="0038051D">
        <w:t xml:space="preserve">. </w:t>
      </w:r>
      <w:r w:rsidR="000C0BD2">
        <w:t>Meerouderschap vs. afstammingsloos gezag</w:t>
      </w:r>
      <w:bookmarkEnd w:id="126"/>
    </w:p>
    <w:p w:rsidR="000C0BD2" w:rsidRPr="009C6927" w:rsidRDefault="00E87D3E" w:rsidP="002970C4">
      <w:pPr>
        <w:pStyle w:val="Randnummer"/>
        <w:spacing w:line="360" w:lineRule="auto"/>
        <w:ind w:left="0" w:firstLine="0"/>
      </w:pPr>
      <w:r w:rsidRPr="009C6927">
        <w:rPr>
          <w:b/>
          <w:bCs/>
        </w:rPr>
        <w:fldChar w:fldCharType="begin"/>
      </w:r>
      <w:r w:rsidR="002970C4" w:rsidRPr="009C6927">
        <w:rPr>
          <w:b/>
          <w:bCs/>
        </w:rPr>
        <w:instrText xml:space="preserve"> AUTONUMLGL  </w:instrText>
      </w:r>
      <w:r w:rsidRPr="009C6927">
        <w:rPr>
          <w:b/>
          <w:bCs/>
        </w:rPr>
        <w:fldChar w:fldCharType="end"/>
      </w:r>
      <w:r w:rsidR="002970C4" w:rsidRPr="009C6927">
        <w:rPr>
          <w:b/>
          <w:bCs/>
        </w:rPr>
        <w:t xml:space="preserve"> </w:t>
      </w:r>
      <w:r w:rsidR="008535B5" w:rsidRPr="009C6927">
        <w:t>In wat volgt geef ik aan welk</w:t>
      </w:r>
      <w:r w:rsidR="000C0BD2" w:rsidRPr="009C6927">
        <w:t xml:space="preserve"> van de twee mogelijke oplossingen mi</w:t>
      </w:r>
      <w:r w:rsidR="008535B5" w:rsidRPr="009C6927">
        <w:t>jn persoonlijke voorkeur geniet. Dit wordt onderbouwd met persoonlijke argumenten.</w:t>
      </w:r>
    </w:p>
    <w:p w:rsidR="000C0BD2" w:rsidRPr="009C6927" w:rsidRDefault="00E87D3E" w:rsidP="002970C4">
      <w:pPr>
        <w:pStyle w:val="Randnummer"/>
        <w:spacing w:line="360" w:lineRule="auto"/>
        <w:ind w:left="0" w:firstLine="0"/>
      </w:pPr>
      <w:r w:rsidRPr="009C6927">
        <w:rPr>
          <w:b/>
          <w:bCs/>
        </w:rPr>
        <w:fldChar w:fldCharType="begin"/>
      </w:r>
      <w:r w:rsidR="002970C4" w:rsidRPr="009C6927">
        <w:rPr>
          <w:b/>
          <w:bCs/>
        </w:rPr>
        <w:instrText xml:space="preserve"> AUTONUMLGL  </w:instrText>
      </w:r>
      <w:r w:rsidRPr="009C6927">
        <w:rPr>
          <w:b/>
          <w:bCs/>
        </w:rPr>
        <w:fldChar w:fldCharType="end"/>
      </w:r>
      <w:r w:rsidR="002970C4" w:rsidRPr="009C6927">
        <w:rPr>
          <w:b/>
          <w:bCs/>
        </w:rPr>
        <w:t xml:space="preserve"> </w:t>
      </w:r>
      <w:r w:rsidR="000C0BD2" w:rsidRPr="009C6927">
        <w:t>Mijn voorkeur gaat uit naar de invoering van afstammingsloos gezag. De invoering van afstammingsloos gezag is mijn inziens minder ingrijpend dan d</w:t>
      </w:r>
      <w:r w:rsidR="008535B5" w:rsidRPr="009C6927">
        <w:t>e invoering van meerouderschap. H</w:t>
      </w:r>
      <w:r w:rsidR="000C0BD2" w:rsidRPr="009C6927">
        <w:t xml:space="preserve">et </w:t>
      </w:r>
      <w:r w:rsidR="008535B5" w:rsidRPr="009C6927">
        <w:t xml:space="preserve">maximum van twee juridische ouders blijft behouden. </w:t>
      </w:r>
      <w:r w:rsidR="000C0BD2" w:rsidRPr="009C6927">
        <w:t>Doordat het maximum van twee juridische ouders behouden blijft, wordt dit misschien makkelijker aanvaard door de publieke opinie. Mijn inziens bestaat de kans dat een uitbreiding van het aantal juridische ouders voor leken in het familierecht moeilijk aanvaardbaar is.</w:t>
      </w:r>
    </w:p>
    <w:p w:rsidR="000C0BD2" w:rsidRPr="009C6927" w:rsidRDefault="00E87D3E" w:rsidP="002970C4">
      <w:pPr>
        <w:pStyle w:val="Randnummer"/>
        <w:spacing w:line="360" w:lineRule="auto"/>
        <w:ind w:left="0" w:firstLine="0"/>
      </w:pPr>
      <w:r w:rsidRPr="009C6927">
        <w:rPr>
          <w:b/>
          <w:bCs/>
        </w:rPr>
        <w:fldChar w:fldCharType="begin"/>
      </w:r>
      <w:r w:rsidR="002970C4" w:rsidRPr="009C6927">
        <w:rPr>
          <w:b/>
          <w:bCs/>
        </w:rPr>
        <w:instrText xml:space="preserve"> AUTONUMLGL  </w:instrText>
      </w:r>
      <w:r w:rsidRPr="009C6927">
        <w:rPr>
          <w:b/>
          <w:bCs/>
        </w:rPr>
        <w:fldChar w:fldCharType="end"/>
      </w:r>
      <w:r w:rsidR="002970C4" w:rsidRPr="009C6927">
        <w:rPr>
          <w:b/>
          <w:bCs/>
        </w:rPr>
        <w:t xml:space="preserve"> </w:t>
      </w:r>
      <w:r w:rsidR="00A33284" w:rsidRPr="009C6927">
        <w:t>Afstammingsloos gezag heeft als voordeel dat</w:t>
      </w:r>
      <w:r w:rsidR="000C0BD2" w:rsidRPr="009C6927">
        <w:t xml:space="preserve"> het toepasbaar </w:t>
      </w:r>
      <w:r w:rsidR="00D6747C">
        <w:t>is voor</w:t>
      </w:r>
      <w:r w:rsidR="000C0BD2" w:rsidRPr="009C6927">
        <w:t xml:space="preserve"> zowel intentionele als niet-intentionele meeroudergezinnen, daar waar meerouderschap alleen mogelijk is voor intentionele meer</w:t>
      </w:r>
      <w:r w:rsidR="00995C7F" w:rsidRPr="009C6927">
        <w:t xml:space="preserve">oudergezinnen. </w:t>
      </w:r>
      <w:r w:rsidR="005E239B" w:rsidRPr="009C6927">
        <w:t>Meerouderschap biedt geen oplossing voor niet-intentionele meeroudergezinnen.</w:t>
      </w:r>
    </w:p>
    <w:p w:rsidR="000C0BD2" w:rsidRPr="009C6927" w:rsidRDefault="00E87D3E" w:rsidP="002970C4">
      <w:pPr>
        <w:pStyle w:val="Randnummer"/>
        <w:spacing w:line="360" w:lineRule="auto"/>
        <w:ind w:left="0" w:firstLine="0"/>
      </w:pPr>
      <w:r w:rsidRPr="009C6927">
        <w:rPr>
          <w:b/>
          <w:bCs/>
        </w:rPr>
        <w:fldChar w:fldCharType="begin"/>
      </w:r>
      <w:r w:rsidR="002970C4" w:rsidRPr="009C6927">
        <w:rPr>
          <w:b/>
          <w:bCs/>
        </w:rPr>
        <w:instrText xml:space="preserve"> AUTONUMLGL  </w:instrText>
      </w:r>
      <w:r w:rsidRPr="009C6927">
        <w:rPr>
          <w:b/>
          <w:bCs/>
        </w:rPr>
        <w:fldChar w:fldCharType="end"/>
      </w:r>
      <w:r w:rsidR="002970C4" w:rsidRPr="009C6927">
        <w:rPr>
          <w:b/>
          <w:bCs/>
        </w:rPr>
        <w:t xml:space="preserve"> </w:t>
      </w:r>
      <w:r w:rsidR="000C0BD2" w:rsidRPr="009C6927">
        <w:t xml:space="preserve">Een volgend voordeel </w:t>
      </w:r>
      <w:r w:rsidR="005E239B" w:rsidRPr="009C6927">
        <w:t>is de mogelijkheid tot beëindiging van</w:t>
      </w:r>
      <w:r w:rsidR="000C0BD2" w:rsidRPr="009C6927">
        <w:t xml:space="preserve"> afstammingsloos gezag. Indien de toekenning van het ouderlijk gezag aan een niet-juridische ouder niet langer in het belang van het kind is, kunnen zowel het kind als de partijen bij de overeenkomst naar de rechter gaan om het afstammingsloos gezag te laten beëindigen. </w:t>
      </w:r>
    </w:p>
    <w:p w:rsidR="00437F8B" w:rsidRPr="009C6927" w:rsidRDefault="00E87D3E" w:rsidP="00723161">
      <w:pPr>
        <w:pStyle w:val="Randnummer"/>
        <w:spacing w:line="360" w:lineRule="auto"/>
        <w:ind w:left="0" w:firstLine="0"/>
      </w:pPr>
      <w:r w:rsidRPr="009C6927">
        <w:rPr>
          <w:b/>
          <w:bCs/>
        </w:rPr>
        <w:fldChar w:fldCharType="begin"/>
      </w:r>
      <w:r w:rsidR="002970C4" w:rsidRPr="009C6927">
        <w:rPr>
          <w:b/>
          <w:bCs/>
        </w:rPr>
        <w:instrText xml:space="preserve"> AUTONUMLGL  </w:instrText>
      </w:r>
      <w:r w:rsidRPr="009C6927">
        <w:rPr>
          <w:b/>
          <w:bCs/>
        </w:rPr>
        <w:fldChar w:fldCharType="end"/>
      </w:r>
      <w:r w:rsidR="002970C4" w:rsidRPr="009C6927">
        <w:rPr>
          <w:b/>
          <w:bCs/>
        </w:rPr>
        <w:t xml:space="preserve"> </w:t>
      </w:r>
      <w:r w:rsidR="005E239B" w:rsidRPr="009C6927">
        <w:t>Ten slotte zijn de gevolgen van afstammingsloos gezag minder verregaand. De niet-juridische ouder verkrijgt bevoegdheden van het ouderlijk gezag, zonder dat er een afstammingsband to</w:t>
      </w:r>
      <w:r w:rsidR="00723161" w:rsidRPr="009C6927">
        <w:t>t</w:t>
      </w:r>
      <w:r w:rsidR="005E239B" w:rsidRPr="009C6927">
        <w:t xml:space="preserve"> stand komt. </w:t>
      </w:r>
      <w:r w:rsidR="000C0BD2" w:rsidRPr="009C6927">
        <w:t>De gevolgen van meerouderschap gaan</w:t>
      </w:r>
      <w:r w:rsidR="008535B5" w:rsidRPr="009C6927">
        <w:t xml:space="preserve"> daarentegen</w:t>
      </w:r>
      <w:r w:rsidR="000C0BD2" w:rsidRPr="009C6927">
        <w:t xml:space="preserve"> verder dan alleen de verwerving van oud</w:t>
      </w:r>
      <w:r w:rsidR="00723161" w:rsidRPr="009C6927">
        <w:t>erlijk gezag, men wordt</w:t>
      </w:r>
      <w:r w:rsidR="000C0BD2" w:rsidRPr="009C6927">
        <w:t xml:space="preserve"> volwaardig juridisch ouder. Men is </w:t>
      </w:r>
      <w:r w:rsidR="000C0BD2" w:rsidRPr="009C6927">
        <w:lastRenderedPageBreak/>
        <w:t>volwaardig juridisch ouder met alle gevolgen van het juridische ouderschap</w:t>
      </w:r>
      <w:r w:rsidR="00AD6EC9" w:rsidRPr="009C6927">
        <w:t>, zoals het erfrecht en de naams</w:t>
      </w:r>
      <w:r w:rsidR="000C0BD2" w:rsidRPr="009C6927">
        <w:t xml:space="preserve">overdracht. Indien de donor slechts een beperkte rol speelt in de opvoeding van het kind, kunnen deze gevolgen verder gaan dan datgene wat men eigenlijk wil. </w:t>
      </w:r>
    </w:p>
    <w:p w:rsidR="001D1B74" w:rsidRDefault="00437F8B" w:rsidP="00437F8B">
      <w:pPr>
        <w:jc w:val="left"/>
      </w:pPr>
      <w:r>
        <w:br w:type="page"/>
      </w:r>
    </w:p>
    <w:p w:rsidR="000C0BD2" w:rsidRPr="001B30D1" w:rsidRDefault="000C0BD2" w:rsidP="001D7263">
      <w:pPr>
        <w:pStyle w:val="Heading1"/>
        <w:spacing w:line="360" w:lineRule="auto"/>
        <w:jc w:val="both"/>
      </w:pPr>
      <w:bookmarkStart w:id="127" w:name="_Toc449936809"/>
      <w:r>
        <w:lastRenderedPageBreak/>
        <w:t>B</w:t>
      </w:r>
      <w:r w:rsidRPr="00B114B0">
        <w:t>esluit</w:t>
      </w:r>
      <w:bookmarkEnd w:id="127"/>
    </w:p>
    <w:p w:rsidR="000C0BD2" w:rsidRDefault="00E87D3E" w:rsidP="002970C4">
      <w:pPr>
        <w:pStyle w:val="Randnummer"/>
        <w:spacing w:line="360" w:lineRule="auto"/>
        <w:ind w:left="0" w:firstLine="0"/>
      </w:pPr>
      <w:r w:rsidRPr="004B0040">
        <w:rPr>
          <w:rFonts w:asciiTheme="majorHAnsi" w:hAnsiTheme="majorHAnsi"/>
          <w:b/>
          <w:bCs/>
        </w:rPr>
        <w:fldChar w:fldCharType="begin"/>
      </w:r>
      <w:r w:rsidR="002970C4" w:rsidRPr="004B0040">
        <w:rPr>
          <w:rFonts w:asciiTheme="majorHAnsi" w:hAnsiTheme="majorHAnsi"/>
          <w:b/>
          <w:bCs/>
        </w:rPr>
        <w:instrText xml:space="preserve"> AUTONUMLGL  </w:instrText>
      </w:r>
      <w:r w:rsidRPr="004B0040">
        <w:rPr>
          <w:rFonts w:asciiTheme="majorHAnsi" w:hAnsiTheme="majorHAnsi"/>
          <w:b/>
          <w:bCs/>
        </w:rPr>
        <w:fldChar w:fldCharType="end"/>
      </w:r>
      <w:r w:rsidR="002970C4">
        <w:rPr>
          <w:rFonts w:asciiTheme="majorHAnsi" w:hAnsiTheme="majorHAnsi"/>
          <w:b/>
          <w:bCs/>
        </w:rPr>
        <w:t xml:space="preserve"> </w:t>
      </w:r>
      <w:r w:rsidR="000C0BD2">
        <w:t xml:space="preserve">Het afstammingsrecht heeft de laatste jaren belangrijke veranderingen ondergaan. </w:t>
      </w:r>
      <w:r w:rsidR="000C0BD2" w:rsidRPr="00D31A25">
        <w:t>De medisc</w:t>
      </w:r>
      <w:r w:rsidR="001F5966">
        <w:t>he vooruitgang heeft geleid tot</w:t>
      </w:r>
      <w:r w:rsidR="000C0BD2" w:rsidRPr="00D31A25">
        <w:t xml:space="preserve"> een gemoderniseerd afstammingsrecht. Het uitgangspunt dat de afstamming de biolog</w:t>
      </w:r>
      <w:r w:rsidR="00AD6EC9">
        <w:t>ische werkelijkheid weerspiegelt, vormt nog steeds de basis,</w:t>
      </w:r>
      <w:r w:rsidR="000C0BD2" w:rsidRPr="00D31A25">
        <w:t xml:space="preserve"> maar er is oo</w:t>
      </w:r>
      <w:r w:rsidR="000C0BD2">
        <w:t>k ruimte voor andere grondslagen. Zo vormen ook de sociale werkelijk</w:t>
      </w:r>
      <w:r w:rsidR="001D1B74">
        <w:t>h</w:t>
      </w:r>
      <w:r w:rsidR="000C0BD2">
        <w:t>eid en de intentie een grondsl</w:t>
      </w:r>
      <w:r w:rsidR="001F5966">
        <w:t xml:space="preserve">ag voor de afstammingsband. Bovendien </w:t>
      </w:r>
      <w:r w:rsidR="000C0BD2">
        <w:t xml:space="preserve">is </w:t>
      </w:r>
      <w:r w:rsidR="001F5966">
        <w:t xml:space="preserve">het </w:t>
      </w:r>
      <w:r w:rsidR="000C0BD2">
        <w:t>niet meer vereist dat de twee juridische oud</w:t>
      </w:r>
      <w:r w:rsidR="001F5966">
        <w:t>ers van een ander geslacht zijn: een kind kan</w:t>
      </w:r>
      <w:r w:rsidR="00013CF8">
        <w:t xml:space="preserve"> bijvoorbeeld</w:t>
      </w:r>
      <w:r w:rsidR="000C0BD2">
        <w:t xml:space="preserve"> twee moeders hebben als juridi</w:t>
      </w:r>
      <w:r w:rsidR="0051560F">
        <w:t>s</w:t>
      </w:r>
      <w:r w:rsidR="000C0BD2">
        <w:t>che ouders.</w:t>
      </w:r>
    </w:p>
    <w:p w:rsidR="0072798B" w:rsidRDefault="00E87D3E" w:rsidP="002970C4">
      <w:pPr>
        <w:pStyle w:val="Randnummer"/>
        <w:spacing w:line="360" w:lineRule="auto"/>
        <w:ind w:left="0" w:firstLine="0"/>
      </w:pPr>
      <w:r w:rsidRPr="004B0040">
        <w:rPr>
          <w:rFonts w:asciiTheme="majorHAnsi" w:hAnsiTheme="majorHAnsi"/>
          <w:b/>
          <w:bCs/>
        </w:rPr>
        <w:fldChar w:fldCharType="begin"/>
      </w:r>
      <w:r w:rsidR="002970C4" w:rsidRPr="004B0040">
        <w:rPr>
          <w:rFonts w:asciiTheme="majorHAnsi" w:hAnsiTheme="majorHAnsi"/>
          <w:b/>
          <w:bCs/>
        </w:rPr>
        <w:instrText xml:space="preserve"> AUTONUMLGL  </w:instrText>
      </w:r>
      <w:r w:rsidRPr="004B0040">
        <w:rPr>
          <w:rFonts w:asciiTheme="majorHAnsi" w:hAnsiTheme="majorHAnsi"/>
          <w:b/>
          <w:bCs/>
        </w:rPr>
        <w:fldChar w:fldCharType="end"/>
      </w:r>
      <w:r w:rsidR="00057B87">
        <w:t xml:space="preserve"> Toch blijft de wetgever op andere gebieden in gebrek</w:t>
      </w:r>
      <w:r w:rsidR="000C0BD2">
        <w:t>e</w:t>
      </w:r>
      <w:r w:rsidR="00057B87">
        <w:t>. Nieuwe maatschappelijke waarden en normen en</w:t>
      </w:r>
      <w:r w:rsidR="00723161">
        <w:t xml:space="preserve"> medische vooruitgang</w:t>
      </w:r>
      <w:r w:rsidR="00057B87">
        <w:t xml:space="preserve"> </w:t>
      </w:r>
      <w:r w:rsidR="000C0BD2">
        <w:t>hebben</w:t>
      </w:r>
      <w:r w:rsidR="000D6619">
        <w:t xml:space="preserve"> geleid tot nieuwe gezinsvormen. Deze nieuwe gezinsvormen zijn vaak meeroudergezinnen, waar</w:t>
      </w:r>
      <w:r w:rsidR="000C0BD2">
        <w:t xml:space="preserve"> meerdere personen instaan voor de opvoeding van een kind. Het uitgangspunt blijft echter dat een kind maximaal twee juridische ouders kan he</w:t>
      </w:r>
      <w:r w:rsidR="009C6927">
        <w:t>bben. Dit heeft tot gevolg dat alleen deze twee juridische ouders</w:t>
      </w:r>
      <w:r w:rsidR="000C0BD2">
        <w:t xml:space="preserve"> ouderlijk gezag hebben, aangezien het ouderlijk gezag een gevolg is </w:t>
      </w:r>
      <w:r w:rsidR="000D6619">
        <w:t xml:space="preserve">van de afstammingsband. Tussen </w:t>
      </w:r>
      <w:r w:rsidR="000C0BD2">
        <w:t>niet-juridische ouder</w:t>
      </w:r>
      <w:r w:rsidR="000D6619">
        <w:t xml:space="preserve">s en </w:t>
      </w:r>
      <w:r w:rsidR="000C0BD2">
        <w:t>kind</w:t>
      </w:r>
      <w:r w:rsidR="000D6619">
        <w:t>eren</w:t>
      </w:r>
      <w:r w:rsidR="000C0BD2">
        <w:t xml:space="preserve"> ontstaan feitelijke gezagsrelaties die niet wettelijk erkend worden.</w:t>
      </w:r>
      <w:r w:rsidR="001F5966">
        <w:t xml:space="preserve"> Er bestaan in de huidige wetgeving lacunes m.b.t. de bescherming van de feitelijke gezagsrelaties. </w:t>
      </w:r>
    </w:p>
    <w:p w:rsidR="000D6619" w:rsidRDefault="00057B87" w:rsidP="002970C4">
      <w:pPr>
        <w:pStyle w:val="Randnummer"/>
        <w:spacing w:line="360" w:lineRule="auto"/>
        <w:ind w:left="0" w:firstLine="0"/>
      </w:pPr>
      <w:r>
        <w:t>Dit gebrek aan wettelijke bes</w:t>
      </w:r>
      <w:r w:rsidR="0072798B">
        <w:t>cherming zorgt voor problemen in meeroudergezinnen. Het is bijvoorbeeld mogelijk dat de</w:t>
      </w:r>
      <w:r>
        <w:t xml:space="preserve"> stiefoud</w:t>
      </w:r>
      <w:r w:rsidR="0051560F">
        <w:t>er</w:t>
      </w:r>
      <w:r w:rsidR="005B2434">
        <w:t>, die het kind al jaren opvoedt,</w:t>
      </w:r>
      <w:r w:rsidR="0051560F">
        <w:t xml:space="preserve"> het kind niet verder kan opv</w:t>
      </w:r>
      <w:r>
        <w:t>o</w:t>
      </w:r>
      <w:r w:rsidR="0051560F">
        <w:t>e</w:t>
      </w:r>
      <w:r>
        <w:t>den bij overlij</w:t>
      </w:r>
      <w:r w:rsidR="0051560F">
        <w:t>den van de juridische ouder</w:t>
      </w:r>
      <w:r w:rsidR="0072798B">
        <w:t xml:space="preserve"> aangezien hij geen titularis is van de bevoegdheden van het ouderlijk gezag.</w:t>
      </w:r>
    </w:p>
    <w:p w:rsidR="000C0BD2" w:rsidRDefault="00E87D3E" w:rsidP="002970C4">
      <w:pPr>
        <w:pStyle w:val="Randnummer"/>
        <w:spacing w:line="360" w:lineRule="auto"/>
        <w:ind w:left="0" w:firstLine="0"/>
      </w:pPr>
      <w:r w:rsidRPr="004B0040">
        <w:rPr>
          <w:rFonts w:asciiTheme="majorHAnsi" w:hAnsiTheme="majorHAnsi"/>
          <w:b/>
          <w:bCs/>
        </w:rPr>
        <w:fldChar w:fldCharType="begin"/>
      </w:r>
      <w:r w:rsidR="002970C4" w:rsidRPr="004B0040">
        <w:rPr>
          <w:rFonts w:asciiTheme="majorHAnsi" w:hAnsiTheme="majorHAnsi"/>
          <w:b/>
          <w:bCs/>
        </w:rPr>
        <w:instrText xml:space="preserve"> AUTONUMLGL  </w:instrText>
      </w:r>
      <w:r w:rsidRPr="004B0040">
        <w:rPr>
          <w:rFonts w:asciiTheme="majorHAnsi" w:hAnsiTheme="majorHAnsi"/>
          <w:b/>
          <w:bCs/>
        </w:rPr>
        <w:fldChar w:fldCharType="end"/>
      </w:r>
      <w:r w:rsidR="002970C4">
        <w:rPr>
          <w:rFonts w:asciiTheme="majorHAnsi" w:hAnsiTheme="majorHAnsi"/>
          <w:b/>
          <w:bCs/>
        </w:rPr>
        <w:t xml:space="preserve"> </w:t>
      </w:r>
      <w:r w:rsidR="000C0BD2">
        <w:t>De wetgever kan het bestaan van deze meeroudergezinnen niet langer ontk</w:t>
      </w:r>
      <w:r w:rsidR="00013CF8">
        <w:t>ennen. Het is tijd dat de wetgeving</w:t>
      </w:r>
      <w:r w:rsidR="000C0BD2">
        <w:t xml:space="preserve"> wordt aangepast aan de maatschappelijke real</w:t>
      </w:r>
      <w:r w:rsidR="00972383">
        <w:t>i</w:t>
      </w:r>
      <w:r w:rsidR="000C0BD2">
        <w:t xml:space="preserve">teit. Stellen dat een kind maximaal twee juridische ouders kan hebben en de </w:t>
      </w:r>
      <w:r w:rsidR="00972383">
        <w:t xml:space="preserve">onlosmakelijke band tussen ouderlijk gezag en </w:t>
      </w:r>
      <w:r w:rsidR="000C0BD2">
        <w:t>afstamming</w:t>
      </w:r>
      <w:r w:rsidR="000D6619">
        <w:t xml:space="preserve"> behouden</w:t>
      </w:r>
      <w:r w:rsidR="000C0BD2">
        <w:t xml:space="preserve">, is in deze moderne en vrije maatschappij mijn inziens achterhaald. </w:t>
      </w:r>
      <w:r w:rsidR="000D6619">
        <w:t>Dit besef is aanwezig bij zowel de wetgevende als de rechtsprekende instanties. Oo</w:t>
      </w:r>
      <w:r w:rsidR="00D6747C">
        <w:t>k m</w:t>
      </w:r>
      <w:r w:rsidR="00654673">
        <w:t>inister van Justitie Koen GEENS</w:t>
      </w:r>
      <w:r w:rsidR="000D6619">
        <w:t xml:space="preserve">, heeft reeds te kennen gegeven dat de wetgeving deze nieuwe gezinsvormen moet omkaderen. </w:t>
      </w:r>
    </w:p>
    <w:p w:rsidR="001F5966" w:rsidRDefault="00E87D3E" w:rsidP="002970C4">
      <w:pPr>
        <w:pStyle w:val="Randnummer"/>
        <w:spacing w:line="360" w:lineRule="auto"/>
        <w:ind w:left="0" w:firstLine="0"/>
      </w:pPr>
      <w:r w:rsidRPr="004B0040">
        <w:rPr>
          <w:rFonts w:asciiTheme="majorHAnsi" w:hAnsiTheme="majorHAnsi"/>
          <w:b/>
          <w:bCs/>
        </w:rPr>
        <w:fldChar w:fldCharType="begin"/>
      </w:r>
      <w:r w:rsidR="002970C4" w:rsidRPr="004B0040">
        <w:rPr>
          <w:rFonts w:asciiTheme="majorHAnsi" w:hAnsiTheme="majorHAnsi"/>
          <w:b/>
          <w:bCs/>
        </w:rPr>
        <w:instrText xml:space="preserve"> AUTONUMLGL  </w:instrText>
      </w:r>
      <w:r w:rsidRPr="004B0040">
        <w:rPr>
          <w:rFonts w:asciiTheme="majorHAnsi" w:hAnsiTheme="majorHAnsi"/>
          <w:b/>
          <w:bCs/>
        </w:rPr>
        <w:fldChar w:fldCharType="end"/>
      </w:r>
      <w:r w:rsidR="002970C4">
        <w:rPr>
          <w:rFonts w:asciiTheme="majorHAnsi" w:hAnsiTheme="majorHAnsi"/>
          <w:b/>
          <w:bCs/>
        </w:rPr>
        <w:t xml:space="preserve"> </w:t>
      </w:r>
      <w:r w:rsidR="001F5966">
        <w:t xml:space="preserve">Uit deze masterproef blijkt dat zowel meerouderschap als afstammingsloos gezag mogelijke oplossingen zijn om de feitelijke gezagsrelaties te beschermen. De invoering van </w:t>
      </w:r>
      <w:r w:rsidR="001F5966">
        <w:lastRenderedPageBreak/>
        <w:t xml:space="preserve">meerouderschap maakt het mogelijk dat een kind meerdere juridische ouders kan hebben, die allemaal </w:t>
      </w:r>
      <w:r w:rsidR="005B2434">
        <w:t>titularis zijn van de bevoegdheden van het ouderlijk gezag</w:t>
      </w:r>
      <w:r w:rsidR="001F5966">
        <w:t>. De invoering van afstammingsloos gezag maakt het mogelijk om aan niet-juridische ouders die het kind mee opvoeden, bevoegdheden van het ouderlijk gezag te geven. Het ouderlijk gezag wordt losgekoppeld van de afstamming.</w:t>
      </w:r>
    </w:p>
    <w:p w:rsidR="005B2434" w:rsidRDefault="005B2434" w:rsidP="002970C4">
      <w:pPr>
        <w:pStyle w:val="Randnummer"/>
        <w:spacing w:line="360" w:lineRule="auto"/>
        <w:ind w:left="0" w:firstLine="0"/>
      </w:pPr>
      <w:r>
        <w:t xml:space="preserve">Mijn inziens verdient afstammingsloos gezag de voorkeur. Dit laat toe om bescherming te bieden aan zowel intentionele als niet-intentionele meeroudergezinnen. Bovendien kan de rechter het afstammingsloos gezag beëindigen indien het niet langer </w:t>
      </w:r>
      <w:r w:rsidR="00CB2B49">
        <w:t>in het belang van het kind is.</w:t>
      </w:r>
      <w:r>
        <w:t>Ten slotte zijn de gevolgen van afstammingsloos gezag minder verregaand dan de gevolgen van meerouderschap. De niet-juridische ouder verwerft enkel bevoegdheden van het ouderlijk gezag, zonder dat een volwaardige afstammingsband tot stand komt.</w:t>
      </w:r>
    </w:p>
    <w:p w:rsidR="000C0BD2" w:rsidRDefault="000C0BD2" w:rsidP="002970C4">
      <w:pPr>
        <w:pStyle w:val="Randnummer"/>
        <w:spacing w:line="360" w:lineRule="auto"/>
        <w:ind w:left="0" w:firstLine="0"/>
      </w:pPr>
      <w:r>
        <w:t xml:space="preserve">De organisatie van meerouderschap dan wel afstammingsloos gezag is mijn inziens bijzonder moeilijk. Zoals reeds vermeld, is een wetgevend initiatief noodzakelijk om de feitelijke gezagsrelaties juridisch te beschermen, maar waar </w:t>
      </w:r>
      <w:r w:rsidR="00CB2B49">
        <w:t>ligt</w:t>
      </w:r>
      <w:r>
        <w:t xml:space="preserve"> de grens? Indien meerouderschap wordt ingevoerd, is de vraag hoe</w:t>
      </w:r>
      <w:r w:rsidR="00723161">
        <w:t>veel juridische ouders er maximum</w:t>
      </w:r>
      <w:r>
        <w:t xml:space="preserve"> kunnen zijn. Bij afstammingsloos gezag is de vraag hoeveel personen bevoegdheden van het ouderlijk gezag kunnen hebben. In het belan</w:t>
      </w:r>
      <w:r w:rsidR="001F5966">
        <w:t xml:space="preserve">g van de rechtszekerheid en om verwarring </w:t>
      </w:r>
      <w:r>
        <w:t>te vermijden, is het noodzakelijk dat er een maximum aantal wordt bepaald. Het stellen van een maximum kan er echter toe leiden dat er nog steed</w:t>
      </w:r>
      <w:r w:rsidR="001D1B74">
        <w:t>s feitelijke gezagsrelaties bestaan</w:t>
      </w:r>
      <w:r>
        <w:t xml:space="preserve"> die niet wettelijke beschermd worden.</w:t>
      </w:r>
    </w:p>
    <w:p w:rsidR="000C0BD2" w:rsidRPr="00D31A25" w:rsidRDefault="00E87D3E" w:rsidP="002970C4">
      <w:pPr>
        <w:pStyle w:val="Randnummer"/>
        <w:spacing w:line="360" w:lineRule="auto"/>
        <w:ind w:left="0" w:firstLine="0"/>
      </w:pPr>
      <w:r w:rsidRPr="004B0040">
        <w:rPr>
          <w:rFonts w:asciiTheme="majorHAnsi" w:hAnsiTheme="majorHAnsi"/>
          <w:b/>
          <w:bCs/>
        </w:rPr>
        <w:fldChar w:fldCharType="begin"/>
      </w:r>
      <w:r w:rsidR="002970C4" w:rsidRPr="004B0040">
        <w:rPr>
          <w:rFonts w:asciiTheme="majorHAnsi" w:hAnsiTheme="majorHAnsi"/>
          <w:b/>
          <w:bCs/>
        </w:rPr>
        <w:instrText xml:space="preserve"> AUTONUMLGL  </w:instrText>
      </w:r>
      <w:r w:rsidRPr="004B0040">
        <w:rPr>
          <w:rFonts w:asciiTheme="majorHAnsi" w:hAnsiTheme="majorHAnsi"/>
          <w:b/>
          <w:bCs/>
        </w:rPr>
        <w:fldChar w:fldCharType="end"/>
      </w:r>
      <w:r w:rsidR="002970C4">
        <w:rPr>
          <w:rFonts w:asciiTheme="majorHAnsi" w:hAnsiTheme="majorHAnsi"/>
          <w:b/>
          <w:bCs/>
        </w:rPr>
        <w:t xml:space="preserve"> </w:t>
      </w:r>
      <w:r w:rsidR="00654673">
        <w:t>Uit deze masterproef kan</w:t>
      </w:r>
      <w:r w:rsidR="000D6619">
        <w:t xml:space="preserve"> gecon</w:t>
      </w:r>
      <w:r w:rsidR="001F5966">
        <w:t>cludeerd wor</w:t>
      </w:r>
      <w:r w:rsidR="009C6927">
        <w:t>den dat de wetgever tegemoet dien</w:t>
      </w:r>
      <w:r w:rsidR="001F5966">
        <w:t xml:space="preserve">t </w:t>
      </w:r>
      <w:r w:rsidR="009C6927">
        <w:t xml:space="preserve">te </w:t>
      </w:r>
      <w:r w:rsidR="001F5966">
        <w:t>komen aan de maatschappelijke veranderingen en de feitelijke gezagsrelaties juridisch dient te beschermen.</w:t>
      </w:r>
      <w:r w:rsidR="00654673">
        <w:t xml:space="preserve"> </w:t>
      </w:r>
      <w:r w:rsidR="005B2434">
        <w:t xml:space="preserve">Meerouderschap en afstammingsloos gezag zijn mogelijke manieren om deze feitelijke gezagsrelaties juridisch te beschermen. Het is aan de wetgever om te bepalen op welke manier hij de meeroudergezinnen </w:t>
      </w:r>
      <w:r w:rsidR="00A425AD">
        <w:t>een wettelijke omkadering</w:t>
      </w:r>
      <w:r w:rsidR="005B2434">
        <w:t xml:space="preserve"> geeft. Gelet op de moeilijkheid van deze problematiek, kijk ik vol verwachting uit naar de keuze van de wetgever.</w:t>
      </w:r>
    </w:p>
    <w:p w:rsidR="000C0BD2" w:rsidRDefault="000C0BD2" w:rsidP="00D31A25">
      <w:pPr>
        <w:pStyle w:val="Randnummer"/>
        <w:ind w:left="0" w:firstLine="0"/>
        <w:jc w:val="left"/>
      </w:pPr>
    </w:p>
    <w:p w:rsidR="000C0BD2" w:rsidRPr="00B114B0" w:rsidRDefault="000C0BD2" w:rsidP="00B85E1E">
      <w:pPr>
        <w:rPr>
          <w:b/>
          <w:bCs/>
          <w:sz w:val="22"/>
          <w:szCs w:val="22"/>
          <w:u w:val="single"/>
        </w:rPr>
      </w:pPr>
    </w:p>
    <w:p w:rsidR="000C0BD2" w:rsidRPr="00B114B0" w:rsidRDefault="000C0BD2" w:rsidP="00B85E1E">
      <w:pPr>
        <w:rPr>
          <w:b/>
          <w:bCs/>
          <w:sz w:val="22"/>
          <w:szCs w:val="22"/>
          <w:u w:val="single"/>
        </w:rPr>
      </w:pPr>
    </w:p>
    <w:p w:rsidR="000C0BD2" w:rsidRPr="00B114B0" w:rsidRDefault="000C0BD2" w:rsidP="00B85E1E">
      <w:pPr>
        <w:rPr>
          <w:b/>
          <w:bCs/>
          <w:sz w:val="22"/>
          <w:szCs w:val="22"/>
          <w:u w:val="single"/>
        </w:rPr>
      </w:pPr>
    </w:p>
    <w:p w:rsidR="000C0BD2" w:rsidRPr="00B114B0" w:rsidRDefault="000C0BD2" w:rsidP="00B85E1E">
      <w:pPr>
        <w:rPr>
          <w:b/>
          <w:bCs/>
          <w:sz w:val="22"/>
          <w:szCs w:val="22"/>
          <w:u w:val="single"/>
        </w:rPr>
      </w:pPr>
    </w:p>
    <w:p w:rsidR="000C0BD2" w:rsidRPr="00B114B0" w:rsidRDefault="000C0BD2">
      <w:pPr>
        <w:jc w:val="left"/>
        <w:rPr>
          <w:b/>
          <w:bCs/>
          <w:caps/>
        </w:rPr>
      </w:pPr>
      <w:r w:rsidRPr="00B114B0">
        <w:br w:type="page"/>
      </w:r>
    </w:p>
    <w:p w:rsidR="000C0BD2" w:rsidRPr="00B114B0" w:rsidRDefault="000C0BD2" w:rsidP="001D7263">
      <w:pPr>
        <w:pStyle w:val="Heading1"/>
        <w:spacing w:line="360" w:lineRule="auto"/>
        <w:jc w:val="both"/>
      </w:pPr>
      <w:bookmarkStart w:id="128" w:name="_Toc449936810"/>
      <w:r w:rsidRPr="00B114B0">
        <w:lastRenderedPageBreak/>
        <w:t>Bibliografie</w:t>
      </w:r>
      <w:bookmarkEnd w:id="128"/>
    </w:p>
    <w:p w:rsidR="000C0BD2" w:rsidRDefault="000C0BD2" w:rsidP="001D7263">
      <w:pPr>
        <w:pStyle w:val="Heading2"/>
        <w:spacing w:line="360" w:lineRule="auto"/>
      </w:pPr>
      <w:bookmarkStart w:id="129" w:name="_Toc449936811"/>
      <w:r w:rsidRPr="00B114B0">
        <w:t>Wetgeving</w:t>
      </w:r>
      <w:bookmarkEnd w:id="129"/>
    </w:p>
    <w:p w:rsidR="002F3171" w:rsidRDefault="002F3171" w:rsidP="002F3171">
      <w:pPr>
        <w:pStyle w:val="Randnummer"/>
        <w:rPr>
          <w:i/>
          <w:u w:val="single"/>
        </w:rPr>
      </w:pPr>
      <w:r w:rsidRPr="002F3171">
        <w:rPr>
          <w:i/>
          <w:u w:val="single"/>
        </w:rPr>
        <w:t>Internationaal</w:t>
      </w:r>
    </w:p>
    <w:p w:rsidR="00746D53" w:rsidRPr="002F3171" w:rsidRDefault="00746D53" w:rsidP="00746D53">
      <w:pPr>
        <w:pStyle w:val="Randnummer"/>
        <w:ind w:left="0" w:firstLine="0"/>
        <w:rPr>
          <w:i/>
          <w:u w:val="single"/>
        </w:rPr>
      </w:pPr>
      <w:r>
        <w:t xml:space="preserve">Europees </w:t>
      </w:r>
      <w:r w:rsidRPr="008F6472">
        <w:t>Verdrag</w:t>
      </w:r>
      <w:r>
        <w:t xml:space="preserve"> tot bescherming van de rechten van de m</w:t>
      </w:r>
      <w:r w:rsidRPr="008F6472">
        <w:t>e</w:t>
      </w:r>
      <w:r>
        <w:t>ns en de fundamentele v</w:t>
      </w:r>
      <w:r w:rsidR="00812D64">
        <w:t>rijheden,</w:t>
      </w:r>
      <w:r>
        <w:t xml:space="preserve"> </w:t>
      </w:r>
      <w:r w:rsidRPr="008F6472">
        <w:rPr>
          <w:i/>
        </w:rPr>
        <w:t>B.S.</w:t>
      </w:r>
      <w:r w:rsidRPr="008F6472">
        <w:t xml:space="preserve"> 19 augustus 1955.</w:t>
      </w:r>
    </w:p>
    <w:p w:rsidR="000C0BD2" w:rsidRPr="00B114B0" w:rsidRDefault="000C0BD2" w:rsidP="00A43D35">
      <w:pPr>
        <w:pStyle w:val="Randnummer"/>
        <w:ind w:left="0" w:firstLine="0"/>
        <w:rPr>
          <w:i/>
          <w:iCs/>
          <w:u w:val="single"/>
        </w:rPr>
      </w:pPr>
      <w:r w:rsidRPr="00B114B0">
        <w:rPr>
          <w:i/>
          <w:iCs/>
          <w:u w:val="single"/>
        </w:rPr>
        <w:t>België</w:t>
      </w:r>
    </w:p>
    <w:p w:rsidR="000C0BD2" w:rsidRDefault="000C0BD2" w:rsidP="00272D6C">
      <w:r w:rsidRPr="00B114B0">
        <w:br/>
      </w:r>
      <w:r>
        <w:t xml:space="preserve">Artikelen 148, 203, </w:t>
      </w:r>
      <w:r w:rsidRPr="008F6472">
        <w:t>312-319</w:t>
      </w:r>
      <w:r w:rsidRPr="008F6472">
        <w:rPr>
          <w:i/>
          <w:iCs/>
        </w:rPr>
        <w:t>bis</w:t>
      </w:r>
      <w:r w:rsidRPr="008F6472">
        <w:t>, 322, 324-325</w:t>
      </w:r>
      <w:r>
        <w:t>,</w:t>
      </w:r>
      <w:r w:rsidR="005470B1">
        <w:t xml:space="preserve"> 325/2, 325/4, 325/8,</w:t>
      </w:r>
      <w:r>
        <w:t xml:space="preserve"> </w:t>
      </w:r>
      <w:r w:rsidRPr="008F6472">
        <w:t>329</w:t>
      </w:r>
      <w:r w:rsidRPr="008F6472">
        <w:rPr>
          <w:i/>
          <w:iCs/>
        </w:rPr>
        <w:t>bis</w:t>
      </w:r>
      <w:r w:rsidRPr="008F6472">
        <w:t>, 332</w:t>
      </w:r>
      <w:r w:rsidRPr="008F6472">
        <w:rPr>
          <w:i/>
          <w:iCs/>
        </w:rPr>
        <w:t>quinquies</w:t>
      </w:r>
      <w:r>
        <w:t xml:space="preserve">, </w:t>
      </w:r>
      <w:r w:rsidR="005470B1">
        <w:t xml:space="preserve">334, 335, </w:t>
      </w:r>
      <w:r w:rsidR="00972383">
        <w:t xml:space="preserve">343,§2, </w:t>
      </w:r>
      <w:r>
        <w:t>345, 348-3, 348-</w:t>
      </w:r>
      <w:r w:rsidRPr="008F6472">
        <w:t>11,</w:t>
      </w:r>
      <w:r>
        <w:t xml:space="preserve"> 353-1, 353-8, 353-9, 353-15,</w:t>
      </w:r>
      <w:r w:rsidRPr="008F6472">
        <w:t xml:space="preserve"> 356-1, </w:t>
      </w:r>
      <w:r>
        <w:t xml:space="preserve">373-379, </w:t>
      </w:r>
      <w:r w:rsidRPr="008F6472">
        <w:t>384</w:t>
      </w:r>
      <w:r w:rsidR="00183500">
        <w:t xml:space="preserve">, 392, </w:t>
      </w:r>
      <w:r>
        <w:t>475</w:t>
      </w:r>
      <w:r w:rsidRPr="00272D6C">
        <w:rPr>
          <w:i/>
          <w:iCs/>
        </w:rPr>
        <w:t>bis</w:t>
      </w:r>
      <w:r>
        <w:t>-</w:t>
      </w:r>
      <w:r>
        <w:rPr>
          <w:i/>
          <w:iCs/>
        </w:rPr>
        <w:t>sex</w:t>
      </w:r>
      <w:r w:rsidRPr="00272D6C">
        <w:rPr>
          <w:i/>
          <w:iCs/>
        </w:rPr>
        <w:t>ies</w:t>
      </w:r>
      <w:r w:rsidR="005470B1">
        <w:rPr>
          <w:i/>
          <w:iCs/>
        </w:rPr>
        <w:t xml:space="preserve">, </w:t>
      </w:r>
      <w:r w:rsidR="005470B1" w:rsidRPr="005470B1">
        <w:rPr>
          <w:iCs/>
        </w:rPr>
        <w:t>731 en</w:t>
      </w:r>
      <w:r w:rsidR="005470B1">
        <w:t xml:space="preserve"> 1384, lid 2</w:t>
      </w:r>
      <w:r w:rsidR="005470B1" w:rsidRPr="005470B1">
        <w:t xml:space="preserve"> </w:t>
      </w:r>
      <w:r w:rsidRPr="00CD67EB">
        <w:t>Burgerlijk Wetboek</w:t>
      </w:r>
      <w:r>
        <w:t>.</w:t>
      </w:r>
    </w:p>
    <w:p w:rsidR="000C0BD2" w:rsidRDefault="000C0BD2" w:rsidP="00272D6C"/>
    <w:p w:rsidR="000C0BD2" w:rsidRDefault="000C0BD2" w:rsidP="00272D6C">
      <w:r>
        <w:t>Artikel 32 en 60 van de wet 8 april 1965 betreffen</w:t>
      </w:r>
      <w:r w:rsidR="002F2B52">
        <w:t>de de</w:t>
      </w:r>
      <w:r w:rsidRPr="00032451">
        <w:t xml:space="preserve"> jeugdbescherming, het ten laste nemen van minderjarigen die een als misdrijf omschreven feit hebben gepleegd en het herstel van de doo</w:t>
      </w:r>
      <w:r>
        <w:t xml:space="preserve">r dit feit veroorzaakte schade, </w:t>
      </w:r>
      <w:r w:rsidRPr="00032451">
        <w:rPr>
          <w:i/>
          <w:iCs/>
        </w:rPr>
        <w:t>B.S.</w:t>
      </w:r>
      <w:r w:rsidR="00E55D87">
        <w:t xml:space="preserve"> 1 september 1966.</w:t>
      </w:r>
    </w:p>
    <w:p w:rsidR="000C0BD2" w:rsidRDefault="000C0BD2" w:rsidP="00272D6C"/>
    <w:p w:rsidR="000C0BD2" w:rsidRPr="00032451" w:rsidRDefault="000C0BD2" w:rsidP="00272D6C">
      <w:r>
        <w:t xml:space="preserve">Wet van 18 mei 2006 tot wijziging van een aantal bepalingen van het Burgerlijk Wetboek teneinde de adoptie door personen van hetzelfde geslacht mogelijk te maken, </w:t>
      </w:r>
      <w:r w:rsidRPr="00BE0723">
        <w:rPr>
          <w:i/>
          <w:iCs/>
        </w:rPr>
        <w:t>B.S.</w:t>
      </w:r>
      <w:r>
        <w:t xml:space="preserve"> 20 juni 2006.</w:t>
      </w:r>
    </w:p>
    <w:p w:rsidR="000C0BD2" w:rsidRDefault="000C0BD2" w:rsidP="00272D6C"/>
    <w:p w:rsidR="000C0BD2" w:rsidRDefault="000C0BD2" w:rsidP="00272D6C">
      <w:r>
        <w:t>Artikelen 2,</w:t>
      </w:r>
      <w:r w:rsidR="005470B1">
        <w:t xml:space="preserve"> 2,f,</w:t>
      </w:r>
      <w:r>
        <w:t xml:space="preserve"> 27 en 56 van de wet </w:t>
      </w:r>
      <w:r w:rsidRPr="008F6472">
        <w:t xml:space="preserve">6 juli 2007 betreffende de medisch begeleide voortplanting en de bestemming van de overtallige embryo’s en de gameten, </w:t>
      </w:r>
      <w:r w:rsidRPr="008F6472">
        <w:rPr>
          <w:i/>
          <w:iCs/>
        </w:rPr>
        <w:t>B.S.</w:t>
      </w:r>
      <w:r>
        <w:t xml:space="preserve"> 17 juli 2007.</w:t>
      </w:r>
    </w:p>
    <w:p w:rsidR="00E55D87" w:rsidRDefault="00E55D87" w:rsidP="00272D6C"/>
    <w:p w:rsidR="00E55D87" w:rsidRDefault="00E55D87" w:rsidP="00272D6C">
      <w:r w:rsidRPr="003C16A9">
        <w:t xml:space="preserve">Wet </w:t>
      </w:r>
      <w:r>
        <w:t xml:space="preserve">5 mei 2014 </w:t>
      </w:r>
      <w:r w:rsidRPr="003C16A9">
        <w:t>houdende de vaststelling van de afstamming van de meemoeder</w:t>
      </w:r>
      <w:r>
        <w:t xml:space="preserve">, </w:t>
      </w:r>
      <w:r w:rsidRPr="003C16A9">
        <w:rPr>
          <w:i/>
          <w:iCs/>
        </w:rPr>
        <w:t>B.S.</w:t>
      </w:r>
      <w:r>
        <w:t xml:space="preserve"> 01 januari 2015.</w:t>
      </w:r>
    </w:p>
    <w:p w:rsidR="005C1B92" w:rsidRDefault="005C1B92" w:rsidP="00272D6C"/>
    <w:p w:rsidR="00E55D87" w:rsidRDefault="00E55D87" w:rsidP="00E55D87">
      <w:r>
        <w:t xml:space="preserve">Voorstel van wet tot invoering van het zorgouderschap in het Burgerlijk Wetboek, </w:t>
      </w:r>
      <w:r w:rsidRPr="00642E09">
        <w:rPr>
          <w:i/>
          <w:iCs/>
        </w:rPr>
        <w:t>Parl.St.</w:t>
      </w:r>
      <w:r>
        <w:t xml:space="preserve"> Kamer 2003-04, nr. 51-0815/001.</w:t>
      </w:r>
    </w:p>
    <w:p w:rsidR="00E55D87" w:rsidRPr="00E55D87" w:rsidRDefault="00E55D87" w:rsidP="00272D6C"/>
    <w:p w:rsidR="005C1B92" w:rsidRDefault="005C1B92" w:rsidP="005C1B92">
      <w:r w:rsidRPr="008F6472">
        <w:t xml:space="preserve">Voorstel van wet tot wijziging van de wetgeving betreffende de bescherming van het kind wat de invoering van het zorgouderschap betreft, </w:t>
      </w:r>
      <w:r>
        <w:rPr>
          <w:i/>
          <w:iCs/>
        </w:rPr>
        <w:t>Parl.</w:t>
      </w:r>
      <w:r w:rsidRPr="008F6472">
        <w:rPr>
          <w:i/>
          <w:iCs/>
        </w:rPr>
        <w:t>St.</w:t>
      </w:r>
      <w:r w:rsidRPr="008F6472">
        <w:t xml:space="preserve"> Kamer 2014, nr. 54-0114/001.</w:t>
      </w:r>
    </w:p>
    <w:p w:rsidR="005C1B92" w:rsidRDefault="005C1B92" w:rsidP="005C1B92"/>
    <w:p w:rsidR="005C1B92" w:rsidRDefault="005C1B92" w:rsidP="00272D6C">
      <w:r w:rsidRPr="008F6472">
        <w:t xml:space="preserve">Voorstel van wet teneinde het zorgouderschap in het Burgerlijk Wetboek op te nemen., </w:t>
      </w:r>
      <w:r>
        <w:rPr>
          <w:i/>
          <w:iCs/>
        </w:rPr>
        <w:t>Parl.</w:t>
      </w:r>
      <w:r w:rsidRPr="000D292F">
        <w:rPr>
          <w:i/>
          <w:iCs/>
        </w:rPr>
        <w:t>St.</w:t>
      </w:r>
      <w:r w:rsidRPr="000D292F">
        <w:t xml:space="preserve"> Kamer 2014, nr. 54-0194/001. </w:t>
      </w:r>
    </w:p>
    <w:p w:rsidR="003729D0" w:rsidRDefault="003729D0" w:rsidP="00272D6C"/>
    <w:p w:rsidR="003729D0" w:rsidRDefault="003729D0" w:rsidP="003729D0">
      <w:pPr>
        <w:autoSpaceDE w:val="0"/>
        <w:autoSpaceDN w:val="0"/>
        <w:adjustRightInd w:val="0"/>
      </w:pP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w:t>
      </w:r>
    </w:p>
    <w:p w:rsidR="005C1B92" w:rsidRDefault="005C1B92" w:rsidP="00272D6C"/>
    <w:p w:rsidR="000C0BD2" w:rsidRDefault="005C1B92" w:rsidP="00E55D87">
      <w:pPr>
        <w:autoSpaceDE w:val="0"/>
        <w:autoSpaceDN w:val="0"/>
        <w:adjustRightInd w:val="0"/>
      </w:pPr>
      <w:r w:rsidRPr="00272D6C">
        <w:t xml:space="preserve">Verzoek tot het opstellen van een informatieverslag betreffende een onderzoek van de mogelijkheden voor een wettelijke regeling van meeouderschap, </w:t>
      </w:r>
      <w:r w:rsidRPr="00272D6C">
        <w:rPr>
          <w:i/>
          <w:iCs/>
        </w:rPr>
        <w:t>Parl.St.</w:t>
      </w:r>
      <w:r>
        <w:t xml:space="preserve"> Senaat 2014-15, nr. 6-98/1.</w:t>
      </w:r>
    </w:p>
    <w:p w:rsidR="000C0BD2" w:rsidRDefault="000C0BD2" w:rsidP="00272D6C"/>
    <w:p w:rsidR="000C0BD2" w:rsidRPr="00E55D87" w:rsidRDefault="000C0BD2" w:rsidP="00272D6C">
      <w:r>
        <w:t xml:space="preserve">Voorstel van wet tot wijziging van artikel 348-11 van het Burgerlijk Wetboek, aangaande de weigering van de moeder of de vader om toe te stemmen in de adoptie, </w:t>
      </w:r>
      <w:r w:rsidRPr="00F55585">
        <w:rPr>
          <w:i/>
          <w:iCs/>
        </w:rPr>
        <w:t>Parl.St</w:t>
      </w:r>
      <w:r>
        <w:rPr>
          <w:i/>
          <w:iCs/>
        </w:rPr>
        <w:t xml:space="preserve">. </w:t>
      </w:r>
      <w:r w:rsidRPr="00F55585">
        <w:t>Kamer 2015, nr.</w:t>
      </w:r>
      <w:r>
        <w:t xml:space="preserve"> 54-1152/001.</w:t>
      </w:r>
    </w:p>
    <w:p w:rsidR="000C0BD2" w:rsidRPr="00272D6C" w:rsidRDefault="000C0BD2" w:rsidP="00272D6C">
      <w:pPr>
        <w:autoSpaceDE w:val="0"/>
        <w:autoSpaceDN w:val="0"/>
        <w:adjustRightInd w:val="0"/>
      </w:pPr>
    </w:p>
    <w:p w:rsidR="000C0BD2" w:rsidRPr="00272D6C" w:rsidRDefault="00A7468F" w:rsidP="00272D6C">
      <w:pPr>
        <w:autoSpaceDE w:val="0"/>
        <w:autoSpaceDN w:val="0"/>
        <w:adjustRightInd w:val="0"/>
      </w:pPr>
      <w:r>
        <w:t>Verslag namens de Commissie over het v</w:t>
      </w:r>
      <w:r w:rsidR="000C0BD2" w:rsidRPr="00272D6C">
        <w:t>erzoek tot het opstellen van een informatieverslag betreffende een onderzoek van de mogelijkheden voor een wettelijke regeling van meeoud</w:t>
      </w:r>
      <w:r>
        <w:t xml:space="preserve">erschap, </w:t>
      </w:r>
      <w:r w:rsidR="000C0BD2" w:rsidRPr="00272D6C">
        <w:rPr>
          <w:i/>
          <w:iCs/>
        </w:rPr>
        <w:t>Parl.St.</w:t>
      </w:r>
      <w:r w:rsidR="000C0BD2" w:rsidRPr="00272D6C">
        <w:t xml:space="preserve"> Senaat 2015-16, nr. 6-98/2.</w:t>
      </w:r>
    </w:p>
    <w:p w:rsidR="000C0BD2" w:rsidRPr="00272D6C" w:rsidRDefault="000C0BD2" w:rsidP="00272D6C">
      <w:pPr>
        <w:autoSpaceDE w:val="0"/>
        <w:autoSpaceDN w:val="0"/>
        <w:adjustRightInd w:val="0"/>
      </w:pPr>
    </w:p>
    <w:p w:rsidR="00E55D87" w:rsidRDefault="00A7468F" w:rsidP="00272D6C">
      <w:pPr>
        <w:autoSpaceDE w:val="0"/>
        <w:autoSpaceDN w:val="0"/>
        <w:adjustRightInd w:val="0"/>
      </w:pPr>
      <w:r w:rsidRPr="00272D6C">
        <w:t xml:space="preserve">Addendum </w:t>
      </w:r>
      <w:r>
        <w:t>op het v</w:t>
      </w:r>
      <w:r w:rsidR="000C0BD2" w:rsidRPr="00272D6C">
        <w:t>erzoek tot het opstellen van een informatieverslag betreffende een onderzoek van de mogelijkheden voor een wetteli</w:t>
      </w:r>
      <w:r>
        <w:t>jke regeling van meeouderschap</w:t>
      </w:r>
      <w:r w:rsidR="000C0BD2" w:rsidRPr="00272D6C">
        <w:t xml:space="preserve">, </w:t>
      </w:r>
      <w:r w:rsidR="000C0BD2" w:rsidRPr="00272D6C">
        <w:rPr>
          <w:i/>
          <w:iCs/>
        </w:rPr>
        <w:t>Parl.St.</w:t>
      </w:r>
      <w:r w:rsidR="000C0BD2" w:rsidRPr="00272D6C">
        <w:t xml:space="preserve"> Senaat 2015-16, nr. 6-98/3</w:t>
      </w:r>
      <w:r w:rsidR="000C0BD2">
        <w:t>.</w:t>
      </w:r>
    </w:p>
    <w:p w:rsidR="00C67B4D" w:rsidRDefault="00C67B4D" w:rsidP="00272D6C">
      <w:pPr>
        <w:autoSpaceDE w:val="0"/>
        <w:autoSpaceDN w:val="0"/>
        <w:adjustRightInd w:val="0"/>
      </w:pPr>
    </w:p>
    <w:p w:rsidR="00E55D87" w:rsidRDefault="00E12C59" w:rsidP="00272D6C">
      <w:pPr>
        <w:autoSpaceDE w:val="0"/>
        <w:autoSpaceDN w:val="0"/>
        <w:adjustRightInd w:val="0"/>
      </w:pPr>
      <w:r>
        <w:t xml:space="preserve">Algemene Beleidsnota Justitie, </w:t>
      </w:r>
      <w:r w:rsidRPr="00E12C59">
        <w:rPr>
          <w:i/>
        </w:rPr>
        <w:t>Parl.St</w:t>
      </w:r>
      <w:r>
        <w:t>. Kamer 2015-16, nr. 54-1428/008.</w:t>
      </w:r>
    </w:p>
    <w:p w:rsidR="00E55D87" w:rsidRDefault="00E55D87" w:rsidP="00E55D87">
      <w:pPr>
        <w:autoSpaceDE w:val="0"/>
        <w:autoSpaceDN w:val="0"/>
        <w:adjustRightInd w:val="0"/>
      </w:pPr>
    </w:p>
    <w:p w:rsidR="00E55D87" w:rsidRPr="00272D6C" w:rsidRDefault="00E55D87" w:rsidP="00272D6C">
      <w:pPr>
        <w:autoSpaceDE w:val="0"/>
        <w:autoSpaceDN w:val="0"/>
        <w:adjustRightInd w:val="0"/>
      </w:pPr>
      <w:r w:rsidRPr="00071DEB">
        <w:rPr>
          <w:i/>
        </w:rPr>
        <w:t>Hand</w:t>
      </w:r>
      <w:r>
        <w:t xml:space="preserve">. Kamer 2015-16, 24 februari 2016, </w:t>
      </w:r>
      <w:r w:rsidR="00A7468F">
        <w:t xml:space="preserve">nr. </w:t>
      </w:r>
      <w:r>
        <w:t>CRIV 54 com 34.</w:t>
      </w:r>
    </w:p>
    <w:p w:rsidR="000C0BD2" w:rsidRPr="00051736" w:rsidRDefault="000C0BD2" w:rsidP="00A43D35">
      <w:pPr>
        <w:pStyle w:val="Randnummer"/>
        <w:ind w:left="0" w:firstLine="0"/>
        <w:rPr>
          <w:i/>
          <w:iCs/>
          <w:u w:val="single"/>
          <w:lang w:val="en-US"/>
        </w:rPr>
      </w:pPr>
      <w:r w:rsidRPr="00051736">
        <w:rPr>
          <w:i/>
          <w:iCs/>
          <w:u w:val="single"/>
          <w:lang w:val="en-US"/>
        </w:rPr>
        <w:t>Canada</w:t>
      </w:r>
    </w:p>
    <w:p w:rsidR="000C0BD2" w:rsidRPr="002C5D7A" w:rsidRDefault="000C0BD2" w:rsidP="00A43D35">
      <w:pPr>
        <w:pStyle w:val="Randnummer"/>
        <w:ind w:left="0" w:firstLine="0"/>
        <w:rPr>
          <w:u w:val="single"/>
          <w:lang w:val="en-US"/>
        </w:rPr>
      </w:pPr>
      <w:r>
        <w:rPr>
          <w:lang w:val="en-US"/>
        </w:rPr>
        <w:t>Section 20(1), 26</w:t>
      </w:r>
      <w:r w:rsidR="009C38F3">
        <w:rPr>
          <w:lang w:val="en-US"/>
        </w:rPr>
        <w:t>(1)-(2)</w:t>
      </w:r>
      <w:r>
        <w:rPr>
          <w:lang w:val="en-US"/>
        </w:rPr>
        <w:t>, 27(3), 29, 30, 37(1), 39(3</w:t>
      </w:r>
      <w:proofErr w:type="gramStart"/>
      <w:r>
        <w:rPr>
          <w:lang w:val="en-US"/>
        </w:rPr>
        <w:t>)(</w:t>
      </w:r>
      <w:proofErr w:type="gramEnd"/>
      <w:r>
        <w:rPr>
          <w:lang w:val="en-US"/>
        </w:rPr>
        <w:t>a), 40(2)</w:t>
      </w:r>
      <w:r w:rsidR="009C38F3">
        <w:rPr>
          <w:lang w:val="en-US"/>
        </w:rPr>
        <w:t>-</w:t>
      </w:r>
      <w:r>
        <w:rPr>
          <w:lang w:val="en-US"/>
        </w:rPr>
        <w:t>(3) en 44(4) Family Law A</w:t>
      </w:r>
      <w:r w:rsidRPr="00DA18FD">
        <w:rPr>
          <w:lang w:val="en-US"/>
        </w:rPr>
        <w:t>ct 23 November 2011.</w:t>
      </w:r>
    </w:p>
    <w:p w:rsidR="000C0BD2" w:rsidRDefault="000C0BD2" w:rsidP="00A43D35">
      <w:pPr>
        <w:pStyle w:val="Randnummer"/>
        <w:ind w:left="0" w:firstLine="0"/>
        <w:rPr>
          <w:lang w:val="en-US"/>
        </w:rPr>
      </w:pPr>
      <w:r w:rsidRPr="00CE594E">
        <w:rPr>
          <w:lang w:val="en-US"/>
        </w:rPr>
        <w:t xml:space="preserve">British Columbia, Ministry of Attorney General Justice Services Branch Civil Policy and Legislation Office, </w:t>
      </w:r>
      <w:r w:rsidRPr="00CE594E">
        <w:rPr>
          <w:i/>
          <w:iCs/>
          <w:lang w:val="en-US"/>
        </w:rPr>
        <w:t>White paper on Family relations Act Reform: Proposals for a New Family law Act</w:t>
      </w:r>
      <w:r w:rsidRPr="00CE594E">
        <w:rPr>
          <w:lang w:val="en-US"/>
        </w:rPr>
        <w:t xml:space="preserve"> (British Columbia: Civil and Family Law Policy Office, 2010), 1-100.</w:t>
      </w:r>
    </w:p>
    <w:p w:rsidR="00183500" w:rsidRPr="00051736" w:rsidRDefault="00183500" w:rsidP="00A43D35">
      <w:pPr>
        <w:pStyle w:val="Randnummer"/>
        <w:ind w:left="0" w:firstLine="0"/>
        <w:rPr>
          <w:i/>
          <w:iCs/>
          <w:u w:val="single"/>
          <w:lang w:val="en-US"/>
        </w:rPr>
      </w:pPr>
      <w:r>
        <w:rPr>
          <w:i/>
          <w:iCs/>
          <w:u w:val="single"/>
          <w:lang w:val="en-US"/>
        </w:rPr>
        <w:t xml:space="preserve">Engeland </w:t>
      </w:r>
      <w:r>
        <w:rPr>
          <w:i/>
          <w:iCs/>
          <w:u w:val="single"/>
          <w:lang w:val="en-US"/>
        </w:rPr>
        <w:br/>
      </w:r>
    </w:p>
    <w:p w:rsidR="000C0BD2" w:rsidRDefault="000C0BD2" w:rsidP="00272D6C">
      <w:pPr>
        <w:rPr>
          <w:lang w:val="en-US"/>
        </w:rPr>
      </w:pPr>
      <w:r>
        <w:rPr>
          <w:lang w:val="en-US"/>
        </w:rPr>
        <w:t>Section</w:t>
      </w:r>
      <w:r w:rsidRPr="00FC08D3">
        <w:rPr>
          <w:lang w:val="en-US"/>
        </w:rPr>
        <w:t xml:space="preserve"> </w:t>
      </w:r>
      <w:r>
        <w:rPr>
          <w:lang w:val="en-US"/>
        </w:rPr>
        <w:t>2(1</w:t>
      </w:r>
      <w:r w:rsidR="00A7468F">
        <w:rPr>
          <w:lang w:val="en-US"/>
        </w:rPr>
        <w:t xml:space="preserve">), 2(1A)(a) en (b), 2(2)(a) en </w:t>
      </w:r>
      <w:r w:rsidR="00667EC1">
        <w:rPr>
          <w:lang w:val="en-US"/>
        </w:rPr>
        <w:t xml:space="preserve">(b), </w:t>
      </w:r>
      <w:r w:rsidRPr="00FC08D3">
        <w:rPr>
          <w:lang w:val="en-US"/>
        </w:rPr>
        <w:t>2(2A)(a)</w:t>
      </w:r>
      <w:r w:rsidR="00F821E9">
        <w:rPr>
          <w:lang w:val="en-US"/>
        </w:rPr>
        <w:t>,</w:t>
      </w:r>
      <w:r w:rsidR="00C44928">
        <w:rPr>
          <w:lang w:val="en-US"/>
        </w:rPr>
        <w:t xml:space="preserve"> 2(6),</w:t>
      </w:r>
      <w:r w:rsidR="00F821E9">
        <w:rPr>
          <w:lang w:val="en-US"/>
        </w:rPr>
        <w:t xml:space="preserve"> 2(7), 2(9),</w:t>
      </w:r>
      <w:r w:rsidR="00FC2495">
        <w:rPr>
          <w:lang w:val="en-US"/>
        </w:rPr>
        <w:t xml:space="preserve"> 3(1),</w:t>
      </w:r>
      <w:r w:rsidR="00F821E9">
        <w:rPr>
          <w:lang w:val="en-US"/>
        </w:rPr>
        <w:t xml:space="preserve"> </w:t>
      </w:r>
      <w:r w:rsidR="00A7468F">
        <w:rPr>
          <w:lang w:val="en-US"/>
        </w:rPr>
        <w:t xml:space="preserve">4(1)(a), (b) en </w:t>
      </w:r>
      <w:r w:rsidR="00667EC1">
        <w:rPr>
          <w:lang w:val="en-US"/>
        </w:rPr>
        <w:t>(c),</w:t>
      </w:r>
      <w:r w:rsidR="00F821E9">
        <w:rPr>
          <w:lang w:val="en-US"/>
        </w:rPr>
        <w:t xml:space="preserve"> 4(A)(1), 4(A)(1)(a), 4(A)(3),</w:t>
      </w:r>
      <w:r w:rsidR="00485BA0">
        <w:rPr>
          <w:lang w:val="en-US"/>
        </w:rPr>
        <w:t xml:space="preserve"> 4(2A),</w:t>
      </w:r>
      <w:r w:rsidR="00F821E9">
        <w:rPr>
          <w:lang w:val="en-US"/>
        </w:rPr>
        <w:t xml:space="preserve"> </w:t>
      </w:r>
      <w:r w:rsidR="00F0497C">
        <w:rPr>
          <w:lang w:val="en-US"/>
        </w:rPr>
        <w:t xml:space="preserve">5(3), </w:t>
      </w:r>
      <w:r w:rsidR="00667EC1">
        <w:rPr>
          <w:lang w:val="en-US"/>
        </w:rPr>
        <w:t>5(4), 5(6), 5(7),</w:t>
      </w:r>
      <w:r w:rsidR="00485BA0">
        <w:rPr>
          <w:lang w:val="en-US"/>
        </w:rPr>
        <w:t xml:space="preserve"> 6(7),</w:t>
      </w:r>
      <w:r w:rsidR="00667EC1">
        <w:rPr>
          <w:lang w:val="en-US"/>
        </w:rPr>
        <w:t xml:space="preserve"> </w:t>
      </w:r>
      <w:r w:rsidRPr="00FC08D3">
        <w:rPr>
          <w:lang w:val="en-US"/>
        </w:rPr>
        <w:t>10(5)(b)</w:t>
      </w:r>
      <w:r w:rsidR="00F821E9">
        <w:rPr>
          <w:lang w:val="en-US"/>
        </w:rPr>
        <w:t>,</w:t>
      </w:r>
      <w:r w:rsidR="00A7468F">
        <w:rPr>
          <w:lang w:val="en-US"/>
        </w:rPr>
        <w:t xml:space="preserve"> 12(2) en </w:t>
      </w:r>
      <w:r w:rsidR="00F821E9">
        <w:rPr>
          <w:lang w:val="en-US"/>
        </w:rPr>
        <w:t>(3)</w:t>
      </w:r>
      <w:r w:rsidR="00485BA0">
        <w:rPr>
          <w:lang w:val="en-US"/>
        </w:rPr>
        <w:t>, 13</w:t>
      </w:r>
      <w:r w:rsidR="00F821E9">
        <w:rPr>
          <w:lang w:val="en-US"/>
        </w:rPr>
        <w:t xml:space="preserve"> en 33(6)</w:t>
      </w:r>
      <w:r w:rsidRPr="00FC08D3">
        <w:rPr>
          <w:lang w:val="en-US"/>
        </w:rPr>
        <w:t xml:space="preserve">  </w:t>
      </w:r>
      <w:r>
        <w:rPr>
          <w:lang w:val="en-US"/>
        </w:rPr>
        <w:t>Children A</w:t>
      </w:r>
      <w:r w:rsidRPr="00DA18FD">
        <w:rPr>
          <w:lang w:val="en-US"/>
        </w:rPr>
        <w:t>ct 16 November 1989.</w:t>
      </w:r>
    </w:p>
    <w:p w:rsidR="00F821E9" w:rsidRDefault="00F821E9" w:rsidP="00272D6C">
      <w:pPr>
        <w:rPr>
          <w:lang w:val="en-US"/>
        </w:rPr>
      </w:pPr>
    </w:p>
    <w:p w:rsidR="000C0BD2" w:rsidRDefault="000C0BD2" w:rsidP="00051736">
      <w:pPr>
        <w:rPr>
          <w:lang w:val="en-US"/>
        </w:rPr>
      </w:pPr>
      <w:r w:rsidRPr="00DA18FD">
        <w:rPr>
          <w:lang w:val="en-US"/>
        </w:rPr>
        <w:t xml:space="preserve">Adoption and children act 7 November 2002. </w:t>
      </w:r>
    </w:p>
    <w:p w:rsidR="000C0BD2" w:rsidRPr="00FC08D3" w:rsidRDefault="000C0BD2" w:rsidP="00272D6C">
      <w:pPr>
        <w:rPr>
          <w:lang w:val="en-US"/>
        </w:rPr>
      </w:pPr>
    </w:p>
    <w:p w:rsidR="000C0BD2" w:rsidRPr="003C16A9" w:rsidRDefault="00667EC1" w:rsidP="003C16A9">
      <w:pPr>
        <w:rPr>
          <w:lang w:val="en-US"/>
        </w:rPr>
      </w:pPr>
      <w:proofErr w:type="gramStart"/>
      <w:r>
        <w:rPr>
          <w:lang w:val="en-US"/>
        </w:rPr>
        <w:t>Section 33, 42</w:t>
      </w:r>
      <w:r w:rsidR="000C0BD2" w:rsidRPr="003C16A9">
        <w:rPr>
          <w:lang w:val="en-US"/>
        </w:rPr>
        <w:t>-44 en 47 Human Fertilisation and Embryology A</w:t>
      </w:r>
      <w:r w:rsidR="000C0BD2">
        <w:rPr>
          <w:lang w:val="en-US"/>
        </w:rPr>
        <w:t>ct 13 November 2008.</w:t>
      </w:r>
      <w:proofErr w:type="gramEnd"/>
    </w:p>
    <w:p w:rsidR="000C0BD2" w:rsidRDefault="000C0BD2" w:rsidP="001D7263">
      <w:pPr>
        <w:pStyle w:val="Heading2"/>
        <w:spacing w:line="360" w:lineRule="auto"/>
      </w:pPr>
      <w:bookmarkStart w:id="130" w:name="_Toc449936812"/>
      <w:r w:rsidRPr="00051736">
        <w:t>Rechtspraak</w:t>
      </w:r>
      <w:bookmarkEnd w:id="130"/>
    </w:p>
    <w:p w:rsidR="00CC348C" w:rsidRDefault="00CC348C" w:rsidP="00CC348C">
      <w:pPr>
        <w:pStyle w:val="Randnummer"/>
        <w:ind w:left="0" w:firstLine="0"/>
        <w:rPr>
          <w:i/>
          <w:iCs/>
          <w:u w:val="single"/>
        </w:rPr>
      </w:pPr>
      <w:r w:rsidRPr="00CC348C">
        <w:rPr>
          <w:i/>
          <w:iCs/>
          <w:u w:val="single"/>
        </w:rPr>
        <w:t>EHRM</w:t>
      </w:r>
    </w:p>
    <w:p w:rsidR="00CC348C" w:rsidRDefault="00CC348C" w:rsidP="00CC348C">
      <w:pPr>
        <w:pStyle w:val="Randnummer"/>
        <w:ind w:left="0" w:firstLine="0"/>
      </w:pPr>
      <w:r w:rsidRPr="00CC348C">
        <w:t>EHRM 21 december 2010, nr. 20578/07, Anayo/Duitsland</w:t>
      </w:r>
      <w:r>
        <w:t>.</w:t>
      </w:r>
      <w:r w:rsidRPr="00CC348C">
        <w:t xml:space="preserve"> </w:t>
      </w:r>
    </w:p>
    <w:p w:rsidR="00CC348C" w:rsidRPr="00CC348C" w:rsidRDefault="00CC348C" w:rsidP="00CC348C">
      <w:pPr>
        <w:pStyle w:val="Randnummer"/>
        <w:ind w:left="0" w:firstLine="0"/>
        <w:rPr>
          <w:i/>
          <w:iCs/>
          <w:u w:val="single"/>
        </w:rPr>
      </w:pPr>
      <w:r w:rsidRPr="00CC348C">
        <w:t>EHRM 15 september 2011, nr. 17080/07, Schneider/Duitsland</w:t>
      </w:r>
      <w:r>
        <w:t>.</w:t>
      </w:r>
    </w:p>
    <w:p w:rsidR="000C0BD2" w:rsidRPr="00CC348C" w:rsidRDefault="000C0BD2" w:rsidP="00A43D35">
      <w:pPr>
        <w:pStyle w:val="Randnummer"/>
        <w:ind w:left="0" w:firstLine="0"/>
        <w:rPr>
          <w:i/>
          <w:iCs/>
          <w:u w:val="single"/>
        </w:rPr>
      </w:pPr>
      <w:r w:rsidRPr="00CC348C">
        <w:rPr>
          <w:i/>
          <w:iCs/>
          <w:u w:val="single"/>
        </w:rPr>
        <w:t>België</w:t>
      </w:r>
    </w:p>
    <w:p w:rsidR="00410F90" w:rsidRPr="00F31354" w:rsidRDefault="000C0BD2" w:rsidP="00ED236D">
      <w:pPr>
        <w:pStyle w:val="Randnummer"/>
        <w:ind w:left="0" w:firstLine="0"/>
        <w:rPr>
          <w:color w:val="000000"/>
        </w:rPr>
      </w:pPr>
      <w:r w:rsidRPr="00F31354">
        <w:rPr>
          <w:color w:val="000000"/>
        </w:rPr>
        <w:t xml:space="preserve">Arbitragehof 6 november 1997, </w:t>
      </w:r>
      <w:r w:rsidR="00F31354" w:rsidRPr="00F31354">
        <w:rPr>
          <w:color w:val="000000"/>
        </w:rPr>
        <w:t xml:space="preserve">nr. 67/97, </w:t>
      </w:r>
      <w:r w:rsidRPr="00F31354">
        <w:rPr>
          <w:i/>
          <w:iCs/>
          <w:color w:val="000000"/>
        </w:rPr>
        <w:t>RW</w:t>
      </w:r>
      <w:r w:rsidRPr="00F31354">
        <w:rPr>
          <w:color w:val="000000"/>
        </w:rPr>
        <w:t xml:space="preserve"> 1997-98,1469.</w:t>
      </w:r>
    </w:p>
    <w:p w:rsidR="00410F90" w:rsidRPr="00F31354" w:rsidRDefault="00ED236D" w:rsidP="00ED236D">
      <w:pPr>
        <w:pStyle w:val="Randnummer"/>
        <w:ind w:left="0" w:firstLine="0"/>
        <w:rPr>
          <w:color w:val="000000"/>
        </w:rPr>
      </w:pPr>
      <w:r w:rsidRPr="00F31354">
        <w:rPr>
          <w:color w:val="000000"/>
        </w:rPr>
        <w:t>A</w:t>
      </w:r>
      <w:r w:rsidR="000C0BD2" w:rsidRPr="00F31354">
        <w:rPr>
          <w:color w:val="000000"/>
        </w:rPr>
        <w:t>rbitragehof 8 oktober 2003,</w:t>
      </w:r>
      <w:r w:rsidR="00F31354" w:rsidRPr="00F31354">
        <w:rPr>
          <w:color w:val="000000"/>
        </w:rPr>
        <w:t xml:space="preserve"> nr. 134/2003,</w:t>
      </w:r>
      <w:r w:rsidR="000C0BD2" w:rsidRPr="00F31354">
        <w:rPr>
          <w:color w:val="000000"/>
        </w:rPr>
        <w:t xml:space="preserve"> </w:t>
      </w:r>
      <w:r w:rsidR="000C0BD2" w:rsidRPr="00F31354">
        <w:rPr>
          <w:i/>
          <w:iCs/>
          <w:color w:val="000000"/>
        </w:rPr>
        <w:t xml:space="preserve">NJW </w:t>
      </w:r>
      <w:r w:rsidR="000C0BD2" w:rsidRPr="00F31354">
        <w:rPr>
          <w:color w:val="000000"/>
        </w:rPr>
        <w:t>2004, 80.</w:t>
      </w:r>
    </w:p>
    <w:p w:rsidR="00410F90" w:rsidRPr="00F31354" w:rsidRDefault="000C0BD2" w:rsidP="00ED236D">
      <w:pPr>
        <w:pStyle w:val="Randnummer"/>
        <w:ind w:left="0" w:firstLine="0"/>
        <w:rPr>
          <w:color w:val="000000"/>
        </w:rPr>
      </w:pPr>
      <w:r w:rsidRPr="00F31354">
        <w:rPr>
          <w:color w:val="000000"/>
        </w:rPr>
        <w:t>Grondwettelijk Hof 12 juli 2012,</w:t>
      </w:r>
      <w:r w:rsidR="00F31354" w:rsidRPr="00F31354">
        <w:rPr>
          <w:color w:val="000000"/>
        </w:rPr>
        <w:t xml:space="preserve"> </w:t>
      </w:r>
      <w:r w:rsidR="00F31354" w:rsidRPr="00F31354">
        <w:t xml:space="preserve">nr. 93/2012, </w:t>
      </w:r>
      <w:r w:rsidRPr="00F31354">
        <w:rPr>
          <w:i/>
          <w:iCs/>
          <w:color w:val="000000"/>
        </w:rPr>
        <w:t>T.Fam.</w:t>
      </w:r>
      <w:r w:rsidRPr="00F31354">
        <w:rPr>
          <w:color w:val="000000"/>
        </w:rPr>
        <w:t xml:space="preserve"> 2013, 154.</w:t>
      </w:r>
    </w:p>
    <w:p w:rsidR="00410F90" w:rsidRDefault="000C0BD2" w:rsidP="00ED236D">
      <w:pPr>
        <w:pStyle w:val="Randnummer"/>
        <w:ind w:left="0" w:firstLine="0"/>
        <w:rPr>
          <w:color w:val="000000"/>
        </w:rPr>
      </w:pPr>
      <w:r w:rsidRPr="00F31354">
        <w:t>Grondwettelijk Hof 25 juni 2015</w:t>
      </w:r>
      <w:r w:rsidR="00F31354" w:rsidRPr="00F31354">
        <w:t xml:space="preserve">, nr. 94/2015, </w:t>
      </w:r>
      <w:r w:rsidR="00F31354" w:rsidRPr="00F31354">
        <w:rPr>
          <w:i/>
          <w:color w:val="000000"/>
        </w:rPr>
        <w:t>Rev.trim.dr.fam</w:t>
      </w:r>
      <w:r w:rsidR="00F31354" w:rsidRPr="00F31354">
        <w:rPr>
          <w:color w:val="000000"/>
        </w:rPr>
        <w:t>. 2015, afl. 3, 580.</w:t>
      </w:r>
    </w:p>
    <w:p w:rsidR="00410F90" w:rsidRDefault="006131F0" w:rsidP="00ED236D">
      <w:pPr>
        <w:pStyle w:val="Randnummer"/>
        <w:ind w:left="0" w:firstLine="0"/>
      </w:pPr>
      <w:r>
        <w:rPr>
          <w:color w:val="000000"/>
        </w:rPr>
        <w:br/>
      </w:r>
      <w:r w:rsidR="000C0BD2" w:rsidRPr="00F31354">
        <w:t xml:space="preserve">Cass. 31 mei 1985, </w:t>
      </w:r>
      <w:r w:rsidR="000C0BD2" w:rsidRPr="00F31354">
        <w:rPr>
          <w:i/>
          <w:iCs/>
        </w:rPr>
        <w:t>Arr.Cass</w:t>
      </w:r>
      <w:r w:rsidR="000C0BD2" w:rsidRPr="00F31354">
        <w:t>. 1984-85, 1354.</w:t>
      </w:r>
    </w:p>
    <w:p w:rsidR="006131F0" w:rsidRDefault="006131F0" w:rsidP="00ED236D">
      <w:pPr>
        <w:pStyle w:val="Randnummer"/>
        <w:ind w:left="0" w:firstLine="0"/>
        <w:rPr>
          <w:color w:val="000000"/>
        </w:rPr>
      </w:pPr>
      <w:r>
        <w:lastRenderedPageBreak/>
        <w:t>Cass. 16 januari 2009</w:t>
      </w:r>
      <w:r w:rsidRPr="009121B4">
        <w:t xml:space="preserve">, </w:t>
      </w:r>
      <w:r w:rsidRPr="009121B4">
        <w:rPr>
          <w:i/>
          <w:iCs/>
        </w:rPr>
        <w:t>T.Fam</w:t>
      </w:r>
      <w:r>
        <w:t xml:space="preserve">. 2009, 91, noot </w:t>
      </w:r>
      <w:r>
        <w:rPr>
          <w:smallCaps/>
        </w:rPr>
        <w:t>R. VASSEUR.</w:t>
      </w:r>
    </w:p>
    <w:p w:rsidR="00410F90" w:rsidRDefault="006131F0" w:rsidP="00ED236D">
      <w:pPr>
        <w:pStyle w:val="Randnummer"/>
        <w:ind w:left="0" w:firstLine="0"/>
        <w:rPr>
          <w:color w:val="000000"/>
        </w:rPr>
      </w:pPr>
      <w:r>
        <w:rPr>
          <w:color w:val="000000"/>
        </w:rPr>
        <w:br/>
      </w:r>
      <w:r w:rsidR="000C0BD2" w:rsidRPr="008C623A">
        <w:t xml:space="preserve">Brussel (Jk.) 8 </w:t>
      </w:r>
      <w:r w:rsidR="00ED236D">
        <w:t xml:space="preserve">maart 1973, </w:t>
      </w:r>
      <w:r w:rsidR="00ED236D" w:rsidRPr="00183500">
        <w:rPr>
          <w:i/>
        </w:rPr>
        <w:t>Pas</w:t>
      </w:r>
      <w:r w:rsidR="00ED236D">
        <w:t>. 1973, II, 114.</w:t>
      </w:r>
    </w:p>
    <w:p w:rsidR="00410F90" w:rsidRDefault="000C0BD2" w:rsidP="00ED236D">
      <w:pPr>
        <w:pStyle w:val="Randnummer"/>
        <w:ind w:left="0" w:firstLine="0"/>
        <w:rPr>
          <w:color w:val="000000"/>
        </w:rPr>
      </w:pPr>
      <w:r w:rsidRPr="008C623A">
        <w:t xml:space="preserve">Brussel 23 januari 1980, </w:t>
      </w:r>
      <w:r w:rsidRPr="008C623A">
        <w:rPr>
          <w:i/>
          <w:iCs/>
        </w:rPr>
        <w:t>JT</w:t>
      </w:r>
      <w:r w:rsidRPr="008C623A">
        <w:t xml:space="preserve"> 1980, 360.</w:t>
      </w:r>
    </w:p>
    <w:p w:rsidR="000C0BD2" w:rsidRDefault="000C0BD2" w:rsidP="00051736"/>
    <w:p w:rsidR="008545A2" w:rsidRPr="00ED236D" w:rsidRDefault="008545A2" w:rsidP="00051736">
      <w:pPr>
        <w:rPr>
          <w:sz w:val="20"/>
          <w:szCs w:val="20"/>
        </w:rPr>
      </w:pPr>
    </w:p>
    <w:p w:rsidR="00410F90" w:rsidRDefault="000C0BD2" w:rsidP="00051736">
      <w:pPr>
        <w:rPr>
          <w:smallCaps/>
        </w:rPr>
      </w:pPr>
      <w:r w:rsidRPr="008F6472">
        <w:t>Jeugdrb. Antwerpen (2</w:t>
      </w:r>
      <w:r w:rsidRPr="008F6472">
        <w:rPr>
          <w:vertAlign w:val="superscript"/>
        </w:rPr>
        <w:t>e</w:t>
      </w:r>
      <w:r w:rsidR="00F31354">
        <w:t xml:space="preserve"> k.</w:t>
      </w:r>
      <w:r w:rsidRPr="008F6472">
        <w:t>) 11 januari 2000,</w:t>
      </w:r>
      <w:r w:rsidRPr="008F6472">
        <w:rPr>
          <w:i/>
          <w:iCs/>
        </w:rPr>
        <w:t xml:space="preserve"> TJK</w:t>
      </w:r>
      <w:r w:rsidRPr="008F6472">
        <w:t xml:space="preserve"> 2000, 68, noot G. </w:t>
      </w:r>
      <w:r w:rsidR="00E77C84">
        <w:rPr>
          <w:smallCaps/>
        </w:rPr>
        <w:t>VERSCHELDEN</w:t>
      </w:r>
      <w:r w:rsidRPr="008F6472">
        <w:rPr>
          <w:smallCaps/>
        </w:rPr>
        <w:t>.</w:t>
      </w:r>
    </w:p>
    <w:p w:rsidR="00410F90" w:rsidRDefault="00410F90" w:rsidP="00051736">
      <w:pPr>
        <w:rPr>
          <w:rFonts w:ascii="inherit" w:hAnsi="inherit" w:cs="inherit"/>
          <w:color w:val="000000"/>
          <w:kern w:val="36"/>
        </w:rPr>
      </w:pPr>
    </w:p>
    <w:p w:rsidR="00410F90" w:rsidRDefault="000C0BD2" w:rsidP="00051736">
      <w:r>
        <w:rPr>
          <w:rFonts w:ascii="inherit" w:hAnsi="inherit" w:cs="inherit"/>
          <w:color w:val="000000"/>
          <w:kern w:val="36"/>
        </w:rPr>
        <w:t>Jeugdrb.</w:t>
      </w:r>
      <w:r w:rsidR="00F31354">
        <w:rPr>
          <w:rFonts w:ascii="inherit" w:hAnsi="inherit" w:cs="inherit"/>
          <w:color w:val="000000"/>
          <w:kern w:val="36"/>
        </w:rPr>
        <w:t xml:space="preserve"> Antwerpen (3e k</w:t>
      </w:r>
      <w:r w:rsidRPr="00420C41">
        <w:rPr>
          <w:rFonts w:ascii="inherit" w:hAnsi="inherit" w:cs="inherit"/>
          <w:color w:val="000000"/>
          <w:kern w:val="36"/>
        </w:rPr>
        <w:t xml:space="preserve">.) 3 oktober 2002, </w:t>
      </w:r>
      <w:r w:rsidR="00F31354">
        <w:rPr>
          <w:rFonts w:ascii="inherit" w:hAnsi="inherit" w:cs="inherit"/>
          <w:i/>
          <w:iCs/>
          <w:color w:val="000000"/>
          <w:kern w:val="36"/>
        </w:rPr>
        <w:t>RW</w:t>
      </w:r>
      <w:r w:rsidRPr="00420C41">
        <w:rPr>
          <w:rFonts w:ascii="inherit" w:hAnsi="inherit" w:cs="inherit"/>
          <w:color w:val="000000"/>
          <w:kern w:val="36"/>
        </w:rPr>
        <w:t xml:space="preserve"> 2002-03, afl. 30, 1188</w:t>
      </w:r>
      <w:r w:rsidRPr="0057323F">
        <w:rPr>
          <w:rFonts w:ascii="inherit" w:hAnsi="inherit" w:cs="inherit"/>
          <w:color w:val="000000"/>
          <w:kern w:val="36"/>
          <w:sz w:val="20"/>
          <w:szCs w:val="20"/>
        </w:rPr>
        <w:t>.</w:t>
      </w:r>
      <w:r>
        <w:rPr>
          <w:smallCaps/>
        </w:rPr>
        <w:br/>
      </w:r>
    </w:p>
    <w:p w:rsidR="00410F90" w:rsidRDefault="000C0BD2" w:rsidP="00051736">
      <w:r>
        <w:t>Jeugdrb. Mechelen (15</w:t>
      </w:r>
      <w:r w:rsidRPr="00CD67EB">
        <w:rPr>
          <w:vertAlign w:val="superscript"/>
        </w:rPr>
        <w:t>e</w:t>
      </w:r>
      <w:r w:rsidR="00F31354">
        <w:t xml:space="preserve"> k.</w:t>
      </w:r>
      <w:r>
        <w:t xml:space="preserve">) 28 april 2004, </w:t>
      </w:r>
      <w:r w:rsidRPr="00CD67EB">
        <w:rPr>
          <w:i/>
          <w:iCs/>
        </w:rPr>
        <w:t>RW</w:t>
      </w:r>
      <w:r>
        <w:t xml:space="preserve"> 2004-05, afl. 1, 30.</w:t>
      </w:r>
      <w:r w:rsidRPr="008F6472">
        <w:rPr>
          <w:smallCaps/>
        </w:rPr>
        <w:br/>
      </w:r>
    </w:p>
    <w:p w:rsidR="006131F0" w:rsidRDefault="000C0BD2" w:rsidP="006131F0">
      <w:r>
        <w:t>Jeugdrb. Brugge</w:t>
      </w:r>
      <w:r w:rsidRPr="00F862BE">
        <w:t xml:space="preserve"> 20 juni 2013, </w:t>
      </w:r>
      <w:r w:rsidRPr="00F862BE">
        <w:rPr>
          <w:i/>
          <w:iCs/>
        </w:rPr>
        <w:t>T. Fam.</w:t>
      </w:r>
      <w:r w:rsidRPr="00F862BE">
        <w:t xml:space="preserve"> 2013, afl. 10, 244.</w:t>
      </w:r>
    </w:p>
    <w:p w:rsidR="006131F0" w:rsidRDefault="006131F0" w:rsidP="006131F0"/>
    <w:p w:rsidR="00410F90" w:rsidRPr="00C05C64" w:rsidRDefault="00127E65" w:rsidP="006131F0">
      <w:pPr>
        <w:rPr>
          <w:smallCaps/>
          <w:lang w:val="en-US"/>
        </w:rPr>
      </w:pPr>
      <w:r w:rsidRPr="000A6092">
        <w:rPr>
          <w:i/>
          <w:iCs/>
          <w:u w:val="single"/>
          <w:lang w:val="en-US"/>
        </w:rPr>
        <w:t>Canada</w:t>
      </w:r>
      <w:r w:rsidRPr="000A6092">
        <w:rPr>
          <w:i/>
          <w:iCs/>
          <w:u w:val="single"/>
          <w:lang w:val="en-US"/>
        </w:rPr>
        <w:br/>
      </w:r>
    </w:p>
    <w:p w:rsidR="005E5152" w:rsidRPr="005E5152" w:rsidRDefault="000C0BD2" w:rsidP="007020F4">
      <w:pPr>
        <w:jc w:val="left"/>
        <w:rPr>
          <w:lang w:val="en-US"/>
        </w:rPr>
      </w:pPr>
      <w:r w:rsidRPr="000A6092">
        <w:rPr>
          <w:lang w:val="en-US"/>
        </w:rPr>
        <w:t xml:space="preserve">A.A. </w:t>
      </w:r>
      <w:r w:rsidRPr="000A6092">
        <w:rPr>
          <w:i/>
          <w:iCs/>
          <w:lang w:val="en-US"/>
        </w:rPr>
        <w:t>v</w:t>
      </w:r>
      <w:r w:rsidRPr="000A6092">
        <w:rPr>
          <w:lang w:val="en-US"/>
        </w:rPr>
        <w:t xml:space="preserve"> B.B., 2007 ONCA 2, 83 OR (3d) 561 </w:t>
      </w:r>
      <w:r w:rsidRPr="00CE594E">
        <w:sym w:font="Symbol" w:char="F05B"/>
      </w:r>
      <w:r w:rsidR="005E5152" w:rsidRPr="005E5152">
        <w:rPr>
          <w:lang w:val="en-US"/>
        </w:rPr>
        <w:t xml:space="preserve"> AA </w:t>
      </w:r>
      <w:r w:rsidR="005E5152" w:rsidRPr="005E5152">
        <w:rPr>
          <w:i/>
          <w:iCs/>
          <w:lang w:val="en-US"/>
        </w:rPr>
        <w:t xml:space="preserve">v </w:t>
      </w:r>
      <w:proofErr w:type="gramStart"/>
      <w:r w:rsidR="005E5152" w:rsidRPr="005E5152">
        <w:rPr>
          <w:lang w:val="en-US"/>
        </w:rPr>
        <w:t xml:space="preserve">BB </w:t>
      </w:r>
      <w:proofErr w:type="gramEnd"/>
      <w:r w:rsidRPr="00CE594E">
        <w:sym w:font="Symbol" w:char="F05D"/>
      </w:r>
      <w:r w:rsidR="00127E65" w:rsidRPr="000A6092">
        <w:rPr>
          <w:lang w:val="en-US"/>
        </w:rPr>
        <w:t>.</w:t>
      </w:r>
    </w:p>
    <w:p w:rsidR="000C0BD2" w:rsidRPr="00051736" w:rsidRDefault="000C0BD2" w:rsidP="001D7263">
      <w:pPr>
        <w:pStyle w:val="Heading2"/>
        <w:spacing w:line="360" w:lineRule="auto"/>
      </w:pPr>
      <w:bookmarkStart w:id="131" w:name="_Toc448153079"/>
      <w:bookmarkStart w:id="132" w:name="_Toc449936813"/>
      <w:r w:rsidRPr="00051736">
        <w:t>Rechtsleer</w:t>
      </w:r>
      <w:bookmarkEnd w:id="131"/>
      <w:bookmarkEnd w:id="132"/>
    </w:p>
    <w:p w:rsidR="000C0BD2" w:rsidRPr="00051736" w:rsidRDefault="000C0BD2" w:rsidP="00A43D35">
      <w:pPr>
        <w:pStyle w:val="Randnummer"/>
        <w:ind w:left="0" w:firstLine="0"/>
        <w:rPr>
          <w:b/>
          <w:bCs/>
          <w:u w:val="single"/>
        </w:rPr>
      </w:pPr>
      <w:r w:rsidRPr="00051736">
        <w:rPr>
          <w:b/>
          <w:bCs/>
          <w:u w:val="single"/>
        </w:rPr>
        <w:t>Tijdschriften</w:t>
      </w:r>
    </w:p>
    <w:p w:rsidR="000C0BD2" w:rsidRDefault="000C0BD2" w:rsidP="00A43D35">
      <w:pPr>
        <w:pStyle w:val="Randnummer"/>
        <w:ind w:left="0" w:firstLine="0"/>
        <w:rPr>
          <w:i/>
          <w:iCs/>
          <w:u w:val="single"/>
        </w:rPr>
      </w:pPr>
      <w:r>
        <w:rPr>
          <w:i/>
          <w:iCs/>
          <w:u w:val="single"/>
        </w:rPr>
        <w:t>België</w:t>
      </w:r>
      <w:r>
        <w:rPr>
          <w:i/>
          <w:iCs/>
          <w:u w:val="single"/>
        </w:rPr>
        <w:br/>
      </w:r>
    </w:p>
    <w:p w:rsidR="000C0BD2" w:rsidRDefault="000F21D7" w:rsidP="00051736">
      <w:r>
        <w:rPr>
          <w:smallCaps/>
        </w:rPr>
        <w:t>AUDOORE, S</w:t>
      </w:r>
      <w:r w:rsidR="000C0BD2" w:rsidRPr="008F6472">
        <w:rPr>
          <w:smallCaps/>
        </w:rPr>
        <w:t>., “</w:t>
      </w:r>
      <w:r w:rsidR="000C0BD2" w:rsidRPr="008F6472">
        <w:t xml:space="preserve">Overzicht van rechtspraak (2003-2011) – De uitoefening van het ouderlijk gezag”, </w:t>
      </w:r>
      <w:r w:rsidR="000C0BD2" w:rsidRPr="008F6472">
        <w:rPr>
          <w:i/>
          <w:iCs/>
        </w:rPr>
        <w:t>T.Fam.</w:t>
      </w:r>
      <w:r w:rsidR="000C0BD2" w:rsidRPr="008F6472">
        <w:t xml:space="preserve"> 2012, afl. 3, 55-72.</w:t>
      </w:r>
    </w:p>
    <w:p w:rsidR="000C0BD2" w:rsidRDefault="000C0BD2" w:rsidP="00051736"/>
    <w:p w:rsidR="000C0BD2" w:rsidRDefault="005C1B92" w:rsidP="00051736">
      <w:pPr>
        <w:rPr>
          <w:color w:val="000000"/>
        </w:rPr>
      </w:pPr>
      <w:r>
        <w:rPr>
          <w:smallCaps/>
          <w:color w:val="000000"/>
        </w:rPr>
        <w:t>BORG</w:t>
      </w:r>
      <w:r w:rsidR="00E77C84">
        <w:rPr>
          <w:smallCaps/>
          <w:color w:val="000000"/>
        </w:rPr>
        <w:t>HS</w:t>
      </w:r>
      <w:r w:rsidR="000C0BD2" w:rsidRPr="008F6472">
        <w:rPr>
          <w:smallCaps/>
          <w:color w:val="000000"/>
        </w:rPr>
        <w:t>, P.,</w:t>
      </w:r>
      <w:r w:rsidR="000C0BD2" w:rsidRPr="008F6472">
        <w:rPr>
          <w:color w:val="000000"/>
        </w:rPr>
        <w:t xml:space="preserve"> “Homoadoptie, mee- en zorgouderschap. Te veel van het goede? Tegenstanders maken discussie over homo's met kinderen veel te ingewikkeld”, </w:t>
      </w:r>
      <w:r w:rsidR="000C0BD2" w:rsidRPr="008F6472">
        <w:rPr>
          <w:i/>
          <w:iCs/>
          <w:color w:val="000000"/>
        </w:rPr>
        <w:t>Juristenkrant</w:t>
      </w:r>
      <w:r w:rsidR="000C0BD2" w:rsidRPr="008F6472">
        <w:rPr>
          <w:color w:val="000000"/>
        </w:rPr>
        <w:t xml:space="preserve"> 2005, 28 september 2005, alf. 114, 3.</w:t>
      </w:r>
    </w:p>
    <w:p w:rsidR="000C0BD2" w:rsidRDefault="000C0BD2" w:rsidP="00051736">
      <w:pPr>
        <w:rPr>
          <w:color w:val="000000"/>
        </w:rPr>
      </w:pPr>
    </w:p>
    <w:p w:rsidR="000C0BD2" w:rsidRPr="00705CA6" w:rsidRDefault="00E77C84" w:rsidP="00051736">
      <w:pPr>
        <w:rPr>
          <w:color w:val="000000"/>
        </w:rPr>
      </w:pPr>
      <w:r>
        <w:rPr>
          <w:smallCaps/>
          <w:color w:val="000000"/>
        </w:rPr>
        <w:t>BORGHS</w:t>
      </w:r>
      <w:r w:rsidR="000C0BD2">
        <w:rPr>
          <w:smallCaps/>
          <w:color w:val="000000"/>
        </w:rPr>
        <w:t xml:space="preserve">, P., </w:t>
      </w:r>
      <w:r w:rsidR="000C0BD2">
        <w:rPr>
          <w:color w:val="000000"/>
        </w:rPr>
        <w:t xml:space="preserve">“Rechtspositie meemoeder. Van adoptieve naar oorspronkelijke juridische afstamming”, </w:t>
      </w:r>
      <w:r w:rsidR="000C0BD2" w:rsidRPr="00705CA6">
        <w:rPr>
          <w:i/>
          <w:iCs/>
          <w:color w:val="000000"/>
        </w:rPr>
        <w:t xml:space="preserve">NJW </w:t>
      </w:r>
      <w:r w:rsidR="000C0BD2">
        <w:rPr>
          <w:color w:val="000000"/>
        </w:rPr>
        <w:t>2013, afl. 282, 382-408.</w:t>
      </w:r>
    </w:p>
    <w:p w:rsidR="000C0BD2" w:rsidRDefault="000C0BD2" w:rsidP="00051736"/>
    <w:p w:rsidR="000C0BD2" w:rsidRDefault="00E77C84" w:rsidP="00051736">
      <w:r>
        <w:rPr>
          <w:smallCaps/>
          <w:color w:val="000000"/>
        </w:rPr>
        <w:t>CASMAN</w:t>
      </w:r>
      <w:r w:rsidR="000C0BD2" w:rsidRPr="008F6472">
        <w:rPr>
          <w:smallCaps/>
          <w:color w:val="000000"/>
        </w:rPr>
        <w:t>, H., “</w:t>
      </w:r>
      <w:r w:rsidR="000C0BD2" w:rsidRPr="008F6472">
        <w:rPr>
          <w:color w:val="000000"/>
        </w:rPr>
        <w:t xml:space="preserve">Actueel Belgisch afstammingsrecht in vogelvlucht.”, </w:t>
      </w:r>
      <w:r w:rsidR="000C0BD2" w:rsidRPr="008F6472">
        <w:rPr>
          <w:i/>
          <w:iCs/>
        </w:rPr>
        <w:t>Not.Fisc.M.</w:t>
      </w:r>
      <w:r w:rsidR="000C0BD2" w:rsidRPr="008F6472">
        <w:t xml:space="preserve"> 2008, afl. 4, 119-130.</w:t>
      </w:r>
      <w:r w:rsidR="000C0BD2">
        <w:t xml:space="preserve"> </w:t>
      </w:r>
    </w:p>
    <w:p w:rsidR="000C0BD2" w:rsidRDefault="00E77C84" w:rsidP="00CF6AB9">
      <w:pPr>
        <w:pStyle w:val="Randnummer"/>
        <w:ind w:left="0" w:firstLine="0"/>
      </w:pPr>
      <w:r>
        <w:rPr>
          <w:smallCaps/>
        </w:rPr>
        <w:t>DE BUSSCHERE</w:t>
      </w:r>
      <w:r w:rsidR="000C0BD2" w:rsidRPr="00CF6AB9">
        <w:rPr>
          <w:smallCaps/>
        </w:rPr>
        <w:t>,</w:t>
      </w:r>
      <w:r w:rsidR="000C0BD2" w:rsidRPr="00CF6AB9">
        <w:t xml:space="preserve"> C., “Het nieuwe Belgische recht inzake de voogdij over minderjarigen: enkele aspecten en enkele beschouwingen”, </w:t>
      </w:r>
      <w:r w:rsidR="000C0BD2" w:rsidRPr="00CF6AB9">
        <w:rPr>
          <w:i/>
          <w:iCs/>
        </w:rPr>
        <w:t>T.Not.</w:t>
      </w:r>
      <w:r w:rsidR="000C0BD2">
        <w:t xml:space="preserve"> 2001, 349-454.</w:t>
      </w:r>
    </w:p>
    <w:p w:rsidR="000C0BD2" w:rsidRPr="00CF6AB9" w:rsidRDefault="00E77C84" w:rsidP="00CF6AB9">
      <w:pPr>
        <w:pStyle w:val="Randnummer"/>
        <w:ind w:left="0" w:firstLine="0"/>
      </w:pPr>
      <w:r>
        <w:rPr>
          <w:smallCaps/>
        </w:rPr>
        <w:t>GOEGEBUER</w:t>
      </w:r>
      <w:r w:rsidR="000C0BD2">
        <w:rPr>
          <w:smallCaps/>
        </w:rPr>
        <w:t xml:space="preserve">, M., </w:t>
      </w:r>
      <w:r w:rsidR="000C0BD2">
        <w:t xml:space="preserve">“Nee moeder of meemoeder? De lesbische meemoeder versus een onverantwoorde adoptieweigering door de oorspronkelijke ouder” (noot onder Grondwettelijk Hof 12 juli 2012), </w:t>
      </w:r>
      <w:r w:rsidR="000C0BD2" w:rsidRPr="00B5442E">
        <w:rPr>
          <w:i/>
          <w:iCs/>
        </w:rPr>
        <w:t>T.Fam.</w:t>
      </w:r>
      <w:r w:rsidR="000C0BD2">
        <w:t xml:space="preserve"> 2013, 158-165.</w:t>
      </w:r>
    </w:p>
    <w:p w:rsidR="000C0BD2" w:rsidRDefault="000C0BD2" w:rsidP="00051736"/>
    <w:p w:rsidR="00FB7090" w:rsidRDefault="00E77C84" w:rsidP="00FB7090">
      <w:r>
        <w:rPr>
          <w:smallCaps/>
        </w:rPr>
        <w:t>HUYGENS</w:t>
      </w:r>
      <w:r w:rsidR="000C0BD2" w:rsidRPr="008F6472">
        <w:rPr>
          <w:smallCaps/>
        </w:rPr>
        <w:t xml:space="preserve">, A., </w:t>
      </w:r>
      <w:r w:rsidR="000C0BD2" w:rsidRPr="008F6472">
        <w:t xml:space="preserve">“Persoonlijk gezag over minderjarige kinderen: quo vadis?”, </w:t>
      </w:r>
      <w:r w:rsidR="000C0BD2" w:rsidRPr="008F6472">
        <w:rPr>
          <w:i/>
          <w:iCs/>
        </w:rPr>
        <w:t>TBBR</w:t>
      </w:r>
      <w:r w:rsidR="000C0BD2" w:rsidRPr="008F6472">
        <w:t xml:space="preserve"> 2006, afl. 10, 567-588.</w:t>
      </w:r>
    </w:p>
    <w:p w:rsidR="00FB7090" w:rsidRDefault="00FB7090" w:rsidP="00FB7090"/>
    <w:p w:rsidR="00C764DE" w:rsidRDefault="00E77C84" w:rsidP="00FB7090">
      <w:r>
        <w:rPr>
          <w:smallCaps/>
        </w:rPr>
        <w:t>MEERSSCHAUT</w:t>
      </w:r>
      <w:r w:rsidR="00C764DE">
        <w:rPr>
          <w:smallCaps/>
        </w:rPr>
        <w:t xml:space="preserve">, F. </w:t>
      </w:r>
      <w:r w:rsidR="00C764DE">
        <w:t xml:space="preserve">“Overzicht van rechtspraak – De rechtspraak van het arbitragehof ten behoeve van de private rechtspraktijk 1992-1997”, </w:t>
      </w:r>
      <w:r w:rsidR="00C764DE" w:rsidRPr="00C764DE">
        <w:rPr>
          <w:i/>
        </w:rPr>
        <w:t xml:space="preserve">TPR </w:t>
      </w:r>
      <w:r w:rsidR="00C764DE">
        <w:t>1998, 889-</w:t>
      </w:r>
      <w:r w:rsidR="004D3932">
        <w:t>1124.</w:t>
      </w:r>
    </w:p>
    <w:p w:rsidR="000C0BD2" w:rsidRDefault="000C0BD2" w:rsidP="00051736"/>
    <w:p w:rsidR="000C0BD2" w:rsidRDefault="00E77C84" w:rsidP="00051736">
      <w:r>
        <w:rPr>
          <w:smallCaps/>
        </w:rPr>
        <w:t>PAUWELS</w:t>
      </w:r>
      <w:r w:rsidR="000C0BD2">
        <w:rPr>
          <w:smallCaps/>
        </w:rPr>
        <w:t xml:space="preserve">, J., </w:t>
      </w:r>
      <w:r w:rsidR="000C0BD2">
        <w:t xml:space="preserve">“Pleegvoogdij door twee echtgenoten” (noot onder Gent 10 december 1975), </w:t>
      </w:r>
      <w:r w:rsidR="00F31354">
        <w:rPr>
          <w:i/>
          <w:iCs/>
        </w:rPr>
        <w:t>RW</w:t>
      </w:r>
      <w:r w:rsidR="000C0BD2">
        <w:t xml:space="preserve"> 1977-78, 1261-1262.</w:t>
      </w:r>
    </w:p>
    <w:p w:rsidR="000C0BD2" w:rsidRDefault="000C0BD2" w:rsidP="00051736"/>
    <w:p w:rsidR="000C0BD2" w:rsidRDefault="00E77C84" w:rsidP="00051736">
      <w:pPr>
        <w:rPr>
          <w:color w:val="000000"/>
        </w:rPr>
      </w:pPr>
      <w:r>
        <w:rPr>
          <w:smallCaps/>
        </w:rPr>
        <w:t>RDC</w:t>
      </w:r>
      <w:r w:rsidR="000C0BD2">
        <w:rPr>
          <w:smallCaps/>
        </w:rPr>
        <w:t xml:space="preserve">, </w:t>
      </w:r>
      <w:r w:rsidR="000C0BD2">
        <w:t xml:space="preserve">noot onder Arbitragehof 8 oktober 2003, </w:t>
      </w:r>
      <w:r w:rsidR="000C0BD2">
        <w:rPr>
          <w:i/>
          <w:iCs/>
          <w:color w:val="000000"/>
        </w:rPr>
        <w:t xml:space="preserve">NJW </w:t>
      </w:r>
      <w:r w:rsidR="000C0BD2" w:rsidRPr="008F6472">
        <w:rPr>
          <w:color w:val="000000"/>
        </w:rPr>
        <w:t>2004,</w:t>
      </w:r>
      <w:r w:rsidR="000C0BD2">
        <w:rPr>
          <w:color w:val="000000"/>
        </w:rPr>
        <w:t xml:space="preserve"> 80.</w:t>
      </w:r>
    </w:p>
    <w:p w:rsidR="000C0BD2" w:rsidRPr="00BC4550" w:rsidRDefault="00E77C84" w:rsidP="00051736">
      <w:r>
        <w:rPr>
          <w:smallCaps/>
          <w:color w:val="000000"/>
        </w:rPr>
        <w:t>ROBERT</w:t>
      </w:r>
      <w:r w:rsidR="000C0BD2">
        <w:rPr>
          <w:smallCaps/>
          <w:color w:val="000000"/>
        </w:rPr>
        <w:t xml:space="preserve">, T., </w:t>
      </w:r>
      <w:r w:rsidR="000C0BD2">
        <w:rPr>
          <w:color w:val="000000"/>
        </w:rPr>
        <w:t xml:space="preserve">“Afstamming als exclusieve grondslag van het ouderlijk gezag: geen toelaatbare verantwoording, maar niet discriminerend.” (noot onder </w:t>
      </w:r>
      <w:r w:rsidR="000C0BD2" w:rsidRPr="008F6472">
        <w:rPr>
          <w:color w:val="000000"/>
        </w:rPr>
        <w:t>Arbitragehof 8 oktober 2003),</w:t>
      </w:r>
      <w:r w:rsidR="000C0BD2">
        <w:rPr>
          <w:color w:val="000000"/>
        </w:rPr>
        <w:t xml:space="preserve"> </w:t>
      </w:r>
      <w:r w:rsidR="00F31354">
        <w:rPr>
          <w:i/>
          <w:iCs/>
          <w:color w:val="000000"/>
        </w:rPr>
        <w:t>RW</w:t>
      </w:r>
      <w:r w:rsidR="000C0BD2">
        <w:rPr>
          <w:color w:val="000000"/>
        </w:rPr>
        <w:t xml:space="preserve"> 2003-04, afl. 26, 1017-1018.</w:t>
      </w:r>
    </w:p>
    <w:p w:rsidR="000C0BD2" w:rsidRDefault="000C0BD2" w:rsidP="00051736"/>
    <w:p w:rsidR="000C0BD2" w:rsidRDefault="00E77C84" w:rsidP="00051736">
      <w:pPr>
        <w:rPr>
          <w:color w:val="000000"/>
        </w:rPr>
      </w:pPr>
      <w:r>
        <w:rPr>
          <w:smallCaps/>
          <w:color w:val="000000"/>
        </w:rPr>
        <w:t>ROBERT</w:t>
      </w:r>
      <w:r w:rsidR="000C0BD2" w:rsidRPr="008F6472">
        <w:rPr>
          <w:smallCaps/>
          <w:color w:val="000000"/>
        </w:rPr>
        <w:t xml:space="preserve">, T., </w:t>
      </w:r>
      <w:r w:rsidR="000C0BD2" w:rsidRPr="008F6472">
        <w:rPr>
          <w:color w:val="000000"/>
        </w:rPr>
        <w:t xml:space="preserve">“Naar een afstammingsloos gezag?” (noot onder Arbitragehof 8 oktober 2003), </w:t>
      </w:r>
      <w:r w:rsidR="000C0BD2" w:rsidRPr="008F6472">
        <w:rPr>
          <w:i/>
          <w:iCs/>
          <w:color w:val="000000"/>
        </w:rPr>
        <w:t>TJK</w:t>
      </w:r>
      <w:r w:rsidR="000C0BD2" w:rsidRPr="008F6472">
        <w:rPr>
          <w:color w:val="000000"/>
        </w:rPr>
        <w:t xml:space="preserve"> 2004, 39-43.</w:t>
      </w:r>
    </w:p>
    <w:p w:rsidR="000C0BD2" w:rsidRDefault="000C0BD2" w:rsidP="00051736">
      <w:pPr>
        <w:rPr>
          <w:color w:val="000000"/>
        </w:rPr>
      </w:pPr>
    </w:p>
    <w:p w:rsidR="000C0BD2" w:rsidRDefault="00E77C84" w:rsidP="00051736">
      <w:r>
        <w:rPr>
          <w:smallCaps/>
        </w:rPr>
        <w:t>SEGHERS</w:t>
      </w:r>
      <w:r w:rsidR="000C0BD2">
        <w:rPr>
          <w:smallCaps/>
        </w:rPr>
        <w:t xml:space="preserve">, G. </w:t>
      </w:r>
      <w:r w:rsidR="000C0BD2">
        <w:t xml:space="preserve">en </w:t>
      </w:r>
      <w:r>
        <w:rPr>
          <w:smallCaps/>
        </w:rPr>
        <w:t>SWENNEN</w:t>
      </w:r>
      <w:r w:rsidR="000C0BD2">
        <w:rPr>
          <w:smallCaps/>
        </w:rPr>
        <w:t xml:space="preserve">, F., </w:t>
      </w:r>
      <w:r w:rsidR="000C0BD2">
        <w:t xml:space="preserve">“Meemoederschap zonder adoptie – de wet van 5 mei 2014 tot vaststelling van de afstamming van de meemoeder”, </w:t>
      </w:r>
      <w:r w:rsidR="000C0BD2" w:rsidRPr="006E5DD4">
        <w:rPr>
          <w:i/>
          <w:iCs/>
        </w:rPr>
        <w:t>TBBR</w:t>
      </w:r>
      <w:r w:rsidR="000C0BD2">
        <w:t xml:space="preserve"> 2014, 480-486.</w:t>
      </w:r>
    </w:p>
    <w:p w:rsidR="000C0BD2" w:rsidRDefault="000C0BD2" w:rsidP="00051736"/>
    <w:p w:rsidR="000C0BD2" w:rsidRDefault="00E77C84" w:rsidP="00051736">
      <w:r>
        <w:rPr>
          <w:smallCaps/>
        </w:rPr>
        <w:t>SENAEVE</w:t>
      </w:r>
      <w:r w:rsidR="000C0BD2" w:rsidRPr="00420C41">
        <w:rPr>
          <w:smallCaps/>
        </w:rPr>
        <w:t>,</w:t>
      </w:r>
      <w:r w:rsidR="000C0BD2">
        <w:rPr>
          <w:smallCaps/>
        </w:rPr>
        <w:t xml:space="preserve"> P.,</w:t>
      </w:r>
      <w:r w:rsidR="000C0BD2" w:rsidRPr="00420C41">
        <w:rPr>
          <w:smallCaps/>
        </w:rPr>
        <w:t xml:space="preserve"> </w:t>
      </w:r>
      <w:r w:rsidR="000C0BD2" w:rsidRPr="00420C41">
        <w:t>“Naar een wettelijk statuut voor de lesbische meemoeder?</w:t>
      </w:r>
      <w:r w:rsidR="000C0BD2" w:rsidRPr="00420C41">
        <w:rPr>
          <w:color w:val="000000"/>
        </w:rPr>
        <w:t>”</w:t>
      </w:r>
      <w:r w:rsidR="000C0BD2">
        <w:rPr>
          <w:color w:val="000000"/>
        </w:rPr>
        <w:t xml:space="preserve"> (noot onder Arbitragehof 8 oktober 2003), </w:t>
      </w:r>
      <w:r w:rsidR="000C0BD2" w:rsidRPr="00420C41">
        <w:rPr>
          <w:i/>
          <w:iCs/>
          <w:color w:val="000000"/>
        </w:rPr>
        <w:t>Echt</w:t>
      </w:r>
      <w:r w:rsidR="000C0BD2">
        <w:rPr>
          <w:i/>
          <w:iCs/>
          <w:color w:val="000000"/>
        </w:rPr>
        <w:t>s</w:t>
      </w:r>
      <w:r w:rsidR="000C0BD2" w:rsidRPr="00420C41">
        <w:rPr>
          <w:i/>
          <w:iCs/>
          <w:color w:val="000000"/>
        </w:rPr>
        <w:t xml:space="preserve">cheidingsjournaal </w:t>
      </w:r>
      <w:r w:rsidR="000C0BD2">
        <w:rPr>
          <w:color w:val="000000"/>
        </w:rPr>
        <w:t>2003, 135-139.</w:t>
      </w:r>
    </w:p>
    <w:p w:rsidR="000C0BD2" w:rsidRDefault="00E77C84" w:rsidP="00051736">
      <w:pPr>
        <w:pStyle w:val="Randnummer"/>
        <w:ind w:left="0" w:firstLine="0"/>
      </w:pPr>
      <w:r>
        <w:rPr>
          <w:smallCaps/>
        </w:rPr>
        <w:t>UYTTENDAELE</w:t>
      </w:r>
      <w:r w:rsidR="000C0BD2">
        <w:rPr>
          <w:smallCaps/>
        </w:rPr>
        <w:t>, R.,</w:t>
      </w:r>
      <w:r w:rsidR="000C0BD2">
        <w:t xml:space="preserve"> </w:t>
      </w:r>
      <w:r w:rsidR="000C0BD2" w:rsidRPr="002C5D7A">
        <w:t xml:space="preserve">“De volle stiefouderadoptie: dode letter of uitzondering?”, </w:t>
      </w:r>
      <w:r w:rsidR="000C0BD2" w:rsidRPr="00A01CA7">
        <w:rPr>
          <w:i/>
          <w:iCs/>
        </w:rPr>
        <w:t>RW</w:t>
      </w:r>
      <w:r w:rsidR="00F31354">
        <w:rPr>
          <w:i/>
          <w:iCs/>
        </w:rPr>
        <w:t xml:space="preserve"> </w:t>
      </w:r>
      <w:r w:rsidR="000C0BD2" w:rsidRPr="002C5D7A">
        <w:t>1989-90, 1049-1053</w:t>
      </w:r>
      <w:r w:rsidR="000C0BD2">
        <w:t>.</w:t>
      </w:r>
    </w:p>
    <w:p w:rsidR="000C0BD2" w:rsidRPr="00051736" w:rsidRDefault="000C0BD2" w:rsidP="00051736"/>
    <w:p w:rsidR="000C0BD2" w:rsidRDefault="00E77C84" w:rsidP="00051736">
      <w:r>
        <w:rPr>
          <w:smallCaps/>
        </w:rPr>
        <w:t>UYTTERHOEVEN</w:t>
      </w:r>
      <w:r w:rsidR="000C0BD2" w:rsidRPr="008F6472">
        <w:rPr>
          <w:smallCaps/>
        </w:rPr>
        <w:t xml:space="preserve">, K., </w:t>
      </w:r>
      <w:r w:rsidR="000C0BD2" w:rsidRPr="008F6472">
        <w:t>“Worden stiefoud</w:t>
      </w:r>
      <w:r w:rsidR="00812D64">
        <w:t>ers stiefmoederlijk behandeld?”,</w:t>
      </w:r>
      <w:r w:rsidR="000C0BD2" w:rsidRPr="008F6472">
        <w:t xml:space="preserve"> </w:t>
      </w:r>
      <w:r w:rsidR="000C0BD2" w:rsidRPr="008F6472">
        <w:rPr>
          <w:i/>
          <w:iCs/>
        </w:rPr>
        <w:t>T.Fam</w:t>
      </w:r>
      <w:r w:rsidR="000C0BD2" w:rsidRPr="008F6472">
        <w:t>. 2009, afl. 7, 125-126.</w:t>
      </w:r>
    </w:p>
    <w:p w:rsidR="000C0BD2" w:rsidRDefault="000C0BD2" w:rsidP="00051736"/>
    <w:p w:rsidR="000C0BD2" w:rsidRDefault="00E77C84" w:rsidP="00051736">
      <w:pPr>
        <w:rPr>
          <w:color w:val="000000"/>
        </w:rPr>
      </w:pPr>
      <w:r>
        <w:rPr>
          <w:smallCaps/>
          <w:color w:val="000000"/>
        </w:rPr>
        <w:t>VANDEKERCKHOVE</w:t>
      </w:r>
      <w:r w:rsidR="000C0BD2" w:rsidRPr="00DB497B">
        <w:rPr>
          <w:smallCaps/>
          <w:color w:val="000000"/>
        </w:rPr>
        <w:t>, A., “</w:t>
      </w:r>
      <w:r w:rsidR="000C0BD2" w:rsidRPr="00DB497B">
        <w:rPr>
          <w:color w:val="000000"/>
        </w:rPr>
        <w:t xml:space="preserve">Zorgouderschap? Meerdere ouderschapsstatuten voor één kind?”, </w:t>
      </w:r>
      <w:r w:rsidR="000C0BD2" w:rsidRPr="00DB497B">
        <w:rPr>
          <w:i/>
          <w:iCs/>
          <w:color w:val="000000"/>
        </w:rPr>
        <w:t>TJK</w:t>
      </w:r>
      <w:r w:rsidR="000C0BD2" w:rsidRPr="00DB497B">
        <w:rPr>
          <w:color w:val="000000"/>
        </w:rPr>
        <w:t xml:space="preserve"> 2006, 256-260.</w:t>
      </w:r>
    </w:p>
    <w:p w:rsidR="000C0BD2" w:rsidRDefault="000C0BD2" w:rsidP="00051736">
      <w:pPr>
        <w:rPr>
          <w:color w:val="000000"/>
        </w:rPr>
      </w:pPr>
    </w:p>
    <w:p w:rsidR="00233DBA" w:rsidRDefault="00E77C84" w:rsidP="00051736">
      <w:r>
        <w:rPr>
          <w:smallCaps/>
        </w:rPr>
        <w:t>VASSEUR</w:t>
      </w:r>
      <w:r w:rsidR="00233DBA">
        <w:rPr>
          <w:smallCaps/>
        </w:rPr>
        <w:t xml:space="preserve">, R., </w:t>
      </w:r>
      <w:r w:rsidR="00233DBA">
        <w:t>“Hof van Cassatie verduidelijkt draagwijdte ‘bijzondere affectieve band’ ex artikel 375</w:t>
      </w:r>
      <w:r w:rsidR="00233DBA" w:rsidRPr="00233DBA">
        <w:rPr>
          <w:i/>
        </w:rPr>
        <w:t>bis</w:t>
      </w:r>
      <w:r w:rsidR="00233DBA">
        <w:t xml:space="preserve"> BW.”, (noot onder Hof van Cassatie 16 januari 2009), </w:t>
      </w:r>
      <w:r w:rsidR="00233DBA" w:rsidRPr="00233DBA">
        <w:rPr>
          <w:i/>
        </w:rPr>
        <w:t>T.Fam.</w:t>
      </w:r>
      <w:r w:rsidR="00233DBA">
        <w:t xml:space="preserve"> 2009, 94-96.</w:t>
      </w:r>
    </w:p>
    <w:p w:rsidR="00233DBA" w:rsidRDefault="00233DBA" w:rsidP="00051736">
      <w:pPr>
        <w:rPr>
          <w:color w:val="000000"/>
        </w:rPr>
      </w:pPr>
    </w:p>
    <w:p w:rsidR="000C0BD2" w:rsidRDefault="00E77C84" w:rsidP="00051736">
      <w:r>
        <w:rPr>
          <w:smallCaps/>
        </w:rPr>
        <w:t>VASSEUR</w:t>
      </w:r>
      <w:r w:rsidR="000C0BD2">
        <w:rPr>
          <w:smallCaps/>
        </w:rPr>
        <w:t xml:space="preserve">, R., </w:t>
      </w:r>
      <w:r w:rsidR="000C0BD2">
        <w:t xml:space="preserve">“Ontzetting uit het ouderlijk gezag, geen straf, wel jeugdbeschermingsmaatregel. Een toepassing.” (noot onder Hof van beroep Gent 10 december 2014), </w:t>
      </w:r>
      <w:r w:rsidR="000C0BD2" w:rsidRPr="00BA2447">
        <w:rPr>
          <w:i/>
          <w:iCs/>
        </w:rPr>
        <w:t xml:space="preserve">TJK </w:t>
      </w:r>
      <w:r w:rsidR="000C0BD2">
        <w:t>2015, 176-183.</w:t>
      </w:r>
    </w:p>
    <w:p w:rsidR="000C0BD2" w:rsidRDefault="000C0BD2" w:rsidP="00051736"/>
    <w:p w:rsidR="000C0BD2" w:rsidRDefault="00E77C84" w:rsidP="00051736">
      <w:r>
        <w:rPr>
          <w:smallCaps/>
        </w:rPr>
        <w:t>VERSCHELDEN</w:t>
      </w:r>
      <w:r w:rsidR="000C0BD2" w:rsidRPr="008F6472">
        <w:rPr>
          <w:smallCaps/>
        </w:rPr>
        <w:t xml:space="preserve">, </w:t>
      </w:r>
      <w:r w:rsidR="000C0BD2" w:rsidRPr="008F6472">
        <w:t>G. “Het belang van het kind bij stiefouderadoptie en partneradoptie: de onvoorspelbaarheid van artikel 21 I.V.R.K.” (noot onder Jeugdrb. Antwerpen (2</w:t>
      </w:r>
      <w:r w:rsidR="000C0BD2" w:rsidRPr="008F6472">
        <w:rPr>
          <w:vertAlign w:val="superscript"/>
        </w:rPr>
        <w:t>e</w:t>
      </w:r>
      <w:r w:rsidR="000C0BD2" w:rsidRPr="008F6472">
        <w:t xml:space="preserve"> Kamer) 11 januari 2000 ), </w:t>
      </w:r>
      <w:r w:rsidR="000C0BD2" w:rsidRPr="008F6472">
        <w:rPr>
          <w:i/>
          <w:iCs/>
        </w:rPr>
        <w:t xml:space="preserve">TJK </w:t>
      </w:r>
      <w:r w:rsidR="000C0BD2" w:rsidRPr="008F6472">
        <w:t>2000, 70-74.</w:t>
      </w:r>
    </w:p>
    <w:p w:rsidR="000C0BD2" w:rsidRDefault="000C0BD2" w:rsidP="00051736"/>
    <w:p w:rsidR="000C0BD2" w:rsidRDefault="00E77C84" w:rsidP="00051736">
      <w:r>
        <w:rPr>
          <w:smallCaps/>
        </w:rPr>
        <w:t>VERSCHELDEN</w:t>
      </w:r>
      <w:r w:rsidR="000C0BD2" w:rsidRPr="008F6472">
        <w:rPr>
          <w:smallCaps/>
        </w:rPr>
        <w:t xml:space="preserve">, </w:t>
      </w:r>
      <w:r w:rsidR="000C0BD2" w:rsidRPr="008F6472">
        <w:rPr>
          <w:color w:val="000000"/>
        </w:rPr>
        <w:t xml:space="preserve">G., “Ouderlijk gezag en omgangsrecht” in </w:t>
      </w:r>
      <w:r>
        <w:rPr>
          <w:smallCaps/>
          <w:color w:val="000000"/>
        </w:rPr>
        <w:t>VERSCHELDEN</w:t>
      </w:r>
      <w:r w:rsidR="000C0BD2" w:rsidRPr="008F6472">
        <w:rPr>
          <w:smallCaps/>
          <w:color w:val="000000"/>
        </w:rPr>
        <w:t xml:space="preserve">, G., </w:t>
      </w:r>
      <w:r>
        <w:rPr>
          <w:smallCaps/>
          <w:color w:val="000000"/>
        </w:rPr>
        <w:t>GULDIX</w:t>
      </w:r>
      <w:r w:rsidR="000C0BD2" w:rsidRPr="008F6472">
        <w:rPr>
          <w:smallCaps/>
          <w:color w:val="000000"/>
        </w:rPr>
        <w:t xml:space="preserve">, E., </w:t>
      </w:r>
      <w:r>
        <w:rPr>
          <w:smallCaps/>
          <w:color w:val="000000"/>
        </w:rPr>
        <w:t>WYLLEMAN</w:t>
      </w:r>
      <w:r w:rsidR="000C0BD2" w:rsidRPr="008F6472">
        <w:rPr>
          <w:smallCaps/>
          <w:color w:val="000000"/>
        </w:rPr>
        <w:t xml:space="preserve">, A., </w:t>
      </w:r>
      <w:r>
        <w:rPr>
          <w:smallCaps/>
          <w:color w:val="000000"/>
        </w:rPr>
        <w:t>BROUWERS</w:t>
      </w:r>
      <w:r w:rsidR="000C0BD2" w:rsidRPr="008F6472">
        <w:rPr>
          <w:smallCaps/>
          <w:color w:val="000000"/>
        </w:rPr>
        <w:t xml:space="preserve">, S., </w:t>
      </w:r>
      <w:r>
        <w:rPr>
          <w:smallCaps/>
          <w:color w:val="000000"/>
        </w:rPr>
        <w:t>BAETEMAN</w:t>
      </w:r>
      <w:r w:rsidR="000C0BD2" w:rsidRPr="008F6472">
        <w:rPr>
          <w:smallCaps/>
          <w:color w:val="000000"/>
        </w:rPr>
        <w:t xml:space="preserve">, G. </w:t>
      </w:r>
      <w:r w:rsidR="000C0BD2" w:rsidRPr="008F6472">
        <w:rPr>
          <w:color w:val="000000"/>
        </w:rPr>
        <w:t xml:space="preserve">en </w:t>
      </w:r>
      <w:r>
        <w:rPr>
          <w:smallCaps/>
          <w:color w:val="000000"/>
        </w:rPr>
        <w:t>GERLO</w:t>
      </w:r>
      <w:r w:rsidR="000C0BD2" w:rsidRPr="008F6472">
        <w:rPr>
          <w:smallCaps/>
          <w:color w:val="000000"/>
        </w:rPr>
        <w:t>, J. (</w:t>
      </w:r>
      <w:r w:rsidR="000C0BD2" w:rsidRPr="008F6472">
        <w:rPr>
          <w:color w:val="000000"/>
        </w:rPr>
        <w:t>eds.)</w:t>
      </w:r>
      <w:r w:rsidR="000C0BD2" w:rsidRPr="008F6472">
        <w:rPr>
          <w:smallCaps/>
          <w:color w:val="000000"/>
        </w:rPr>
        <w:t xml:space="preserve">, </w:t>
      </w:r>
      <w:r w:rsidR="000C0BD2" w:rsidRPr="008F6472">
        <w:rPr>
          <w:color w:val="000000"/>
        </w:rPr>
        <w:t>“</w:t>
      </w:r>
      <w:hyperlink r:id="rId17" w:history="1">
        <w:r w:rsidR="000C0BD2" w:rsidRPr="008F6472">
          <w:rPr>
            <w:color w:val="000000"/>
          </w:rPr>
          <w:t>Personen- en familierecht 1995-2000. Overzicht van rechtspraak”</w:t>
        </w:r>
        <w:r w:rsidR="000C0BD2" w:rsidRPr="008F6472">
          <w:rPr>
            <w:i/>
            <w:iCs/>
            <w:color w:val="000000"/>
          </w:rPr>
          <w:t xml:space="preserve">, TPR </w:t>
        </w:r>
        <w:r w:rsidR="000C0BD2">
          <w:rPr>
            <w:color w:val="000000"/>
          </w:rPr>
          <w:t>2001</w:t>
        </w:r>
        <w:r w:rsidR="000C0BD2" w:rsidRPr="008F6472">
          <w:rPr>
            <w:color w:val="000000"/>
          </w:rPr>
          <w:t>, afl. 3, 1928-2013</w:t>
        </w:r>
      </w:hyperlink>
      <w:r w:rsidR="000C0BD2" w:rsidRPr="008F6472">
        <w:rPr>
          <w:color w:val="000000"/>
        </w:rPr>
        <w:t>.</w:t>
      </w:r>
    </w:p>
    <w:p w:rsidR="000C0BD2" w:rsidRDefault="000C0BD2" w:rsidP="00051736"/>
    <w:p w:rsidR="000C0BD2" w:rsidRDefault="00E77C84" w:rsidP="00051736">
      <w:r>
        <w:rPr>
          <w:smallCaps/>
          <w:color w:val="000000"/>
        </w:rPr>
        <w:t>VERSCHELDEN</w:t>
      </w:r>
      <w:r w:rsidR="000C0BD2" w:rsidRPr="00B60ABE">
        <w:rPr>
          <w:smallCaps/>
          <w:color w:val="000000"/>
        </w:rPr>
        <w:t xml:space="preserve">, G., </w:t>
      </w:r>
      <w:r w:rsidR="000C0BD2" w:rsidRPr="00B60ABE">
        <w:rPr>
          <w:color w:val="000000"/>
        </w:rPr>
        <w:t xml:space="preserve">“Arbitragehof zet deur open voor zorgouderschap”, </w:t>
      </w:r>
      <w:r w:rsidR="000C0BD2" w:rsidRPr="00B60ABE">
        <w:rPr>
          <w:i/>
          <w:iCs/>
          <w:color w:val="000000"/>
        </w:rPr>
        <w:t>Juristenkrant</w:t>
      </w:r>
      <w:r w:rsidR="000C0BD2" w:rsidRPr="00B60ABE">
        <w:rPr>
          <w:color w:val="000000"/>
        </w:rPr>
        <w:t xml:space="preserve"> 2003, 19 november 2003, afl. 78, 13.</w:t>
      </w:r>
    </w:p>
    <w:p w:rsidR="000C0BD2" w:rsidRDefault="000C0BD2" w:rsidP="00051736"/>
    <w:p w:rsidR="000C0BD2" w:rsidRDefault="00E77C84" w:rsidP="00051736">
      <w:r>
        <w:rPr>
          <w:smallCaps/>
        </w:rPr>
        <w:t>VERSCHELDEN</w:t>
      </w:r>
      <w:r w:rsidR="000C0BD2" w:rsidRPr="008F6472">
        <w:rPr>
          <w:smallCaps/>
        </w:rPr>
        <w:t>, G., “D</w:t>
      </w:r>
      <w:r w:rsidR="000C0BD2" w:rsidRPr="008F6472">
        <w:t xml:space="preserve">e familierechtelijke ambities van de regering-Michel I”, </w:t>
      </w:r>
      <w:r w:rsidR="000C0BD2" w:rsidRPr="008F6472">
        <w:rPr>
          <w:i/>
          <w:iCs/>
        </w:rPr>
        <w:t>T.Fam.</w:t>
      </w:r>
      <w:r w:rsidR="000C0BD2" w:rsidRPr="008F6472">
        <w:t xml:space="preserve"> 2015, afl. 10, 222.</w:t>
      </w:r>
    </w:p>
    <w:p w:rsidR="000C0BD2" w:rsidRDefault="000C0BD2" w:rsidP="00051736"/>
    <w:p w:rsidR="000C0BD2" w:rsidRDefault="00E77C84" w:rsidP="00051736">
      <w:r>
        <w:rPr>
          <w:smallCaps/>
          <w:color w:val="000000"/>
        </w:rPr>
        <w:lastRenderedPageBreak/>
        <w:t>VERSTRAETE</w:t>
      </w:r>
      <w:r w:rsidR="000C0BD2" w:rsidRPr="008F6472">
        <w:rPr>
          <w:smallCaps/>
          <w:color w:val="000000"/>
        </w:rPr>
        <w:t>, K., “</w:t>
      </w:r>
      <w:r w:rsidR="000C0BD2" w:rsidRPr="008F6472">
        <w:rPr>
          <w:color w:val="000000"/>
        </w:rPr>
        <w:t xml:space="preserve">Ouderlijk gezag en omgangsrecht” </w:t>
      </w:r>
      <w:r w:rsidR="000C0BD2" w:rsidRPr="008F6472">
        <w:rPr>
          <w:color w:val="4E4E4E"/>
        </w:rPr>
        <w:t>i</w:t>
      </w:r>
      <w:r w:rsidR="000C0BD2" w:rsidRPr="008F6472">
        <w:rPr>
          <w:color w:val="000000"/>
        </w:rPr>
        <w:t xml:space="preserve">n </w:t>
      </w:r>
      <w:r>
        <w:rPr>
          <w:smallCaps/>
          <w:color w:val="000000"/>
        </w:rPr>
        <w:t>VERSCHELDEN</w:t>
      </w:r>
      <w:r w:rsidR="000C0BD2" w:rsidRPr="008F6472">
        <w:rPr>
          <w:smallCaps/>
          <w:color w:val="000000"/>
        </w:rPr>
        <w:t xml:space="preserve">, G., </w:t>
      </w:r>
      <w:r>
        <w:rPr>
          <w:smallCaps/>
          <w:color w:val="000000"/>
        </w:rPr>
        <w:t>BROUWERS</w:t>
      </w:r>
      <w:r w:rsidR="000C0BD2" w:rsidRPr="008F6472">
        <w:rPr>
          <w:smallCaps/>
          <w:color w:val="000000"/>
        </w:rPr>
        <w:t xml:space="preserve">, S., </w:t>
      </w:r>
      <w:r>
        <w:rPr>
          <w:smallCaps/>
          <w:color w:val="000000"/>
        </w:rPr>
        <w:t>BOONE</w:t>
      </w:r>
      <w:r w:rsidR="000C0BD2" w:rsidRPr="008F6472">
        <w:rPr>
          <w:smallCaps/>
          <w:color w:val="000000"/>
        </w:rPr>
        <w:t xml:space="preserve">, K., </w:t>
      </w:r>
      <w:r>
        <w:rPr>
          <w:smallCaps/>
          <w:color w:val="000000"/>
        </w:rPr>
        <w:t>MARTENS</w:t>
      </w:r>
      <w:r w:rsidR="000C0BD2" w:rsidRPr="008F6472">
        <w:rPr>
          <w:smallCaps/>
          <w:color w:val="000000"/>
        </w:rPr>
        <w:t xml:space="preserve">, I. </w:t>
      </w:r>
      <w:r w:rsidR="000C0BD2" w:rsidRPr="008F6472">
        <w:rPr>
          <w:color w:val="000000"/>
        </w:rPr>
        <w:t xml:space="preserve">en </w:t>
      </w:r>
      <w:r>
        <w:rPr>
          <w:smallCaps/>
          <w:color w:val="000000"/>
        </w:rPr>
        <w:t>VERSTRAETE</w:t>
      </w:r>
      <w:r w:rsidR="000C0BD2" w:rsidRPr="008F6472">
        <w:rPr>
          <w:smallCaps/>
          <w:color w:val="000000"/>
        </w:rPr>
        <w:t>, K. (</w:t>
      </w:r>
      <w:r w:rsidR="000C0BD2" w:rsidRPr="008F6472">
        <w:rPr>
          <w:color w:val="000000"/>
        </w:rPr>
        <w:t>eds.)</w:t>
      </w:r>
      <w:hyperlink r:id="rId18" w:history="1">
        <w:r w:rsidR="000C0BD2">
          <w:rPr>
            <w:color w:val="000000"/>
          </w:rPr>
          <w:t>, “</w:t>
        </w:r>
        <w:r w:rsidR="000C0BD2" w:rsidRPr="008F6472">
          <w:rPr>
            <w:color w:val="000000"/>
          </w:rPr>
          <w:t>Overzicht rechtspraak. Familierecht (2001-2006)”,</w:t>
        </w:r>
        <w:r w:rsidR="000C0BD2" w:rsidRPr="008F6472">
          <w:rPr>
            <w:i/>
            <w:iCs/>
            <w:color w:val="000000"/>
          </w:rPr>
          <w:t xml:space="preserve"> TPR </w:t>
        </w:r>
        <w:r w:rsidR="000C0BD2" w:rsidRPr="008F6472">
          <w:rPr>
            <w:color w:val="000000"/>
          </w:rPr>
          <w:t>2007, afl. 1, 670-</w:t>
        </w:r>
      </w:hyperlink>
      <w:r w:rsidR="000C0BD2" w:rsidRPr="008F6472">
        <w:rPr>
          <w:color w:val="000000"/>
        </w:rPr>
        <w:t>789.</w:t>
      </w:r>
    </w:p>
    <w:p w:rsidR="000C0BD2" w:rsidRDefault="000C0BD2" w:rsidP="00051736"/>
    <w:p w:rsidR="000C0BD2" w:rsidRPr="00CF6AB9" w:rsidRDefault="00E77C84" w:rsidP="00CF6AB9">
      <w:r>
        <w:rPr>
          <w:smallCaps/>
          <w:color w:val="000000"/>
        </w:rPr>
        <w:t>WUYTS</w:t>
      </w:r>
      <w:r w:rsidR="000C0BD2" w:rsidRPr="008F6472">
        <w:rPr>
          <w:smallCaps/>
          <w:color w:val="000000"/>
        </w:rPr>
        <w:t>, T.</w:t>
      </w:r>
      <w:r w:rsidR="000C0BD2" w:rsidRPr="008F6472">
        <w:rPr>
          <w:smallCaps/>
        </w:rPr>
        <w:t>,</w:t>
      </w:r>
      <w:r w:rsidR="000C0BD2" w:rsidRPr="008F6472">
        <w:t xml:space="preserve"> “Ouderlijk gezag moet op maat van het gezin georganiseerd kunnen worden”, </w:t>
      </w:r>
      <w:r w:rsidR="000C0BD2" w:rsidRPr="008F6472">
        <w:rPr>
          <w:i/>
          <w:iCs/>
        </w:rPr>
        <w:t xml:space="preserve">TJK </w:t>
      </w:r>
      <w:r w:rsidR="000C0BD2" w:rsidRPr="008F6472">
        <w:t>2014, afl. 1, 6-21.</w:t>
      </w:r>
    </w:p>
    <w:p w:rsidR="000C0BD2" w:rsidRPr="00B114B0" w:rsidRDefault="000C0BD2" w:rsidP="00A43D35">
      <w:pPr>
        <w:pStyle w:val="Randnummer"/>
        <w:ind w:left="0" w:firstLine="0"/>
        <w:rPr>
          <w:i/>
          <w:iCs/>
          <w:u w:val="single"/>
          <w:lang w:val="en-US"/>
        </w:rPr>
      </w:pPr>
      <w:r w:rsidRPr="00B114B0">
        <w:rPr>
          <w:i/>
          <w:iCs/>
          <w:u w:val="single"/>
          <w:lang w:val="en-US"/>
        </w:rPr>
        <w:t>Canada</w:t>
      </w:r>
    </w:p>
    <w:p w:rsidR="000C0BD2" w:rsidRDefault="00E77C84" w:rsidP="00A43D35">
      <w:pPr>
        <w:pStyle w:val="Randnummer"/>
        <w:ind w:left="0" w:firstLine="0"/>
        <w:rPr>
          <w:lang w:val="en-US"/>
        </w:rPr>
      </w:pPr>
      <w:r>
        <w:rPr>
          <w:smallCaps/>
          <w:lang w:val="en-US"/>
        </w:rPr>
        <w:t>BOYD</w:t>
      </w:r>
      <w:r w:rsidR="000C0BD2" w:rsidRPr="00B114B0">
        <w:rPr>
          <w:smallCaps/>
          <w:lang w:val="en-US"/>
        </w:rPr>
        <w:t>, J. –P., “</w:t>
      </w:r>
      <w:r w:rsidR="000C0BD2" w:rsidRPr="00B114B0">
        <w:rPr>
          <w:lang w:val="en-US"/>
        </w:rPr>
        <w:t>Reconstructing Domestic Relations: Impr</w:t>
      </w:r>
      <w:r w:rsidR="000C0BD2" w:rsidRPr="00A40C86">
        <w:rPr>
          <w:lang w:val="en-US"/>
        </w:rPr>
        <w:t>ovements and Innovations in British Columbia's New Family Law Act</w:t>
      </w:r>
      <w:r w:rsidR="000C0BD2">
        <w:rPr>
          <w:lang w:val="en-US"/>
        </w:rPr>
        <w:t xml:space="preserve">”, </w:t>
      </w:r>
      <w:hyperlink r:id="rId19" w:tooltip="Click to search for more items from this journal" w:history="1">
        <w:r w:rsidR="000C0BD2" w:rsidRPr="00A40C86">
          <w:rPr>
            <w:i/>
            <w:iCs/>
            <w:lang w:val="en-US"/>
          </w:rPr>
          <w:t>Canadian Family Law Quarterly</w:t>
        </w:r>
      </w:hyperlink>
      <w:r w:rsidR="000C0BD2">
        <w:rPr>
          <w:i/>
          <w:iCs/>
          <w:lang w:val="en-US"/>
        </w:rPr>
        <w:t xml:space="preserve"> </w:t>
      </w:r>
      <w:r w:rsidR="000C0BD2" w:rsidRPr="00A40C86">
        <w:rPr>
          <w:lang w:val="en-US"/>
        </w:rPr>
        <w:t>2014, 353-366</w:t>
      </w:r>
      <w:r w:rsidR="000C0BD2">
        <w:rPr>
          <w:lang w:val="en-US"/>
        </w:rPr>
        <w:t>.</w:t>
      </w:r>
    </w:p>
    <w:p w:rsidR="000C0BD2" w:rsidRDefault="00E77C84" w:rsidP="00A43D35">
      <w:pPr>
        <w:pStyle w:val="Randnummer"/>
        <w:ind w:left="0" w:firstLine="0"/>
        <w:rPr>
          <w:lang w:val="en-US"/>
        </w:rPr>
      </w:pPr>
      <w:r>
        <w:rPr>
          <w:smallCaps/>
          <w:lang w:val="en-US"/>
        </w:rPr>
        <w:t>HARDER</w:t>
      </w:r>
      <w:r w:rsidR="000C0BD2">
        <w:rPr>
          <w:smallCaps/>
          <w:lang w:val="en-US"/>
        </w:rPr>
        <w:t xml:space="preserve">, L. </w:t>
      </w:r>
      <w:r w:rsidR="000C0BD2">
        <w:rPr>
          <w:lang w:val="en-US"/>
        </w:rPr>
        <w:t xml:space="preserve">en </w:t>
      </w:r>
      <w:r>
        <w:rPr>
          <w:smallCaps/>
          <w:lang w:val="en-US"/>
        </w:rPr>
        <w:t>THOMARAT</w:t>
      </w:r>
      <w:r w:rsidR="000C0BD2">
        <w:rPr>
          <w:smallCaps/>
          <w:lang w:val="en-US"/>
        </w:rPr>
        <w:t xml:space="preserve">, M., </w:t>
      </w:r>
      <w:r w:rsidR="000C0BD2">
        <w:rPr>
          <w:lang w:val="en-US"/>
        </w:rPr>
        <w:t xml:space="preserve">“Parentage law in Canada: the numbers game of standing and status”, </w:t>
      </w:r>
      <w:r w:rsidR="000C0BD2" w:rsidRPr="00876D5D">
        <w:rPr>
          <w:i/>
          <w:iCs/>
          <w:lang w:val="en-US"/>
        </w:rPr>
        <w:t>International Journal of Law, Policy and Family</w:t>
      </w:r>
      <w:r w:rsidR="000C0BD2">
        <w:rPr>
          <w:lang w:val="en-US"/>
        </w:rPr>
        <w:t xml:space="preserve"> 2012, vol. 26, 62-87.</w:t>
      </w:r>
    </w:p>
    <w:p w:rsidR="000C0BD2" w:rsidRPr="002C5D7A" w:rsidRDefault="00E77C84" w:rsidP="00A43D35">
      <w:pPr>
        <w:pStyle w:val="Randnummer"/>
        <w:ind w:left="0" w:firstLine="0"/>
        <w:rPr>
          <w:lang w:val="en-US"/>
        </w:rPr>
      </w:pPr>
      <w:r>
        <w:rPr>
          <w:smallCaps/>
          <w:lang w:val="en-US"/>
        </w:rPr>
        <w:t>KELLY</w:t>
      </w:r>
      <w:r w:rsidR="000C0BD2">
        <w:rPr>
          <w:smallCaps/>
          <w:lang w:val="en-US"/>
        </w:rPr>
        <w:t xml:space="preserve">, F., </w:t>
      </w:r>
      <w:r w:rsidR="000C0BD2">
        <w:rPr>
          <w:lang w:val="en-US"/>
        </w:rPr>
        <w:t xml:space="preserve">“Equal Parents, Equal Children: Reforming Canada’s Parentage Laws to Recognize the Completeness of Women-led Families, </w:t>
      </w:r>
      <w:r w:rsidR="000C0BD2" w:rsidRPr="00942D7A">
        <w:rPr>
          <w:i/>
          <w:iCs/>
          <w:lang w:val="en-US"/>
        </w:rPr>
        <w:t>University of New Brunswick Law Journal</w:t>
      </w:r>
      <w:r w:rsidR="000C0BD2">
        <w:rPr>
          <w:lang w:val="en-US"/>
        </w:rPr>
        <w:t xml:space="preserve"> 2013, vol. 64, 253-282.</w:t>
      </w:r>
    </w:p>
    <w:p w:rsidR="000C0BD2" w:rsidRDefault="00E77C84" w:rsidP="00A43D35">
      <w:pPr>
        <w:pStyle w:val="Randnummer"/>
        <w:ind w:left="0" w:firstLine="0"/>
        <w:rPr>
          <w:rStyle w:val="exlresultdetails"/>
          <w:color w:val="32322F"/>
          <w:lang w:val="en-US"/>
        </w:rPr>
      </w:pPr>
      <w:r>
        <w:rPr>
          <w:smallCaps/>
          <w:lang w:val="en-US"/>
        </w:rPr>
        <w:t>KELLY</w:t>
      </w:r>
      <w:r w:rsidR="000C0BD2">
        <w:rPr>
          <w:smallCaps/>
          <w:lang w:val="en-US"/>
        </w:rPr>
        <w:t xml:space="preserve">, F., </w:t>
      </w:r>
      <w:r w:rsidR="000C0BD2">
        <w:rPr>
          <w:lang w:val="en-US"/>
        </w:rPr>
        <w:t>“Multiple-parent families under British Columbia’s new family law act: a challenge to the supremacy of the nuclear family or a method by which to preserve biological ties and opposite-sex parenting?</w:t>
      </w:r>
      <w:proofErr w:type="gramStart"/>
      <w:r w:rsidR="000C0BD2">
        <w:rPr>
          <w:lang w:val="en-US"/>
        </w:rPr>
        <w:t>”,</w:t>
      </w:r>
      <w:proofErr w:type="gramEnd"/>
      <w:r w:rsidR="000C0BD2">
        <w:rPr>
          <w:lang w:val="en-US"/>
        </w:rPr>
        <w:t xml:space="preserve"> </w:t>
      </w:r>
      <w:r w:rsidR="000C0BD2" w:rsidRPr="00CF6AB9">
        <w:rPr>
          <w:rStyle w:val="exlresultdetails"/>
          <w:i/>
          <w:iCs/>
          <w:lang w:val="en-US"/>
        </w:rPr>
        <w:t xml:space="preserve">University of British Columbia Law Review </w:t>
      </w:r>
      <w:r w:rsidR="000C0BD2" w:rsidRPr="00CF6AB9">
        <w:rPr>
          <w:rStyle w:val="exlresultdetails"/>
          <w:lang w:val="en-US"/>
        </w:rPr>
        <w:t>2014, Vol.47(2), 565-595.</w:t>
      </w:r>
    </w:p>
    <w:p w:rsidR="000C0BD2" w:rsidRPr="005E6C09" w:rsidRDefault="00E77C84" w:rsidP="00A43D35">
      <w:pPr>
        <w:pStyle w:val="Randnummer"/>
        <w:ind w:left="0" w:firstLine="0"/>
        <w:rPr>
          <w:lang w:val="fr-BE"/>
        </w:rPr>
      </w:pPr>
      <w:r>
        <w:rPr>
          <w:smallCaps/>
          <w:lang w:val="fr-BE"/>
        </w:rPr>
        <w:t>L’ESPERANCE</w:t>
      </w:r>
      <w:r w:rsidR="000C0BD2" w:rsidRPr="005E6C09">
        <w:rPr>
          <w:smallCaps/>
          <w:lang w:val="fr-BE"/>
        </w:rPr>
        <w:t>, A., “</w:t>
      </w:r>
      <w:r w:rsidR="000C0BD2" w:rsidRPr="005E6C09">
        <w:rPr>
          <w:lang w:val="fr-BE"/>
        </w:rPr>
        <w:t xml:space="preserve">Quand la justice tisse des liens: </w:t>
      </w:r>
      <w:proofErr w:type="gramStart"/>
      <w:r w:rsidR="000C0BD2" w:rsidRPr="005E6C09">
        <w:rPr>
          <w:lang w:val="fr-BE"/>
        </w:rPr>
        <w:t>la</w:t>
      </w:r>
      <w:proofErr w:type="gramEnd"/>
      <w:r w:rsidR="000C0BD2" w:rsidRPr="005E6C09">
        <w:rPr>
          <w:lang w:val="fr-BE"/>
        </w:rPr>
        <w:t xml:space="preserve"> (re)construction de la filiation dans les decisions portant sur la procreation assistée au Canada.”, </w:t>
      </w:r>
      <w:r w:rsidR="000C0BD2" w:rsidRPr="005E6C09">
        <w:rPr>
          <w:i/>
          <w:iCs/>
          <w:lang w:val="fr-BE"/>
        </w:rPr>
        <w:t xml:space="preserve">Politique et Sociétés </w:t>
      </w:r>
      <w:r w:rsidR="000C0BD2" w:rsidRPr="005E6C09">
        <w:rPr>
          <w:lang w:val="fr-BE"/>
        </w:rPr>
        <w:t>2012, vol. 31, 67-92.</w:t>
      </w:r>
    </w:p>
    <w:p w:rsidR="000C0BD2" w:rsidRPr="00030347" w:rsidRDefault="00E77C84" w:rsidP="00A43D35">
      <w:pPr>
        <w:pStyle w:val="Randnummer"/>
        <w:ind w:left="0" w:firstLine="0"/>
        <w:rPr>
          <w:color w:val="000000"/>
          <w:lang w:val="en-US"/>
        </w:rPr>
      </w:pPr>
      <w:r>
        <w:rPr>
          <w:smallCaps/>
          <w:color w:val="000000"/>
          <w:lang w:val="en-US"/>
        </w:rPr>
        <w:t>TRELOAR</w:t>
      </w:r>
      <w:r w:rsidR="000C0BD2" w:rsidRPr="00030347">
        <w:rPr>
          <w:smallCaps/>
          <w:color w:val="000000"/>
          <w:lang w:val="en-US"/>
        </w:rPr>
        <w:t xml:space="preserve">, R., </w:t>
      </w:r>
      <w:r w:rsidR="000C0BD2" w:rsidRPr="00030347">
        <w:rPr>
          <w:color w:val="000000"/>
          <w:lang w:val="en-US"/>
        </w:rPr>
        <w:t xml:space="preserve">“Family Law Reform in (Neoliberal) Context: </w:t>
      </w:r>
      <w:r w:rsidR="000C0BD2" w:rsidRPr="00030347">
        <w:rPr>
          <w:lang w:val="en-US"/>
        </w:rPr>
        <w:t>British Columbia′</w:t>
      </w:r>
      <w:r w:rsidR="000C0BD2" w:rsidRPr="00030347">
        <w:rPr>
          <w:color w:val="000000"/>
          <w:lang w:val="en-US"/>
        </w:rPr>
        <w:t xml:space="preserve">s New Family Law Act”, </w:t>
      </w:r>
      <w:r w:rsidR="000C0BD2" w:rsidRPr="00030347">
        <w:rPr>
          <w:i/>
          <w:iCs/>
          <w:color w:val="000000"/>
          <w:lang w:val="en-US"/>
        </w:rPr>
        <w:t>International Journal of Law Policy and the Family</w:t>
      </w:r>
      <w:r w:rsidR="000C0BD2" w:rsidRPr="00030347">
        <w:rPr>
          <w:color w:val="000000"/>
          <w:lang w:val="en-US"/>
        </w:rPr>
        <w:t xml:space="preserve"> 2014, 1-19.</w:t>
      </w:r>
    </w:p>
    <w:p w:rsidR="005E5152" w:rsidRDefault="00E77C84" w:rsidP="005E5152">
      <w:pPr>
        <w:pStyle w:val="Randnummer"/>
        <w:ind w:left="0" w:firstLine="0"/>
        <w:rPr>
          <w:lang w:val="en-US"/>
        </w:rPr>
      </w:pPr>
      <w:proofErr w:type="gramStart"/>
      <w:r>
        <w:rPr>
          <w:smallCaps/>
          <w:lang w:val="en-US"/>
        </w:rPr>
        <w:t>WIEGERS</w:t>
      </w:r>
      <w:r w:rsidR="000C0BD2">
        <w:rPr>
          <w:smallCaps/>
          <w:lang w:val="en-US"/>
        </w:rPr>
        <w:t xml:space="preserve">, W., </w:t>
      </w:r>
      <w:r w:rsidR="000C0BD2">
        <w:rPr>
          <w:lang w:val="en-US"/>
        </w:rPr>
        <w:t xml:space="preserve">“Assisted conception and equality of familial status in parentage law”, </w:t>
      </w:r>
      <w:r w:rsidR="000C0BD2" w:rsidRPr="004B2F12">
        <w:rPr>
          <w:i/>
          <w:iCs/>
          <w:lang w:val="en-US"/>
        </w:rPr>
        <w:t xml:space="preserve">Canadian Journal of Family Law </w:t>
      </w:r>
      <w:r w:rsidR="000C0BD2" w:rsidRPr="004B2F12">
        <w:rPr>
          <w:lang w:val="en-US"/>
        </w:rPr>
        <w:t xml:space="preserve">2012-13, vol. </w:t>
      </w:r>
      <w:r w:rsidR="000C0BD2">
        <w:rPr>
          <w:lang w:val="en-US"/>
        </w:rPr>
        <w:t>28, 147-223</w:t>
      </w:r>
      <w:r w:rsidR="000C0BD2" w:rsidRPr="004B2F12">
        <w:rPr>
          <w:lang w:val="en-US"/>
        </w:rPr>
        <w:t>.</w:t>
      </w:r>
      <w:proofErr w:type="gramEnd"/>
    </w:p>
    <w:p w:rsidR="000C0BD2" w:rsidRPr="005E5152" w:rsidRDefault="000C0BD2" w:rsidP="005E5152">
      <w:pPr>
        <w:pStyle w:val="Randnummer"/>
        <w:ind w:left="0" w:firstLine="0"/>
        <w:rPr>
          <w:lang w:val="en-US"/>
        </w:rPr>
      </w:pPr>
      <w:r w:rsidRPr="00CF6AB9">
        <w:rPr>
          <w:i/>
          <w:iCs/>
          <w:u w:val="single"/>
          <w:lang w:val="en-US"/>
        </w:rPr>
        <w:t xml:space="preserve">Engeland </w:t>
      </w:r>
    </w:p>
    <w:p w:rsidR="000C0BD2" w:rsidRPr="00CF6AB9" w:rsidRDefault="000C0BD2" w:rsidP="00CF6AB9">
      <w:pPr>
        <w:rPr>
          <w:lang w:val="en-US"/>
        </w:rPr>
      </w:pPr>
    </w:p>
    <w:p w:rsidR="000C0BD2" w:rsidRDefault="00E77C84" w:rsidP="00CF6AB9">
      <w:pPr>
        <w:rPr>
          <w:lang w:val="en-US"/>
        </w:rPr>
      </w:pPr>
      <w:r>
        <w:rPr>
          <w:smallCaps/>
          <w:lang w:val="en-US"/>
        </w:rPr>
        <w:t>CUTAS</w:t>
      </w:r>
      <w:r w:rsidR="000C0BD2" w:rsidRPr="00030347">
        <w:rPr>
          <w:lang w:val="en-US"/>
        </w:rPr>
        <w:t xml:space="preserve">, </w:t>
      </w:r>
      <w:r w:rsidR="000C0BD2" w:rsidRPr="00030347">
        <w:rPr>
          <w:smallCaps/>
          <w:lang w:val="en-US"/>
        </w:rPr>
        <w:t xml:space="preserve">D., </w:t>
      </w:r>
      <w:r w:rsidR="000C0BD2" w:rsidRPr="00030347">
        <w:rPr>
          <w:lang w:val="en-US"/>
        </w:rPr>
        <w:t>“On triparenting: is having three committed parents better than only having two?</w:t>
      </w:r>
      <w:proofErr w:type="gramStart"/>
      <w:r w:rsidR="000C0BD2" w:rsidRPr="00030347">
        <w:rPr>
          <w:lang w:val="en-US"/>
        </w:rPr>
        <w:t>”,</w:t>
      </w:r>
      <w:proofErr w:type="gramEnd"/>
      <w:r w:rsidR="000C0BD2" w:rsidRPr="00030347">
        <w:rPr>
          <w:lang w:val="en-US"/>
        </w:rPr>
        <w:t xml:space="preserve"> </w:t>
      </w:r>
      <w:r w:rsidR="000C0BD2" w:rsidRPr="00030347">
        <w:rPr>
          <w:i/>
          <w:iCs/>
          <w:lang w:val="en-US"/>
        </w:rPr>
        <w:t xml:space="preserve">Journal of medical ethics </w:t>
      </w:r>
      <w:r w:rsidR="000C0BD2" w:rsidRPr="00030347">
        <w:rPr>
          <w:lang w:val="en-US"/>
        </w:rPr>
        <w:t>2011, 735-738.</w:t>
      </w:r>
    </w:p>
    <w:p w:rsidR="004C548C" w:rsidRDefault="004C548C" w:rsidP="00CF6AB9">
      <w:pPr>
        <w:rPr>
          <w:lang w:val="en-US"/>
        </w:rPr>
      </w:pPr>
    </w:p>
    <w:p w:rsidR="004C548C" w:rsidRDefault="004C548C" w:rsidP="00CF6AB9">
      <w:pPr>
        <w:rPr>
          <w:lang w:val="en-US"/>
        </w:rPr>
      </w:pPr>
      <w:r>
        <w:rPr>
          <w:lang w:val="en-US"/>
        </w:rPr>
        <w:t xml:space="preserve">LIND, C. en HEWITT, T., “Law and the complexities of parenting: parental status and parental function”, </w:t>
      </w:r>
      <w:r w:rsidRPr="004C548C">
        <w:rPr>
          <w:i/>
          <w:lang w:val="en-US"/>
        </w:rPr>
        <w:t>Journal of Social Welfare and Family Law</w:t>
      </w:r>
      <w:r>
        <w:rPr>
          <w:lang w:val="en-US"/>
        </w:rPr>
        <w:t xml:space="preserve"> 2009, 391-406.</w:t>
      </w:r>
    </w:p>
    <w:p w:rsidR="003068FD" w:rsidRDefault="003068FD" w:rsidP="00CF6AB9">
      <w:pPr>
        <w:rPr>
          <w:lang w:val="en-US"/>
        </w:rPr>
      </w:pPr>
    </w:p>
    <w:p w:rsidR="003068FD" w:rsidRDefault="003068FD" w:rsidP="00CF6AB9">
      <w:pPr>
        <w:rPr>
          <w:lang w:val="en-US"/>
        </w:rPr>
      </w:pPr>
      <w:r>
        <w:rPr>
          <w:lang w:val="en-US"/>
        </w:rPr>
        <w:t>SHELDON, S., “Unmarried fathers and parental responsibility: a case for reform?</w:t>
      </w:r>
      <w:proofErr w:type="gramStart"/>
      <w:r>
        <w:rPr>
          <w:lang w:val="en-US"/>
        </w:rPr>
        <w:t>”,</w:t>
      </w:r>
      <w:proofErr w:type="gramEnd"/>
      <w:r>
        <w:rPr>
          <w:lang w:val="en-US"/>
        </w:rPr>
        <w:t xml:space="preserve"> </w:t>
      </w:r>
      <w:r w:rsidRPr="003068FD">
        <w:rPr>
          <w:i/>
          <w:lang w:val="en-US"/>
        </w:rPr>
        <w:t>Feminist Legal Studies</w:t>
      </w:r>
      <w:r>
        <w:rPr>
          <w:lang w:val="en-US"/>
        </w:rPr>
        <w:t xml:space="preserve"> 2001, 93-118.</w:t>
      </w:r>
    </w:p>
    <w:p w:rsidR="000C0BD2" w:rsidRDefault="000C0BD2" w:rsidP="00CF6AB9">
      <w:pPr>
        <w:rPr>
          <w:lang w:val="en-US"/>
        </w:rPr>
      </w:pPr>
    </w:p>
    <w:p w:rsidR="000C0BD2" w:rsidRDefault="000C0BD2" w:rsidP="00CF6AB9">
      <w:pPr>
        <w:rPr>
          <w:i/>
          <w:iCs/>
          <w:u w:val="single"/>
          <w:lang w:val="en-US"/>
        </w:rPr>
      </w:pPr>
      <w:r w:rsidRPr="00CF6AB9">
        <w:rPr>
          <w:i/>
          <w:iCs/>
          <w:u w:val="single"/>
          <w:lang w:val="en-US"/>
        </w:rPr>
        <w:t>Nederland</w:t>
      </w:r>
    </w:p>
    <w:p w:rsidR="000C0BD2" w:rsidRDefault="00E77C84" w:rsidP="00CF6AB9">
      <w:pPr>
        <w:pStyle w:val="Randnummer"/>
        <w:ind w:left="0" w:firstLine="0"/>
        <w:rPr>
          <w:lang w:val="en-US"/>
        </w:rPr>
      </w:pPr>
      <w:r>
        <w:rPr>
          <w:smallCaps/>
          <w:lang w:val="en-US"/>
        </w:rPr>
        <w:t>ANTOKOLSKAIA</w:t>
      </w:r>
      <w:r w:rsidR="000C0BD2" w:rsidRPr="002C5D7A">
        <w:rPr>
          <w:smallCaps/>
          <w:lang w:val="en-US"/>
        </w:rPr>
        <w:t>,</w:t>
      </w:r>
      <w:r w:rsidR="000C0BD2">
        <w:rPr>
          <w:smallCaps/>
          <w:lang w:val="en-US"/>
        </w:rPr>
        <w:t xml:space="preserve"> M.V.,</w:t>
      </w:r>
      <w:r w:rsidR="000C0BD2" w:rsidRPr="002C5D7A">
        <w:rPr>
          <w:smallCaps/>
          <w:lang w:val="en-US"/>
        </w:rPr>
        <w:t xml:space="preserve"> </w:t>
      </w:r>
      <w:r w:rsidR="000C0BD2" w:rsidRPr="002C5D7A">
        <w:rPr>
          <w:lang w:val="en-US"/>
        </w:rPr>
        <w:t xml:space="preserve">“Legal embedding planned lesbian parentage. </w:t>
      </w:r>
      <w:r w:rsidR="000C0BD2" w:rsidRPr="00B114B0">
        <w:rPr>
          <w:lang w:val="en-US"/>
        </w:rPr>
        <w:t>Pouring new wine into old wineskins?</w:t>
      </w:r>
      <w:proofErr w:type="gramStart"/>
      <w:r w:rsidR="000C0BD2" w:rsidRPr="00B114B0">
        <w:rPr>
          <w:lang w:val="en-US"/>
        </w:rPr>
        <w:t>”,</w:t>
      </w:r>
      <w:proofErr w:type="gramEnd"/>
      <w:r w:rsidR="000C0BD2" w:rsidRPr="00B114B0">
        <w:rPr>
          <w:lang w:val="en-US"/>
        </w:rPr>
        <w:t xml:space="preserve"> </w:t>
      </w:r>
      <w:r w:rsidR="000C0BD2" w:rsidRPr="00B114B0">
        <w:rPr>
          <w:i/>
          <w:iCs/>
          <w:lang w:val="en-US"/>
        </w:rPr>
        <w:t>Familie &amp; Recht</w:t>
      </w:r>
      <w:r w:rsidR="000C0BD2" w:rsidRPr="00B114B0">
        <w:rPr>
          <w:lang w:val="en-US"/>
        </w:rPr>
        <w:t xml:space="preserve"> 2014, 1-15.</w:t>
      </w:r>
    </w:p>
    <w:p w:rsidR="000C0BD2" w:rsidRDefault="000C0BD2" w:rsidP="00CE594E">
      <w:r w:rsidRPr="002A0E74">
        <w:rPr>
          <w:smallCaps/>
          <w:lang w:val="nl-NL"/>
        </w:rPr>
        <w:br/>
      </w:r>
      <w:r w:rsidR="00E77C84">
        <w:rPr>
          <w:smallCaps/>
        </w:rPr>
        <w:t>VAN DER BEEK</w:t>
      </w:r>
      <w:r>
        <w:rPr>
          <w:smallCaps/>
        </w:rPr>
        <w:t xml:space="preserve">, S., </w:t>
      </w:r>
      <w:r>
        <w:t>“</w:t>
      </w:r>
      <w:r w:rsidRPr="007D0C25">
        <w:t xml:space="preserve">Meeroudergezag kan niet automatisch worden toegekend vanwege de </w:t>
      </w:r>
      <w:r w:rsidRPr="007D0C25">
        <w:lastRenderedPageBreak/>
        <w:t>grote diversiteit van stiefoudergezinnen en de verschillende rollen die stiefouders vervullen</w:t>
      </w:r>
      <w:r>
        <w:t xml:space="preserve">”, </w:t>
      </w:r>
      <w:r w:rsidRPr="007D0C25">
        <w:rPr>
          <w:i/>
          <w:iCs/>
        </w:rPr>
        <w:t>Nieuw gezin</w:t>
      </w:r>
      <w:r>
        <w:t xml:space="preserve"> 2014, 1-4.</w:t>
      </w:r>
    </w:p>
    <w:p w:rsidR="00C25B68" w:rsidRDefault="00E77C84" w:rsidP="00C25B68">
      <w:pPr>
        <w:pStyle w:val="Randnummer"/>
        <w:ind w:left="0" w:firstLine="0"/>
      </w:pPr>
      <w:r>
        <w:rPr>
          <w:smallCaps/>
        </w:rPr>
        <w:t>VONK</w:t>
      </w:r>
      <w:r w:rsidR="000C0BD2">
        <w:rPr>
          <w:smallCaps/>
        </w:rPr>
        <w:t>,</w:t>
      </w:r>
      <w:r w:rsidR="000C0BD2" w:rsidRPr="008F6472">
        <w:rPr>
          <w:smallCaps/>
        </w:rPr>
        <w:t xml:space="preserve"> </w:t>
      </w:r>
      <w:r w:rsidR="000C0BD2" w:rsidRPr="008F6472">
        <w:t>M.</w:t>
      </w:r>
      <w:r w:rsidR="000C0BD2" w:rsidRPr="008F6472">
        <w:rPr>
          <w:smallCaps/>
        </w:rPr>
        <w:t xml:space="preserve">, </w:t>
      </w:r>
      <w:r w:rsidR="000C0BD2" w:rsidRPr="008F6472">
        <w:t xml:space="preserve">“Een huis voor alle kinderen. De juridische verankering van intentionele meeroudergezinnen in het afstammingsrecht.”, </w:t>
      </w:r>
      <w:r w:rsidR="000C0BD2" w:rsidRPr="008F6472">
        <w:rPr>
          <w:i/>
          <w:iCs/>
        </w:rPr>
        <w:t>Nederlands Juristenblad</w:t>
      </w:r>
      <w:r w:rsidR="000C0BD2" w:rsidRPr="008F6472">
        <w:t xml:space="preserve"> 2013, afl. 33, 2244-2249.</w:t>
      </w:r>
      <w:r w:rsidR="000C0BD2">
        <w:br/>
      </w:r>
      <w:r w:rsidR="000C0BD2">
        <w:br/>
      </w:r>
      <w:r>
        <w:rPr>
          <w:smallCaps/>
        </w:rPr>
        <w:t>VONK</w:t>
      </w:r>
      <w:r w:rsidR="000C0BD2" w:rsidRPr="002C5D7A">
        <w:rPr>
          <w:smallCaps/>
        </w:rPr>
        <w:t xml:space="preserve">, </w:t>
      </w:r>
      <w:r w:rsidR="000C0BD2">
        <w:rPr>
          <w:smallCaps/>
        </w:rPr>
        <w:t xml:space="preserve">M., </w:t>
      </w:r>
      <w:r w:rsidR="000C0BD2" w:rsidRPr="002C5D7A">
        <w:t>“Nieuws uit het westen: meerouderschap en draagmoederschap in British Columbia</w:t>
      </w:r>
      <w:r w:rsidR="00986FC7">
        <w:t>”</w:t>
      </w:r>
      <w:r w:rsidR="000C0BD2" w:rsidRPr="002C5D7A">
        <w:t xml:space="preserve">, </w:t>
      </w:r>
      <w:r w:rsidR="000C0BD2" w:rsidRPr="002C5D7A">
        <w:rPr>
          <w:i/>
          <w:iCs/>
        </w:rPr>
        <w:t>Tijdschrift voor Familie- en Jeugdrecht</w:t>
      </w:r>
      <w:r w:rsidR="000C0BD2" w:rsidRPr="002C5D7A">
        <w:t xml:space="preserve"> 2015, 1-13</w:t>
      </w:r>
      <w:r w:rsidR="000C0BD2">
        <w:t>.</w:t>
      </w:r>
    </w:p>
    <w:p w:rsidR="000C0BD2" w:rsidRPr="00C25B68" w:rsidRDefault="000C0BD2" w:rsidP="00C25B68">
      <w:pPr>
        <w:pStyle w:val="Randnummer"/>
        <w:ind w:left="0" w:firstLine="0"/>
      </w:pPr>
      <w:r w:rsidRPr="00CF6AB9">
        <w:rPr>
          <w:b/>
          <w:bCs/>
          <w:u w:val="single"/>
        </w:rPr>
        <w:t>Boeken</w:t>
      </w:r>
    </w:p>
    <w:p w:rsidR="000C0BD2" w:rsidRDefault="000C0BD2" w:rsidP="002C5D7A">
      <w:pPr>
        <w:pStyle w:val="Randnummer"/>
        <w:ind w:left="0" w:firstLine="0"/>
        <w:rPr>
          <w:i/>
          <w:iCs/>
          <w:u w:val="single"/>
        </w:rPr>
      </w:pPr>
      <w:r w:rsidRPr="00CF6AB9">
        <w:rPr>
          <w:i/>
          <w:iCs/>
          <w:u w:val="single"/>
        </w:rPr>
        <w:t>België</w:t>
      </w:r>
      <w:r>
        <w:rPr>
          <w:i/>
          <w:iCs/>
          <w:u w:val="single"/>
        </w:rPr>
        <w:br/>
      </w:r>
    </w:p>
    <w:p w:rsidR="005E001B" w:rsidRDefault="00E77C84" w:rsidP="005E001B">
      <w:r>
        <w:rPr>
          <w:smallCaps/>
        </w:rPr>
        <w:t>CASMAN</w:t>
      </w:r>
      <w:r w:rsidR="000C0BD2" w:rsidRPr="008F6472">
        <w:rPr>
          <w:smallCaps/>
        </w:rPr>
        <w:t>,</w:t>
      </w:r>
      <w:r w:rsidR="000C0BD2" w:rsidRPr="008F6472">
        <w:t xml:space="preserve"> </w:t>
      </w:r>
      <w:r w:rsidR="000C0BD2" w:rsidRPr="008F6472">
        <w:rPr>
          <w:smallCaps/>
        </w:rPr>
        <w:t>H.</w:t>
      </w:r>
      <w:r w:rsidR="000C0BD2" w:rsidRPr="008F6472">
        <w:t xml:space="preserve"> “Gehuwd, wettelijk of feitelijk samenwonend: wat maakt het uit? Gevolgen ten aanzien van de kinderen.” in </w:t>
      </w:r>
      <w:r>
        <w:rPr>
          <w:smallCaps/>
        </w:rPr>
        <w:t>FORDER</w:t>
      </w:r>
      <w:r w:rsidR="000C0BD2" w:rsidRPr="008F6472">
        <w:rPr>
          <w:smallCaps/>
        </w:rPr>
        <w:t xml:space="preserve">, C. </w:t>
      </w:r>
      <w:r w:rsidR="000C0BD2" w:rsidRPr="008F6472">
        <w:t xml:space="preserve">en </w:t>
      </w:r>
      <w:r>
        <w:rPr>
          <w:smallCaps/>
        </w:rPr>
        <w:t>VERBEKE</w:t>
      </w:r>
      <w:r w:rsidR="000C0BD2" w:rsidRPr="008F6472">
        <w:rPr>
          <w:smallCaps/>
        </w:rPr>
        <w:t>, A. (</w:t>
      </w:r>
      <w:r w:rsidR="000C0BD2" w:rsidRPr="008F6472">
        <w:t xml:space="preserve">eds.), </w:t>
      </w:r>
      <w:r w:rsidR="000C0BD2" w:rsidRPr="008F6472">
        <w:rPr>
          <w:i/>
          <w:iCs/>
        </w:rPr>
        <w:t xml:space="preserve">Gehuwd of niet: maakt het iets uit?, </w:t>
      </w:r>
      <w:r w:rsidR="000C0BD2" w:rsidRPr="008F6472">
        <w:t>Antwerpen-Groningen, Intersentia, 2005, 231-274.</w:t>
      </w:r>
    </w:p>
    <w:p w:rsidR="005E001B" w:rsidRDefault="005E001B" w:rsidP="005E001B"/>
    <w:p w:rsidR="005E001B" w:rsidRPr="000F21D7" w:rsidRDefault="00E77C84" w:rsidP="005E001B">
      <w:r>
        <w:rPr>
          <w:smallCaps/>
        </w:rPr>
        <w:t>DE HERT</w:t>
      </w:r>
      <w:r w:rsidR="005E001B" w:rsidRPr="008F6472">
        <w:rPr>
          <w:smallCaps/>
        </w:rPr>
        <w:t xml:space="preserve">, P., </w:t>
      </w:r>
      <w:r w:rsidR="005E001B">
        <w:t xml:space="preserve">“Artikel 8 Recht op privacy” in </w:t>
      </w:r>
      <w:r>
        <w:rPr>
          <w:smallCaps/>
        </w:rPr>
        <w:t>VANDE LANOTTE</w:t>
      </w:r>
      <w:r w:rsidR="005E001B" w:rsidRPr="008F6472">
        <w:rPr>
          <w:smallCaps/>
        </w:rPr>
        <w:t xml:space="preserve">, J. </w:t>
      </w:r>
      <w:r w:rsidR="005E001B" w:rsidRPr="008F6472">
        <w:t xml:space="preserve">en </w:t>
      </w:r>
      <w:r>
        <w:rPr>
          <w:smallCaps/>
        </w:rPr>
        <w:t>HAECK</w:t>
      </w:r>
      <w:r w:rsidR="005E001B" w:rsidRPr="008F6472">
        <w:rPr>
          <w:smallCaps/>
        </w:rPr>
        <w:t>, Y</w:t>
      </w:r>
      <w:r w:rsidR="005E001B">
        <w:rPr>
          <w:rFonts w:asciiTheme="minorHAnsi" w:hAnsiTheme="minorHAnsi"/>
          <w:smallCaps/>
        </w:rPr>
        <w:t>.</w:t>
      </w:r>
      <w:r w:rsidR="005E001B" w:rsidRPr="0025728E">
        <w:t xml:space="preserve"> </w:t>
      </w:r>
      <w:r w:rsidR="005E001B" w:rsidRPr="008F6472">
        <w:t xml:space="preserve">(eds.), </w:t>
      </w:r>
      <w:r w:rsidR="005E001B" w:rsidRPr="008F6472">
        <w:rPr>
          <w:i/>
        </w:rPr>
        <w:t xml:space="preserve">Handboek EVRM. </w:t>
      </w:r>
      <w:r w:rsidR="005E001B" w:rsidRPr="000F21D7">
        <w:rPr>
          <w:i/>
        </w:rPr>
        <w:t>Deel 2; Artikelsgewijze commentaar, Volume I</w:t>
      </w:r>
      <w:r w:rsidR="005E001B" w:rsidRPr="000F21D7">
        <w:t>, Antwerpen, Intersentia, 2004, 705-788.</w:t>
      </w:r>
    </w:p>
    <w:p w:rsidR="00F76F99" w:rsidRPr="000F21D7" w:rsidRDefault="00F76F99" w:rsidP="005E001B"/>
    <w:p w:rsidR="00F76F99" w:rsidRPr="00F76F99" w:rsidRDefault="00E77C84" w:rsidP="005E001B">
      <w:r>
        <w:rPr>
          <w:smallCaps/>
        </w:rPr>
        <w:t>DE SMET</w:t>
      </w:r>
      <w:r w:rsidR="00F76F99">
        <w:rPr>
          <w:smallCaps/>
        </w:rPr>
        <w:t xml:space="preserve">, B., </w:t>
      </w:r>
      <w:r w:rsidR="00F76F99" w:rsidRPr="004B497D">
        <w:rPr>
          <w:i/>
        </w:rPr>
        <w:t>Jeugdbeschermingsrecht in hoofdlijnen,</w:t>
      </w:r>
      <w:r w:rsidR="00F76F99">
        <w:t xml:space="preserve"> Antwerpen, Intersentia, 2007, 488</w:t>
      </w:r>
      <w:r w:rsidR="00C25B68">
        <w:t xml:space="preserve"> </w:t>
      </w:r>
      <w:r w:rsidR="00F76F99">
        <w:t>p.</w:t>
      </w:r>
    </w:p>
    <w:p w:rsidR="005E001B" w:rsidRPr="00F76F99" w:rsidRDefault="005E001B" w:rsidP="00CF6AB9"/>
    <w:p w:rsidR="00FF22BA" w:rsidRDefault="00E77C84" w:rsidP="00CF6AB9">
      <w:pPr>
        <w:rPr>
          <w:lang w:val="fr-BE"/>
        </w:rPr>
      </w:pPr>
      <w:r>
        <w:rPr>
          <w:smallCaps/>
          <w:lang w:val="fr-BE"/>
        </w:rPr>
        <w:t>FIERENS</w:t>
      </w:r>
      <w:r w:rsidR="000C0BD2" w:rsidRPr="00BB7203">
        <w:rPr>
          <w:smallCaps/>
          <w:lang w:val="fr-BE"/>
        </w:rPr>
        <w:t xml:space="preserve">, K., </w:t>
      </w:r>
      <w:r>
        <w:rPr>
          <w:smallCaps/>
          <w:lang w:val="fr-BE"/>
        </w:rPr>
        <w:t>MARCHANDISE</w:t>
      </w:r>
      <w:r w:rsidR="000C0BD2" w:rsidRPr="00BB7203">
        <w:rPr>
          <w:smallCaps/>
          <w:lang w:val="fr-BE"/>
        </w:rPr>
        <w:t xml:space="preserve">, T. </w:t>
      </w:r>
      <w:r w:rsidR="000C0BD2" w:rsidRPr="00BB7203">
        <w:rPr>
          <w:lang w:val="fr-BE"/>
        </w:rPr>
        <w:t>en</w:t>
      </w:r>
      <w:r w:rsidR="000C0BD2">
        <w:rPr>
          <w:lang w:val="fr-BE"/>
        </w:rPr>
        <w:t xml:space="preserve"> </w:t>
      </w:r>
      <w:r>
        <w:rPr>
          <w:smallCaps/>
          <w:lang w:val="fr-BE"/>
        </w:rPr>
        <w:t>SONNON</w:t>
      </w:r>
      <w:r w:rsidR="000C0BD2">
        <w:rPr>
          <w:smallCaps/>
          <w:lang w:val="fr-BE"/>
        </w:rPr>
        <w:t xml:space="preserve">, J., </w:t>
      </w:r>
      <w:r w:rsidR="000C0BD2" w:rsidRPr="00BB7203">
        <w:rPr>
          <w:i/>
          <w:iCs/>
          <w:lang w:val="fr-BE"/>
        </w:rPr>
        <w:t>Droit de la famille</w:t>
      </w:r>
      <w:r w:rsidR="000C0BD2">
        <w:rPr>
          <w:lang w:val="fr-BE"/>
        </w:rPr>
        <w:t xml:space="preserve">, </w:t>
      </w:r>
      <w:r w:rsidR="000C0BD2" w:rsidRPr="00BB7203">
        <w:rPr>
          <w:lang w:val="fr-BE"/>
        </w:rPr>
        <w:t xml:space="preserve"> </w:t>
      </w:r>
      <w:r w:rsidR="000C0BD2">
        <w:rPr>
          <w:lang w:val="fr-BE"/>
        </w:rPr>
        <w:t>Louvain-la-Neuve, Anthemis, 2007, 172</w:t>
      </w:r>
      <w:r w:rsidR="00FF22BA">
        <w:rPr>
          <w:lang w:val="fr-BE"/>
        </w:rPr>
        <w:t xml:space="preserve"> </w:t>
      </w:r>
      <w:r w:rsidR="000C0BD2">
        <w:rPr>
          <w:lang w:val="fr-BE"/>
        </w:rPr>
        <w:t>p.</w:t>
      </w:r>
    </w:p>
    <w:p w:rsidR="00FF22BA" w:rsidRPr="00FF22BA" w:rsidRDefault="00FF22BA" w:rsidP="00FF22BA">
      <w:pPr>
        <w:pStyle w:val="Randnummer"/>
        <w:ind w:left="0" w:firstLine="0"/>
        <w:rPr>
          <w:lang w:val="fr-FR"/>
        </w:rPr>
      </w:pPr>
      <w:r>
        <w:rPr>
          <w:smallCaps/>
          <w:lang w:val="fr-FR"/>
        </w:rPr>
        <w:t>GALLUS</w:t>
      </w:r>
      <w:r w:rsidRPr="00B31C91">
        <w:rPr>
          <w:smallCaps/>
          <w:lang w:val="fr-FR"/>
        </w:rPr>
        <w:t>, N., “</w:t>
      </w:r>
      <w:r>
        <w:rPr>
          <w:lang w:val="fr-FR"/>
        </w:rPr>
        <w:t>Les fond</w:t>
      </w:r>
      <w:r w:rsidRPr="00B31C91">
        <w:rPr>
          <w:lang w:val="fr-FR"/>
        </w:rPr>
        <w:t xml:space="preserve">ements et la représentation juridique de la parenté” </w:t>
      </w:r>
      <w:r w:rsidRPr="004E607E">
        <w:rPr>
          <w:lang w:val="fr-BE"/>
        </w:rPr>
        <w:t xml:space="preserve">in </w:t>
      </w:r>
      <w:r>
        <w:rPr>
          <w:smallCaps/>
          <w:lang w:val="fr-BE"/>
        </w:rPr>
        <w:t>GALLUS</w:t>
      </w:r>
      <w:r w:rsidRPr="004E607E">
        <w:rPr>
          <w:smallCaps/>
          <w:lang w:val="fr-BE"/>
        </w:rPr>
        <w:t>, C. (</w:t>
      </w:r>
      <w:r w:rsidRPr="004E607E">
        <w:rPr>
          <w:lang w:val="fr-BE"/>
        </w:rPr>
        <w:t>ed.),</w:t>
      </w:r>
      <w:r w:rsidRPr="004E607E">
        <w:rPr>
          <w:i/>
          <w:iCs/>
          <w:lang w:val="fr-BE"/>
        </w:rPr>
        <w:t xml:space="preserve"> Les recompositions familiales, </w:t>
      </w:r>
      <w:r w:rsidRPr="004E607E">
        <w:rPr>
          <w:lang w:val="fr-BE"/>
        </w:rPr>
        <w:t>Limal, Anthemis, 2015</w:t>
      </w:r>
      <w:r>
        <w:rPr>
          <w:lang w:val="fr-BE"/>
        </w:rPr>
        <w:t>, 7-21.</w:t>
      </w:r>
    </w:p>
    <w:p w:rsidR="000C0BD2" w:rsidRDefault="000C0BD2" w:rsidP="00CF6AB9">
      <w:pPr>
        <w:rPr>
          <w:lang w:val="fr-BE"/>
        </w:rPr>
      </w:pPr>
    </w:p>
    <w:p w:rsidR="000C0BD2" w:rsidRPr="00376465" w:rsidRDefault="00E77C84" w:rsidP="00CF6AB9">
      <w:pPr>
        <w:rPr>
          <w:lang w:val="fr-BE"/>
        </w:rPr>
      </w:pPr>
      <w:r>
        <w:rPr>
          <w:smallCaps/>
          <w:lang w:val="fr-BE"/>
        </w:rPr>
        <w:t>GILLOT-DE VRIES</w:t>
      </w:r>
      <w:r w:rsidR="000C0BD2" w:rsidRPr="00376465">
        <w:rPr>
          <w:smallCaps/>
          <w:lang w:val="fr-BE"/>
        </w:rPr>
        <w:t xml:space="preserve">, F. </w:t>
      </w:r>
      <w:r w:rsidR="000C0BD2" w:rsidRPr="00376465">
        <w:rPr>
          <w:lang w:val="fr-BE"/>
        </w:rPr>
        <w:t xml:space="preserve">en </w:t>
      </w:r>
      <w:r>
        <w:rPr>
          <w:smallCaps/>
          <w:lang w:val="fr-BE"/>
        </w:rPr>
        <w:t>MOTTRIE</w:t>
      </w:r>
      <w:r w:rsidR="000C0BD2" w:rsidRPr="00376465">
        <w:rPr>
          <w:smallCaps/>
          <w:lang w:val="fr-BE"/>
        </w:rPr>
        <w:t xml:space="preserve">, C., </w:t>
      </w:r>
      <w:r w:rsidR="000C0BD2" w:rsidRPr="00376465">
        <w:rPr>
          <w:lang w:val="fr-BE"/>
        </w:rPr>
        <w:t xml:space="preserve">“Analyse conceptuelle des notions de parentalité et de filiation du point de vue psychologique” in </w:t>
      </w:r>
      <w:r>
        <w:rPr>
          <w:smallCaps/>
          <w:lang w:val="fr-BE"/>
        </w:rPr>
        <w:t>GALLUS</w:t>
      </w:r>
      <w:r w:rsidR="000C0BD2">
        <w:rPr>
          <w:smallCaps/>
          <w:lang w:val="fr-BE"/>
        </w:rPr>
        <w:t>, C. (</w:t>
      </w:r>
      <w:r w:rsidR="000C0BD2">
        <w:rPr>
          <w:lang w:val="fr-BE"/>
        </w:rPr>
        <w:t>ed.),</w:t>
      </w:r>
      <w:r w:rsidR="000C0BD2" w:rsidRPr="00376465">
        <w:rPr>
          <w:i/>
          <w:iCs/>
          <w:lang w:val="fr-BE"/>
        </w:rPr>
        <w:t xml:space="preserve"> Les recompositions familiales</w:t>
      </w:r>
      <w:r w:rsidR="000C0BD2">
        <w:rPr>
          <w:i/>
          <w:iCs/>
          <w:lang w:val="fr-BE"/>
        </w:rPr>
        <w:t xml:space="preserve">, </w:t>
      </w:r>
      <w:r w:rsidR="000C0BD2">
        <w:rPr>
          <w:lang w:val="fr-BE"/>
        </w:rPr>
        <w:t>Limal, Anthemis, 2015, 25-39.</w:t>
      </w:r>
    </w:p>
    <w:p w:rsidR="000C0BD2" w:rsidRPr="00376465" w:rsidRDefault="000C0BD2" w:rsidP="00CF6AB9">
      <w:pPr>
        <w:rPr>
          <w:lang w:val="fr-BE"/>
        </w:rPr>
      </w:pPr>
    </w:p>
    <w:p w:rsidR="000C0BD2" w:rsidRDefault="00E77C84" w:rsidP="00CF6AB9">
      <w:r>
        <w:rPr>
          <w:smallCaps/>
          <w:color w:val="000000"/>
        </w:rPr>
        <w:t>HEYVAERT</w:t>
      </w:r>
      <w:r w:rsidR="000C0BD2" w:rsidRPr="008F6472">
        <w:rPr>
          <w:smallCaps/>
          <w:color w:val="000000"/>
        </w:rPr>
        <w:t xml:space="preserve">, A., </w:t>
      </w:r>
      <w:r w:rsidR="000C0BD2" w:rsidRPr="008F6472">
        <w:rPr>
          <w:i/>
          <w:iCs/>
          <w:color w:val="000000"/>
        </w:rPr>
        <w:t>Het personen- en gezinsrecht ont(k)leed</w:t>
      </w:r>
      <w:r w:rsidR="000C0BD2" w:rsidRPr="008F6472">
        <w:rPr>
          <w:color w:val="000000"/>
        </w:rPr>
        <w:t>, Gent, Mys&amp;Breesch, 2001, 475</w:t>
      </w:r>
      <w:r w:rsidR="00FF22BA">
        <w:rPr>
          <w:color w:val="000000"/>
        </w:rPr>
        <w:t xml:space="preserve"> </w:t>
      </w:r>
      <w:r w:rsidR="000C0BD2" w:rsidRPr="008F6472">
        <w:rPr>
          <w:color w:val="000000"/>
        </w:rPr>
        <w:t>p.</w:t>
      </w:r>
    </w:p>
    <w:p w:rsidR="000C0BD2" w:rsidRDefault="000C0BD2" w:rsidP="00CF6AB9"/>
    <w:p w:rsidR="005E5152" w:rsidRDefault="00E77C84" w:rsidP="00CF6AB9">
      <w:pPr>
        <w:rPr>
          <w:lang w:val="fr-BE"/>
        </w:rPr>
      </w:pPr>
      <w:r>
        <w:rPr>
          <w:smallCaps/>
          <w:lang w:val="fr-BE"/>
        </w:rPr>
        <w:t>HIERNAUX</w:t>
      </w:r>
      <w:r w:rsidR="000C0BD2" w:rsidRPr="00376465">
        <w:rPr>
          <w:smallCaps/>
          <w:lang w:val="fr-BE"/>
        </w:rPr>
        <w:t>,</w:t>
      </w:r>
      <w:r w:rsidR="000C0BD2">
        <w:rPr>
          <w:smallCaps/>
          <w:lang w:val="fr-BE"/>
        </w:rPr>
        <w:t xml:space="preserve"> G.,</w:t>
      </w:r>
      <w:r w:rsidR="000C0BD2" w:rsidRPr="00376465">
        <w:rPr>
          <w:smallCaps/>
          <w:lang w:val="fr-BE"/>
        </w:rPr>
        <w:t xml:space="preserve"> </w:t>
      </w:r>
      <w:r w:rsidR="000C0BD2" w:rsidRPr="00376465">
        <w:rPr>
          <w:lang w:val="fr-BE"/>
        </w:rPr>
        <w:t>“</w:t>
      </w:r>
      <w:r w:rsidR="000C0BD2">
        <w:rPr>
          <w:lang w:val="fr-BE"/>
        </w:rPr>
        <w:t>L’autorité parentale et le rôle des tiers</w:t>
      </w:r>
      <w:r w:rsidR="000C0BD2" w:rsidRPr="00376465">
        <w:rPr>
          <w:color w:val="000000"/>
          <w:lang w:val="fr-BE"/>
        </w:rPr>
        <w:t xml:space="preserve">” </w:t>
      </w:r>
      <w:r w:rsidR="000C0BD2" w:rsidRPr="00376465">
        <w:rPr>
          <w:lang w:val="fr-BE"/>
        </w:rPr>
        <w:t xml:space="preserve">in </w:t>
      </w:r>
      <w:r>
        <w:rPr>
          <w:smallCaps/>
          <w:lang w:val="fr-BE"/>
        </w:rPr>
        <w:t>GALLUS</w:t>
      </w:r>
      <w:r w:rsidR="000C0BD2" w:rsidRPr="00376465">
        <w:rPr>
          <w:smallCaps/>
          <w:lang w:val="fr-BE"/>
        </w:rPr>
        <w:t>, C. (</w:t>
      </w:r>
      <w:r w:rsidR="000C0BD2" w:rsidRPr="00376465">
        <w:rPr>
          <w:lang w:val="fr-BE"/>
        </w:rPr>
        <w:t>ed.),</w:t>
      </w:r>
      <w:r w:rsidR="000C0BD2" w:rsidRPr="00376465">
        <w:rPr>
          <w:i/>
          <w:iCs/>
          <w:lang w:val="fr-BE"/>
        </w:rPr>
        <w:t xml:space="preserve"> Les recompositions familiales, </w:t>
      </w:r>
      <w:r w:rsidR="000C0BD2" w:rsidRPr="00376465">
        <w:rPr>
          <w:lang w:val="fr-BE"/>
        </w:rPr>
        <w:t xml:space="preserve">Limal, Anthemis, 2015, </w:t>
      </w:r>
      <w:r w:rsidR="00812B51">
        <w:rPr>
          <w:lang w:val="fr-BE"/>
        </w:rPr>
        <w:t>75-96</w:t>
      </w:r>
      <w:r w:rsidR="000C0BD2">
        <w:rPr>
          <w:lang w:val="fr-BE"/>
        </w:rPr>
        <w:t>.</w:t>
      </w:r>
    </w:p>
    <w:p w:rsidR="00C25B68" w:rsidRDefault="00C25B68" w:rsidP="00CF6AB9">
      <w:pPr>
        <w:rPr>
          <w:lang w:val="fr-BE"/>
        </w:rPr>
      </w:pPr>
    </w:p>
    <w:p w:rsidR="000C0BD2" w:rsidRPr="005E5152" w:rsidRDefault="00E77C84" w:rsidP="00CF6AB9">
      <w:r w:rsidRPr="005E5152">
        <w:rPr>
          <w:smallCaps/>
          <w:color w:val="000000"/>
        </w:rPr>
        <w:t>KINDERRECHTENCOMMISSARIAAT</w:t>
      </w:r>
      <w:r w:rsidR="000C0BD2" w:rsidRPr="005E5152">
        <w:rPr>
          <w:i/>
          <w:iCs/>
          <w:smallCaps/>
          <w:color w:val="000000"/>
        </w:rPr>
        <w:t xml:space="preserve">, </w:t>
      </w:r>
      <w:r w:rsidR="000C0BD2" w:rsidRPr="005E5152">
        <w:rPr>
          <w:i/>
          <w:iCs/>
          <w:color w:val="000000"/>
        </w:rPr>
        <w:t>Kinderen &amp; scheiding</w:t>
      </w:r>
      <w:r w:rsidR="000C0BD2" w:rsidRPr="005E5152">
        <w:rPr>
          <w:color w:val="000000"/>
        </w:rPr>
        <w:t xml:space="preserve">, Brussel, </w:t>
      </w:r>
      <w:r w:rsidR="002515AE" w:rsidRPr="005E5152">
        <w:rPr>
          <w:color w:val="000000"/>
        </w:rPr>
        <w:t>Kinderrechtencommissariaat</w:t>
      </w:r>
      <w:r w:rsidR="000C0BD2" w:rsidRPr="005E5152">
        <w:rPr>
          <w:color w:val="000000"/>
        </w:rPr>
        <w:t>, 2006, 80</w:t>
      </w:r>
      <w:r w:rsidR="00FF22BA">
        <w:rPr>
          <w:color w:val="000000"/>
        </w:rPr>
        <w:t xml:space="preserve"> </w:t>
      </w:r>
      <w:r w:rsidR="000C0BD2" w:rsidRPr="005E5152">
        <w:rPr>
          <w:color w:val="000000"/>
        </w:rPr>
        <w:t>p.</w:t>
      </w:r>
    </w:p>
    <w:p w:rsidR="000C0BD2" w:rsidRPr="005E5152" w:rsidRDefault="000C0BD2" w:rsidP="00CF6AB9">
      <w:pPr>
        <w:rPr>
          <w:color w:val="000000"/>
        </w:rPr>
      </w:pPr>
    </w:p>
    <w:p w:rsidR="000C0BD2" w:rsidRDefault="00E77C84" w:rsidP="00CF6AB9">
      <w:pPr>
        <w:rPr>
          <w:color w:val="000000"/>
          <w:lang w:val="fr-BE"/>
        </w:rPr>
      </w:pPr>
      <w:r>
        <w:rPr>
          <w:smallCaps/>
          <w:color w:val="000000"/>
          <w:lang w:val="fr-BE"/>
        </w:rPr>
        <w:t>LELEU</w:t>
      </w:r>
      <w:r w:rsidR="000C0BD2" w:rsidRPr="00030347">
        <w:rPr>
          <w:smallCaps/>
          <w:color w:val="000000"/>
          <w:lang w:val="fr-BE"/>
        </w:rPr>
        <w:t xml:space="preserve">, Y.-H., </w:t>
      </w:r>
      <w:r w:rsidR="000C0BD2" w:rsidRPr="00030347">
        <w:rPr>
          <w:i/>
          <w:iCs/>
          <w:color w:val="000000"/>
          <w:lang w:val="fr-BE"/>
        </w:rPr>
        <w:t>Droit des personnes et des familles</w:t>
      </w:r>
      <w:r w:rsidR="000C0BD2">
        <w:rPr>
          <w:color w:val="000000"/>
          <w:lang w:val="fr-BE"/>
        </w:rPr>
        <w:t>, Brussel, Larcier, 2015, 904</w:t>
      </w:r>
      <w:r w:rsidR="00FF22BA">
        <w:rPr>
          <w:color w:val="000000"/>
          <w:lang w:val="fr-BE"/>
        </w:rPr>
        <w:t xml:space="preserve"> </w:t>
      </w:r>
      <w:r w:rsidR="000C0BD2" w:rsidRPr="00030347">
        <w:rPr>
          <w:color w:val="000000"/>
          <w:lang w:val="fr-BE"/>
        </w:rPr>
        <w:t>p.</w:t>
      </w:r>
    </w:p>
    <w:p w:rsidR="000C0BD2" w:rsidRDefault="000C0BD2" w:rsidP="00CF6AB9">
      <w:pPr>
        <w:rPr>
          <w:color w:val="000000"/>
          <w:lang w:val="fr-BE"/>
        </w:rPr>
      </w:pPr>
    </w:p>
    <w:p w:rsidR="000C0BD2" w:rsidRPr="002F3FDE" w:rsidRDefault="00E77C84" w:rsidP="00CF6AB9">
      <w:pPr>
        <w:rPr>
          <w:color w:val="000000"/>
          <w:lang w:val="fr-BE"/>
        </w:rPr>
      </w:pPr>
      <w:r>
        <w:rPr>
          <w:smallCaps/>
          <w:color w:val="000000"/>
          <w:lang w:val="fr-BE"/>
        </w:rPr>
        <w:t>MASSAGER</w:t>
      </w:r>
      <w:r w:rsidR="000C0BD2">
        <w:rPr>
          <w:smallCaps/>
          <w:color w:val="000000"/>
          <w:lang w:val="fr-BE"/>
        </w:rPr>
        <w:t xml:space="preserve">, N., </w:t>
      </w:r>
      <w:r w:rsidR="000C0BD2" w:rsidRPr="002F3FDE">
        <w:rPr>
          <w:lang w:val="fr-BE"/>
        </w:rPr>
        <w:t>“</w:t>
      </w:r>
      <w:r w:rsidR="000C0BD2">
        <w:rPr>
          <w:color w:val="000000"/>
          <w:lang w:val="fr-BE"/>
        </w:rPr>
        <w:t>Trois ans d’application de la nouvelle loi en matière de filiation</w:t>
      </w:r>
      <w:r w:rsidR="000C0BD2" w:rsidRPr="002F3FDE">
        <w:rPr>
          <w:lang w:val="fr-BE"/>
        </w:rPr>
        <w:t>”</w:t>
      </w:r>
      <w:r w:rsidR="000C0BD2">
        <w:rPr>
          <w:color w:val="000000"/>
          <w:lang w:val="fr-BE"/>
        </w:rPr>
        <w:t xml:space="preserve">  in </w:t>
      </w:r>
      <w:r>
        <w:rPr>
          <w:smallCaps/>
          <w:color w:val="000000"/>
          <w:lang w:val="fr-BE"/>
        </w:rPr>
        <w:t>PIRE</w:t>
      </w:r>
      <w:r w:rsidR="000C0BD2">
        <w:rPr>
          <w:smallCaps/>
          <w:color w:val="000000"/>
          <w:lang w:val="fr-BE"/>
        </w:rPr>
        <w:t>, D. (</w:t>
      </w:r>
      <w:r w:rsidR="000C0BD2">
        <w:rPr>
          <w:color w:val="000000"/>
          <w:lang w:val="fr-BE"/>
        </w:rPr>
        <w:t xml:space="preserve">ed.), </w:t>
      </w:r>
      <w:r w:rsidR="000C0BD2" w:rsidRPr="002F3FDE">
        <w:rPr>
          <w:i/>
          <w:iCs/>
          <w:color w:val="000000"/>
          <w:lang w:val="fr-BE"/>
        </w:rPr>
        <w:t>Droit des familles</w:t>
      </w:r>
      <w:r w:rsidR="000C0BD2">
        <w:rPr>
          <w:color w:val="000000"/>
          <w:lang w:val="fr-BE"/>
        </w:rPr>
        <w:t>, Luik, Anthemis,</w:t>
      </w:r>
      <w:r w:rsidR="00812D64">
        <w:rPr>
          <w:color w:val="000000"/>
          <w:lang w:val="fr-BE"/>
        </w:rPr>
        <w:t xml:space="preserve"> 2011,</w:t>
      </w:r>
      <w:r w:rsidR="000C0BD2">
        <w:rPr>
          <w:color w:val="000000"/>
          <w:lang w:val="fr-BE"/>
        </w:rPr>
        <w:t xml:space="preserve"> 91-147.</w:t>
      </w:r>
    </w:p>
    <w:p w:rsidR="000C0BD2" w:rsidRDefault="00E77C84" w:rsidP="00CF6AB9">
      <w:pPr>
        <w:pStyle w:val="Randnummer"/>
        <w:ind w:left="0" w:firstLine="0"/>
        <w:rPr>
          <w:lang w:val="fr-FR"/>
        </w:rPr>
      </w:pPr>
      <w:r>
        <w:rPr>
          <w:smallCaps/>
          <w:lang w:val="fr-FR"/>
        </w:rPr>
        <w:t>MEULDERS-KLEIN</w:t>
      </w:r>
      <w:r w:rsidR="00FF22BA">
        <w:rPr>
          <w:smallCaps/>
          <w:lang w:val="fr-FR"/>
        </w:rPr>
        <w:t>, M</w:t>
      </w:r>
      <w:r w:rsidR="000C0BD2">
        <w:rPr>
          <w:smallCaps/>
          <w:lang w:val="fr-FR"/>
        </w:rPr>
        <w:t>.-T.</w:t>
      </w:r>
      <w:r w:rsidR="000C0BD2" w:rsidRPr="00A43D35">
        <w:rPr>
          <w:lang w:val="fr-FR"/>
        </w:rPr>
        <w:t xml:space="preserve">, </w:t>
      </w:r>
      <w:r w:rsidR="000C0BD2" w:rsidRPr="00A43D35">
        <w:rPr>
          <w:i/>
          <w:iCs/>
          <w:lang w:val="fr-FR"/>
        </w:rPr>
        <w:t>Adoption et formes alternatives d’accuei</w:t>
      </w:r>
      <w:r w:rsidR="0066048D">
        <w:rPr>
          <w:i/>
          <w:iCs/>
          <w:lang w:val="fr-FR"/>
        </w:rPr>
        <w:t>l: droit belge et droit comparé</w:t>
      </w:r>
      <w:r w:rsidR="000C0BD2" w:rsidRPr="00A43D35">
        <w:rPr>
          <w:lang w:val="fr-FR"/>
        </w:rPr>
        <w:t xml:space="preserve">, Brussel, Story-Scientia, </w:t>
      </w:r>
      <w:r w:rsidR="0066048D">
        <w:rPr>
          <w:lang w:val="fr-FR"/>
        </w:rPr>
        <w:t xml:space="preserve">1990, </w:t>
      </w:r>
      <w:r w:rsidR="000C0BD2">
        <w:rPr>
          <w:lang w:val="fr-FR"/>
        </w:rPr>
        <w:t>331</w:t>
      </w:r>
      <w:r w:rsidR="00FF22BA">
        <w:rPr>
          <w:lang w:val="fr-FR"/>
        </w:rPr>
        <w:t xml:space="preserve"> </w:t>
      </w:r>
      <w:r w:rsidR="000C0BD2">
        <w:rPr>
          <w:lang w:val="fr-FR"/>
        </w:rPr>
        <w:t>p.</w:t>
      </w:r>
    </w:p>
    <w:p w:rsidR="000C0BD2" w:rsidRPr="005428D7" w:rsidRDefault="00E77C84" w:rsidP="00CF6AB9">
      <w:pPr>
        <w:pStyle w:val="Randnummer"/>
        <w:ind w:left="0" w:firstLine="0"/>
      </w:pPr>
      <w:r>
        <w:rPr>
          <w:smallCaps/>
        </w:rPr>
        <w:lastRenderedPageBreak/>
        <w:t>PLUYM</w:t>
      </w:r>
      <w:r w:rsidR="000C0BD2">
        <w:rPr>
          <w:smallCaps/>
        </w:rPr>
        <w:t xml:space="preserve">, L., </w:t>
      </w:r>
      <w:r w:rsidR="000C0BD2">
        <w:t xml:space="preserve">“Belgisch afstammingsrecht, quo vadis? Draagmoederschap en meemoederschap” </w:t>
      </w:r>
      <w:r w:rsidR="000C0BD2" w:rsidRPr="00CF6AB9">
        <w:t xml:space="preserve">in </w:t>
      </w:r>
      <w:r>
        <w:rPr>
          <w:smallCaps/>
        </w:rPr>
        <w:t>DE WISPELAERE</w:t>
      </w:r>
      <w:r w:rsidR="000C0BD2" w:rsidRPr="00CF6AB9">
        <w:rPr>
          <w:smallCaps/>
        </w:rPr>
        <w:t>, K. (</w:t>
      </w:r>
      <w:r w:rsidR="000C0BD2" w:rsidRPr="00CF6AB9">
        <w:t>ed.), Personen- en familierecht, Brussel, Larcier, 2015,</w:t>
      </w:r>
      <w:r w:rsidR="000C0BD2">
        <w:t xml:space="preserve"> 77-139.</w:t>
      </w:r>
    </w:p>
    <w:p w:rsidR="000C0BD2" w:rsidRPr="00DB66D3" w:rsidRDefault="00E77C84" w:rsidP="00CF6AB9">
      <w:pPr>
        <w:pStyle w:val="Randnummer"/>
        <w:ind w:left="0" w:firstLine="0"/>
      </w:pPr>
      <w:r>
        <w:rPr>
          <w:smallCaps/>
        </w:rPr>
        <w:t>PUT</w:t>
      </w:r>
      <w:r w:rsidR="000C0BD2">
        <w:rPr>
          <w:smallCaps/>
        </w:rPr>
        <w:t xml:space="preserve">, J., </w:t>
      </w:r>
      <w:r w:rsidR="000C0BD2" w:rsidRPr="00DB66D3">
        <w:rPr>
          <w:i/>
          <w:iCs/>
        </w:rPr>
        <w:t>Handboek Jeugdbeschermingsrecht</w:t>
      </w:r>
      <w:r w:rsidR="000C0BD2">
        <w:t>, Brugge, Die Keure, 2015, 590</w:t>
      </w:r>
      <w:r w:rsidR="00FF22BA">
        <w:t xml:space="preserve"> </w:t>
      </w:r>
      <w:r w:rsidR="000C0BD2">
        <w:t>p.</w:t>
      </w:r>
    </w:p>
    <w:p w:rsidR="000C0BD2" w:rsidRPr="00DB66D3" w:rsidRDefault="000C0BD2" w:rsidP="00CF6AB9"/>
    <w:p w:rsidR="000C0BD2" w:rsidRDefault="00E77C84" w:rsidP="00CF6AB9">
      <w:r>
        <w:rPr>
          <w:smallCaps/>
          <w:color w:val="000000"/>
        </w:rPr>
        <w:t>SENAEVE</w:t>
      </w:r>
      <w:r w:rsidR="000C0BD2" w:rsidRPr="008F6472">
        <w:rPr>
          <w:smallCaps/>
          <w:color w:val="000000"/>
        </w:rPr>
        <w:t xml:space="preserve">, P., </w:t>
      </w:r>
      <w:r w:rsidR="000C0BD2" w:rsidRPr="008F6472">
        <w:rPr>
          <w:i/>
          <w:iCs/>
          <w:color w:val="000000"/>
        </w:rPr>
        <w:t>Compendium van het Personen- en Familierecht</w:t>
      </w:r>
      <w:r w:rsidR="000C0BD2" w:rsidRPr="008F6472">
        <w:rPr>
          <w:color w:val="000000"/>
        </w:rPr>
        <w:t>, Leuven, Acco</w:t>
      </w:r>
      <w:r w:rsidR="000C0BD2" w:rsidRPr="00DB66D3">
        <w:rPr>
          <w:color w:val="000000"/>
        </w:rPr>
        <w:t>, 2015,</w:t>
      </w:r>
      <w:r w:rsidR="000C0BD2">
        <w:rPr>
          <w:color w:val="000000"/>
        </w:rPr>
        <w:t xml:space="preserve"> 685</w:t>
      </w:r>
      <w:r w:rsidR="00FF22BA">
        <w:rPr>
          <w:color w:val="000000"/>
        </w:rPr>
        <w:t xml:space="preserve"> </w:t>
      </w:r>
      <w:r w:rsidR="000C0BD2" w:rsidRPr="008F6472">
        <w:rPr>
          <w:color w:val="000000"/>
        </w:rPr>
        <w:t>p.</w:t>
      </w:r>
    </w:p>
    <w:p w:rsidR="000C0BD2" w:rsidRDefault="000C0BD2" w:rsidP="00CF6AB9"/>
    <w:p w:rsidR="000C0BD2" w:rsidRDefault="00E77C84" w:rsidP="00CF6AB9">
      <w:r>
        <w:rPr>
          <w:smallCaps/>
        </w:rPr>
        <w:t>SWENNEN</w:t>
      </w:r>
      <w:r w:rsidR="000C0BD2" w:rsidRPr="008F6472">
        <w:rPr>
          <w:smallCaps/>
        </w:rPr>
        <w:t xml:space="preserve">, </w:t>
      </w:r>
      <w:r w:rsidR="000C0BD2" w:rsidRPr="008F6472">
        <w:t>F.,</w:t>
      </w:r>
      <w:r w:rsidR="000C0BD2" w:rsidRPr="008F6472">
        <w:rPr>
          <w:smallCaps/>
        </w:rPr>
        <w:t xml:space="preserve"> “</w:t>
      </w:r>
      <w:r w:rsidR="000C0BD2" w:rsidRPr="008F6472">
        <w:t xml:space="preserve">De juridische gevolgen van adoptie”, in </w:t>
      </w:r>
      <w:r>
        <w:rPr>
          <w:smallCaps/>
        </w:rPr>
        <w:t>SENAEVE</w:t>
      </w:r>
      <w:r w:rsidR="000C0BD2" w:rsidRPr="008F6472">
        <w:rPr>
          <w:smallCaps/>
        </w:rPr>
        <w:t xml:space="preserve">, P. </w:t>
      </w:r>
      <w:r w:rsidR="000C0BD2" w:rsidRPr="008F6472">
        <w:t xml:space="preserve">en </w:t>
      </w:r>
      <w:r>
        <w:rPr>
          <w:smallCaps/>
        </w:rPr>
        <w:t>SWENNEN</w:t>
      </w:r>
      <w:r w:rsidR="000C0BD2" w:rsidRPr="008F6472">
        <w:rPr>
          <w:smallCaps/>
        </w:rPr>
        <w:t xml:space="preserve">, F. </w:t>
      </w:r>
      <w:r w:rsidR="000C0BD2" w:rsidRPr="008F6472">
        <w:t xml:space="preserve">(eds.), </w:t>
      </w:r>
      <w:r w:rsidR="000C0BD2" w:rsidRPr="008F6472">
        <w:rPr>
          <w:i/>
          <w:iCs/>
        </w:rPr>
        <w:t>De hervorming van de interne en de internationale adoptie</w:t>
      </w:r>
      <w:r w:rsidR="000C0BD2" w:rsidRPr="008F6472">
        <w:t>, Antwerpen, Intersentia, 2006, 121-163.</w:t>
      </w:r>
    </w:p>
    <w:p w:rsidR="000C0BD2" w:rsidRDefault="000C0BD2" w:rsidP="00CF6AB9"/>
    <w:p w:rsidR="000C0BD2" w:rsidRDefault="00E77C84" w:rsidP="00CF6AB9">
      <w:pPr>
        <w:rPr>
          <w:color w:val="000000"/>
        </w:rPr>
      </w:pPr>
      <w:r>
        <w:rPr>
          <w:smallCaps/>
          <w:color w:val="000000"/>
        </w:rPr>
        <w:t>SWENNEN</w:t>
      </w:r>
      <w:r w:rsidR="000C0BD2" w:rsidRPr="008F6472">
        <w:rPr>
          <w:smallCaps/>
          <w:color w:val="000000"/>
        </w:rPr>
        <w:t xml:space="preserve">, F., </w:t>
      </w:r>
      <w:r w:rsidR="000C0BD2" w:rsidRPr="008F6472">
        <w:rPr>
          <w:i/>
          <w:iCs/>
          <w:color w:val="000000"/>
        </w:rPr>
        <w:t>Familierecht in kort bestek,</w:t>
      </w:r>
      <w:r w:rsidR="000C0BD2">
        <w:rPr>
          <w:color w:val="000000"/>
        </w:rPr>
        <w:t xml:space="preserve"> </w:t>
      </w:r>
      <w:r w:rsidR="000C0BD2" w:rsidRPr="00375A2C">
        <w:rPr>
          <w:color w:val="000000"/>
        </w:rPr>
        <w:t>Antwerpen, Intersentia, 2008, 299</w:t>
      </w:r>
      <w:r w:rsidR="00FF22BA">
        <w:rPr>
          <w:color w:val="000000"/>
        </w:rPr>
        <w:t xml:space="preserve"> </w:t>
      </w:r>
      <w:r w:rsidR="000C0BD2" w:rsidRPr="00375A2C">
        <w:rPr>
          <w:color w:val="000000"/>
        </w:rPr>
        <w:t>p</w:t>
      </w:r>
      <w:r w:rsidR="000C0BD2" w:rsidRPr="008F6472">
        <w:rPr>
          <w:color w:val="000000"/>
        </w:rPr>
        <w:t>.</w:t>
      </w:r>
    </w:p>
    <w:p w:rsidR="000C0BD2" w:rsidRDefault="000C0BD2" w:rsidP="00CF6AB9">
      <w:pPr>
        <w:rPr>
          <w:color w:val="000000"/>
        </w:rPr>
      </w:pPr>
    </w:p>
    <w:p w:rsidR="000C0BD2" w:rsidRDefault="00E77C84" w:rsidP="00CF6AB9">
      <w:r>
        <w:rPr>
          <w:smallCaps/>
        </w:rPr>
        <w:t>SWENNEN</w:t>
      </w:r>
      <w:r w:rsidR="000C0BD2" w:rsidRPr="008F6472">
        <w:rPr>
          <w:smallCaps/>
        </w:rPr>
        <w:t>, F.</w:t>
      </w:r>
      <w:r w:rsidR="000C0BD2" w:rsidRPr="008F6472">
        <w:t xml:space="preserve">, “Rechten van niet-ouders met betrekking tot minderjarigen” in </w:t>
      </w:r>
      <w:r>
        <w:rPr>
          <w:smallCaps/>
        </w:rPr>
        <w:t>SENAEVE</w:t>
      </w:r>
      <w:r w:rsidR="000C0BD2" w:rsidRPr="008F6472">
        <w:rPr>
          <w:smallCaps/>
        </w:rPr>
        <w:t xml:space="preserve">, P., </w:t>
      </w:r>
      <w:r>
        <w:rPr>
          <w:smallCaps/>
        </w:rPr>
        <w:t>SWENNEN</w:t>
      </w:r>
      <w:r w:rsidR="000C0BD2" w:rsidRPr="008F6472">
        <w:rPr>
          <w:smallCaps/>
        </w:rPr>
        <w:t xml:space="preserve">, F. </w:t>
      </w:r>
      <w:r w:rsidR="000C0BD2" w:rsidRPr="008F6472">
        <w:t xml:space="preserve">en </w:t>
      </w:r>
      <w:r>
        <w:rPr>
          <w:smallCaps/>
        </w:rPr>
        <w:t>VERSCHELDEN</w:t>
      </w:r>
      <w:r w:rsidR="000C0BD2" w:rsidRPr="008F6472">
        <w:rPr>
          <w:smallCaps/>
        </w:rPr>
        <w:t>, G.</w:t>
      </w:r>
      <w:r w:rsidR="000C0BD2" w:rsidRPr="008F6472">
        <w:t xml:space="preserve"> (eds.), </w:t>
      </w:r>
      <w:r w:rsidR="000C0BD2" w:rsidRPr="008F6472">
        <w:rPr>
          <w:i/>
          <w:iCs/>
        </w:rPr>
        <w:t>Ouders en kinderen</w:t>
      </w:r>
      <w:r w:rsidR="000C0BD2" w:rsidRPr="008F6472">
        <w:t>, Antwerpen, Intersentia, 2013, 257-309.</w:t>
      </w:r>
    </w:p>
    <w:p w:rsidR="000C0BD2" w:rsidRDefault="000C0BD2" w:rsidP="00CF6AB9"/>
    <w:p w:rsidR="000C0BD2" w:rsidRDefault="00E77C84" w:rsidP="00CF6AB9">
      <w:r>
        <w:rPr>
          <w:smallCaps/>
          <w:color w:val="000000"/>
        </w:rPr>
        <w:t>SWENNEN</w:t>
      </w:r>
      <w:r w:rsidR="000C0BD2" w:rsidRPr="008F6472">
        <w:rPr>
          <w:smallCaps/>
          <w:color w:val="000000"/>
        </w:rPr>
        <w:t xml:space="preserve">, F., </w:t>
      </w:r>
      <w:r w:rsidR="000C0BD2" w:rsidRPr="008F6472">
        <w:rPr>
          <w:i/>
          <w:iCs/>
          <w:color w:val="000000"/>
        </w:rPr>
        <w:t>Het personen- en familierecht</w:t>
      </w:r>
      <w:r w:rsidR="000C0BD2" w:rsidRPr="008F6472">
        <w:rPr>
          <w:color w:val="000000"/>
        </w:rPr>
        <w:t>, Antwerpen, Intersentia, 2015, 581</w:t>
      </w:r>
      <w:r w:rsidR="00FF22BA">
        <w:rPr>
          <w:color w:val="000000"/>
        </w:rPr>
        <w:t xml:space="preserve"> </w:t>
      </w:r>
      <w:r w:rsidR="000C0BD2" w:rsidRPr="008F6472">
        <w:rPr>
          <w:color w:val="000000"/>
        </w:rPr>
        <w:t>p.</w:t>
      </w:r>
    </w:p>
    <w:p w:rsidR="000C0BD2" w:rsidRDefault="000C0BD2" w:rsidP="00CF6AB9"/>
    <w:p w:rsidR="000C0BD2" w:rsidRPr="00690B9D" w:rsidRDefault="00E77C84" w:rsidP="00CF6AB9">
      <w:pPr>
        <w:rPr>
          <w:lang w:val="fr-BE"/>
        </w:rPr>
      </w:pPr>
      <w:r>
        <w:rPr>
          <w:smallCaps/>
          <w:lang w:val="fr-BE"/>
        </w:rPr>
        <w:t>UYTTENDAELE</w:t>
      </w:r>
      <w:r w:rsidR="000C0BD2">
        <w:rPr>
          <w:smallCaps/>
          <w:lang w:val="fr-BE"/>
        </w:rPr>
        <w:t>, N.</w:t>
      </w:r>
      <w:r w:rsidR="000C0BD2" w:rsidRPr="00376465">
        <w:rPr>
          <w:smallCaps/>
          <w:lang w:val="fr-BE"/>
        </w:rPr>
        <w:t xml:space="preserve">, </w:t>
      </w:r>
      <w:r w:rsidR="000C0BD2" w:rsidRPr="00376465">
        <w:rPr>
          <w:lang w:val="fr-BE"/>
        </w:rPr>
        <w:t>“</w:t>
      </w:r>
      <w:r w:rsidR="000C0BD2">
        <w:rPr>
          <w:lang w:val="fr-BE"/>
        </w:rPr>
        <w:t>Modalités d’hébergement, rôle des parents et beaux-parents et exercice de l’autorité parentale – Le point de veu du juriste</w:t>
      </w:r>
      <w:r w:rsidR="000C0BD2" w:rsidRPr="00376465">
        <w:rPr>
          <w:color w:val="000000"/>
          <w:lang w:val="fr-BE"/>
        </w:rPr>
        <w:t xml:space="preserve">” </w:t>
      </w:r>
      <w:r w:rsidR="000C0BD2" w:rsidRPr="00376465">
        <w:rPr>
          <w:lang w:val="fr-BE"/>
        </w:rPr>
        <w:t xml:space="preserve">in </w:t>
      </w:r>
      <w:r>
        <w:rPr>
          <w:smallCaps/>
          <w:lang w:val="fr-BE"/>
        </w:rPr>
        <w:t>GALLUS</w:t>
      </w:r>
      <w:r w:rsidR="000C0BD2">
        <w:rPr>
          <w:smallCaps/>
          <w:lang w:val="fr-BE"/>
        </w:rPr>
        <w:t>, N</w:t>
      </w:r>
      <w:r w:rsidR="000C0BD2" w:rsidRPr="00376465">
        <w:rPr>
          <w:smallCaps/>
          <w:lang w:val="fr-BE"/>
        </w:rPr>
        <w:t>. (</w:t>
      </w:r>
      <w:r w:rsidR="000C0BD2" w:rsidRPr="00376465">
        <w:rPr>
          <w:lang w:val="fr-BE"/>
        </w:rPr>
        <w:t>ed.),</w:t>
      </w:r>
      <w:r w:rsidR="000C0BD2" w:rsidRPr="00376465">
        <w:rPr>
          <w:i/>
          <w:iCs/>
          <w:lang w:val="fr-BE"/>
        </w:rPr>
        <w:t xml:space="preserve"> Les recompositions familiales, </w:t>
      </w:r>
      <w:r w:rsidR="000C0BD2" w:rsidRPr="00376465">
        <w:rPr>
          <w:lang w:val="fr-BE"/>
        </w:rPr>
        <w:t xml:space="preserve">Limal, Anthemis, 2015, </w:t>
      </w:r>
      <w:r w:rsidR="000C0BD2">
        <w:rPr>
          <w:lang w:val="fr-BE"/>
        </w:rPr>
        <w:t>95-111.</w:t>
      </w:r>
    </w:p>
    <w:p w:rsidR="005E001B" w:rsidRPr="00EA2AD0" w:rsidRDefault="00E77C84" w:rsidP="00EA2AD0">
      <w:pPr>
        <w:pStyle w:val="Heading2"/>
        <w:rPr>
          <w:b w:val="0"/>
          <w:bCs w:val="0"/>
          <w:caps w:val="0"/>
        </w:rPr>
      </w:pPr>
      <w:bookmarkStart w:id="133" w:name="_Toc441496318"/>
      <w:bookmarkStart w:id="134" w:name="_Toc441651393"/>
      <w:bookmarkStart w:id="135" w:name="_Toc441660124"/>
      <w:bookmarkStart w:id="136" w:name="_Toc441662349"/>
      <w:bookmarkStart w:id="137" w:name="_Toc441668166"/>
      <w:bookmarkStart w:id="138" w:name="_Toc445559766"/>
      <w:bookmarkStart w:id="139" w:name="_Toc445655186"/>
      <w:bookmarkStart w:id="140" w:name="_Toc445655358"/>
      <w:bookmarkStart w:id="141" w:name="_Toc448153080"/>
      <w:bookmarkStart w:id="142" w:name="_Toc448153576"/>
      <w:bookmarkStart w:id="143" w:name="_Toc448231804"/>
      <w:bookmarkStart w:id="144" w:name="_Toc448492054"/>
      <w:bookmarkStart w:id="145" w:name="_Toc448820744"/>
      <w:bookmarkStart w:id="146" w:name="_Toc449279370"/>
      <w:bookmarkStart w:id="147" w:name="_Toc449285181"/>
      <w:bookmarkStart w:id="148" w:name="_Toc449350645"/>
      <w:bookmarkStart w:id="149" w:name="_Toc449543090"/>
      <w:bookmarkStart w:id="150" w:name="_Toc449543676"/>
      <w:bookmarkStart w:id="151" w:name="_Toc449559369"/>
      <w:bookmarkStart w:id="152" w:name="_Toc449617925"/>
      <w:bookmarkStart w:id="153" w:name="_Toc449620423"/>
      <w:bookmarkStart w:id="154" w:name="_Toc449812787"/>
      <w:bookmarkStart w:id="155" w:name="_Toc449874999"/>
      <w:bookmarkStart w:id="156" w:name="_Toc449905789"/>
      <w:bookmarkStart w:id="157" w:name="_Toc449912254"/>
      <w:bookmarkStart w:id="158" w:name="_Toc449936814"/>
      <w:r w:rsidRPr="00EA2AD0">
        <w:rPr>
          <w:b w:val="0"/>
          <w:bCs w:val="0"/>
          <w:caps w:val="0"/>
        </w:rPr>
        <w:t>VAN ASCH</w:t>
      </w:r>
      <w:r w:rsidR="000C0BD2" w:rsidRPr="00EA2AD0">
        <w:rPr>
          <w:b w:val="0"/>
          <w:bCs w:val="0"/>
          <w:caps w:val="0"/>
        </w:rPr>
        <w:t xml:space="preserve">, V., “Topics uit het adoptierecht toegelicht?” in </w:t>
      </w:r>
      <w:r w:rsidRPr="00EA2AD0">
        <w:rPr>
          <w:b w:val="0"/>
          <w:bCs w:val="0"/>
          <w:caps w:val="0"/>
        </w:rPr>
        <w:t>DE WISPELAERE</w:t>
      </w:r>
      <w:r w:rsidR="000C0BD2" w:rsidRPr="00EA2AD0">
        <w:rPr>
          <w:b w:val="0"/>
          <w:bCs w:val="0"/>
          <w:caps w:val="0"/>
        </w:rPr>
        <w:t xml:space="preserve">, K. (ed.), </w:t>
      </w:r>
      <w:r w:rsidR="000C0BD2" w:rsidRPr="001C4FEC">
        <w:rPr>
          <w:b w:val="0"/>
          <w:bCs w:val="0"/>
          <w:i/>
          <w:caps w:val="0"/>
        </w:rPr>
        <w:t>Personen- en familierecht</w:t>
      </w:r>
      <w:r w:rsidR="000C0BD2" w:rsidRPr="00EA2AD0">
        <w:rPr>
          <w:b w:val="0"/>
          <w:bCs w:val="0"/>
          <w:caps w:val="0"/>
        </w:rPr>
        <w:t>, Brussel, Larcier, 2015, 59-75.</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5E001B" w:rsidRPr="002A0E74" w:rsidRDefault="00E77C84" w:rsidP="001C4FEC">
      <w:pPr>
        <w:pStyle w:val="Heading2"/>
        <w:rPr>
          <w:b w:val="0"/>
          <w:bCs w:val="0"/>
          <w:caps w:val="0"/>
          <w:lang w:val="nl-NL"/>
        </w:rPr>
      </w:pPr>
      <w:bookmarkStart w:id="159" w:name="_Toc448492055"/>
      <w:bookmarkStart w:id="160" w:name="_Toc448820745"/>
      <w:bookmarkStart w:id="161" w:name="_Toc449279371"/>
      <w:bookmarkStart w:id="162" w:name="_Toc449285182"/>
      <w:bookmarkStart w:id="163" w:name="_Toc449350646"/>
      <w:bookmarkStart w:id="164" w:name="_Toc449543091"/>
      <w:bookmarkStart w:id="165" w:name="_Toc449543677"/>
      <w:bookmarkStart w:id="166" w:name="_Toc449559370"/>
      <w:bookmarkStart w:id="167" w:name="_Toc449617926"/>
      <w:bookmarkStart w:id="168" w:name="_Toc449620424"/>
      <w:bookmarkStart w:id="169" w:name="_Toc449812788"/>
      <w:bookmarkStart w:id="170" w:name="_Toc449875000"/>
      <w:bookmarkStart w:id="171" w:name="_Toc449905790"/>
      <w:bookmarkStart w:id="172" w:name="_Toc449912255"/>
      <w:bookmarkStart w:id="173" w:name="_Toc449936815"/>
      <w:r w:rsidRPr="001C4FEC">
        <w:rPr>
          <w:b w:val="0"/>
          <w:smallCaps/>
        </w:rPr>
        <w:t>V</w:t>
      </w:r>
      <w:r w:rsidRPr="002A0E74">
        <w:rPr>
          <w:b w:val="0"/>
          <w:bCs w:val="0"/>
          <w:caps w:val="0"/>
          <w:lang w:val="nl-NL"/>
        </w:rPr>
        <w:t>ANDE LANOTTE</w:t>
      </w:r>
      <w:r w:rsidR="005E001B" w:rsidRPr="002A0E74">
        <w:rPr>
          <w:b w:val="0"/>
          <w:bCs w:val="0"/>
          <w:caps w:val="0"/>
          <w:lang w:val="nl-NL"/>
        </w:rPr>
        <w:t xml:space="preserve">, J. en </w:t>
      </w:r>
      <w:r w:rsidRPr="002A0E74">
        <w:rPr>
          <w:b w:val="0"/>
          <w:bCs w:val="0"/>
          <w:caps w:val="0"/>
          <w:lang w:val="nl-NL"/>
        </w:rPr>
        <w:t>HAECK</w:t>
      </w:r>
      <w:r w:rsidR="005E001B" w:rsidRPr="002A0E74">
        <w:rPr>
          <w:b w:val="0"/>
          <w:bCs w:val="0"/>
          <w:caps w:val="0"/>
          <w:lang w:val="nl-NL"/>
        </w:rPr>
        <w:t xml:space="preserve">, Y., </w:t>
      </w:r>
      <w:r w:rsidR="005E001B" w:rsidRPr="002A0E74">
        <w:rPr>
          <w:b w:val="0"/>
          <w:bCs w:val="0"/>
          <w:i/>
          <w:caps w:val="0"/>
          <w:lang w:val="nl-NL"/>
        </w:rPr>
        <w:t>Handboek EVRM. Deel 1; Algemene beginselen</w:t>
      </w:r>
      <w:r w:rsidR="005E001B" w:rsidRPr="002A0E74">
        <w:rPr>
          <w:b w:val="0"/>
          <w:bCs w:val="0"/>
          <w:caps w:val="0"/>
          <w:lang w:val="nl-NL"/>
        </w:rPr>
        <w:t>, Antwerpen, Intersentia, 2005, 949</w:t>
      </w:r>
      <w:r w:rsidR="00FF22BA" w:rsidRPr="002A0E74">
        <w:rPr>
          <w:b w:val="0"/>
          <w:bCs w:val="0"/>
          <w:caps w:val="0"/>
          <w:lang w:val="nl-NL"/>
        </w:rPr>
        <w:t xml:space="preserve"> </w:t>
      </w:r>
      <w:r w:rsidR="005E001B" w:rsidRPr="002A0E74">
        <w:rPr>
          <w:b w:val="0"/>
          <w:bCs w:val="0"/>
          <w:caps w:val="0"/>
          <w:lang w:val="nl-NL"/>
        </w:rPr>
        <w:t>p.</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0C0BD2" w:rsidRPr="002A0E74" w:rsidRDefault="000C0BD2" w:rsidP="00CF6AB9">
      <w:pPr>
        <w:rPr>
          <w:lang w:val="nl-NL"/>
        </w:rPr>
      </w:pPr>
    </w:p>
    <w:p w:rsidR="000C0BD2" w:rsidRDefault="00E77C84" w:rsidP="00CF6AB9">
      <w:pPr>
        <w:rPr>
          <w:lang w:val="fr-FR"/>
        </w:rPr>
      </w:pPr>
      <w:r>
        <w:rPr>
          <w:smallCaps/>
          <w:lang w:val="fr-FR"/>
        </w:rPr>
        <w:t>VAN GYSEL</w:t>
      </w:r>
      <w:r w:rsidR="000C0BD2" w:rsidRPr="008F6472">
        <w:rPr>
          <w:smallCaps/>
          <w:lang w:val="fr-FR"/>
        </w:rPr>
        <w:t xml:space="preserve">, A.-C., </w:t>
      </w:r>
      <w:r w:rsidR="000C0BD2" w:rsidRPr="008F6472">
        <w:rPr>
          <w:i/>
          <w:iCs/>
          <w:lang w:val="fr-FR"/>
        </w:rPr>
        <w:t>Précis de droit des personnes et de la famille</w:t>
      </w:r>
      <w:r w:rsidR="000C0BD2" w:rsidRPr="008F6472">
        <w:rPr>
          <w:lang w:val="fr-FR"/>
        </w:rPr>
        <w:t xml:space="preserve">, Limal, Anthemis </w:t>
      </w:r>
      <w:proofErr w:type="gramStart"/>
      <w:r w:rsidR="000C0BD2" w:rsidRPr="008F6472">
        <w:rPr>
          <w:lang w:val="fr-FR"/>
        </w:rPr>
        <w:t>s.a.,</w:t>
      </w:r>
      <w:proofErr w:type="gramEnd"/>
      <w:r w:rsidR="000C0BD2" w:rsidRPr="008F6472">
        <w:rPr>
          <w:lang w:val="fr-FR"/>
        </w:rPr>
        <w:t xml:space="preserve"> 2013, 609</w:t>
      </w:r>
      <w:r w:rsidR="00FF22BA">
        <w:rPr>
          <w:lang w:val="fr-FR"/>
        </w:rPr>
        <w:t xml:space="preserve"> </w:t>
      </w:r>
      <w:r w:rsidR="000C0BD2" w:rsidRPr="008F6472">
        <w:rPr>
          <w:lang w:val="fr-FR"/>
        </w:rPr>
        <w:t>p.</w:t>
      </w:r>
    </w:p>
    <w:p w:rsidR="000C0BD2" w:rsidRDefault="000C0BD2" w:rsidP="00CF6AB9">
      <w:pPr>
        <w:rPr>
          <w:lang w:val="fr-FR"/>
        </w:rPr>
      </w:pPr>
    </w:p>
    <w:p w:rsidR="000C0BD2" w:rsidRDefault="000C0BD2" w:rsidP="00CF6AB9">
      <w:r w:rsidRPr="002056E7">
        <w:rPr>
          <w:vanish/>
          <w:lang w:val="fr-BE"/>
        </w:rPr>
        <w:t xml:space="preserve">De </w:t>
      </w:r>
      <w:r w:rsidR="00E77C84">
        <w:rPr>
          <w:smallCaps/>
          <w:lang w:val="fr-BE"/>
        </w:rPr>
        <w:t>VAN GYSEL</w:t>
      </w:r>
      <w:r>
        <w:rPr>
          <w:smallCaps/>
          <w:lang w:val="fr-BE"/>
        </w:rPr>
        <w:t xml:space="preserve">, A.-C. ,  </w:t>
      </w:r>
      <w:r w:rsidRPr="002056E7">
        <w:rPr>
          <w:i/>
          <w:iCs/>
          <w:lang w:val="fr-BE"/>
        </w:rPr>
        <w:t>De Page Traité de droit civil belge</w:t>
      </w:r>
      <w:r w:rsidRPr="002056E7">
        <w:rPr>
          <w:lang w:val="fr-BE"/>
        </w:rPr>
        <w:t xml:space="preserve">, I, </w:t>
      </w:r>
      <w:r w:rsidRPr="00AF37DC">
        <w:rPr>
          <w:i/>
          <w:lang w:val="fr-BE"/>
        </w:rPr>
        <w:t>Les personnes,</w:t>
      </w:r>
      <w:r w:rsidRPr="002056E7">
        <w:rPr>
          <w:lang w:val="fr-BE"/>
        </w:rPr>
        <w:t xml:space="preserve"> vol. </w:t>
      </w:r>
      <w:r w:rsidRPr="005428D7">
        <w:t>I, Brussel, Bruylant, 2015, 976</w:t>
      </w:r>
      <w:r w:rsidR="00FF22BA">
        <w:t xml:space="preserve"> </w:t>
      </w:r>
      <w:r>
        <w:t>p</w:t>
      </w:r>
      <w:r w:rsidRPr="005428D7">
        <w:t>.</w:t>
      </w:r>
    </w:p>
    <w:p w:rsidR="00BD259A" w:rsidRDefault="00BD259A" w:rsidP="00CF6AB9"/>
    <w:p w:rsidR="00BD259A" w:rsidRDefault="00E77C84" w:rsidP="00CF6AB9">
      <w:r w:rsidRPr="006131F0">
        <w:rPr>
          <w:smallCaps/>
          <w:color w:val="000000" w:themeColor="text1"/>
        </w:rPr>
        <w:t>VAN PUT</w:t>
      </w:r>
      <w:r w:rsidR="00BD259A" w:rsidRPr="006131F0">
        <w:rPr>
          <w:smallCaps/>
          <w:color w:val="000000" w:themeColor="text1"/>
        </w:rPr>
        <w:t xml:space="preserve">, K., </w:t>
      </w:r>
      <w:r w:rsidR="006131F0">
        <w:rPr>
          <w:color w:val="000000" w:themeColor="text1"/>
        </w:rPr>
        <w:t>“Topic</w:t>
      </w:r>
      <w:r w:rsidR="00BD259A" w:rsidRPr="006131F0">
        <w:rPr>
          <w:color w:val="000000" w:themeColor="text1"/>
        </w:rPr>
        <w:t>s uit het personen- en familierecht</w:t>
      </w:r>
      <w:r w:rsidR="00724A88" w:rsidRPr="006131F0">
        <w:rPr>
          <w:color w:val="000000" w:themeColor="text1"/>
        </w:rPr>
        <w:t>”</w:t>
      </w:r>
      <w:r w:rsidR="00BD259A" w:rsidRPr="006131F0">
        <w:rPr>
          <w:color w:val="000000" w:themeColor="text1"/>
        </w:rPr>
        <w:t xml:space="preserve"> in </w:t>
      </w:r>
      <w:r w:rsidR="006131F0" w:rsidRPr="006131F0">
        <w:rPr>
          <w:color w:val="000000" w:themeColor="text1"/>
        </w:rPr>
        <w:t>ORDE VAN VLAAMSE BALIES</w:t>
      </w:r>
      <w:r w:rsidR="006131F0">
        <w:rPr>
          <w:color w:val="000000" w:themeColor="text1"/>
        </w:rPr>
        <w:t xml:space="preserve"> (ed.)</w:t>
      </w:r>
      <w:r w:rsidR="00724A88" w:rsidRPr="006131F0">
        <w:rPr>
          <w:color w:val="000000" w:themeColor="text1"/>
        </w:rPr>
        <w:t xml:space="preserve">, </w:t>
      </w:r>
      <w:r w:rsidR="00BD259A" w:rsidRPr="00724A88">
        <w:rPr>
          <w:i/>
        </w:rPr>
        <w:t>Bijzondere opleiding jeugdrecht 2013-2014</w:t>
      </w:r>
      <w:r w:rsidR="00BD259A">
        <w:t xml:space="preserve">, Brusssel, </w:t>
      </w:r>
      <w:r w:rsidR="006131F0">
        <w:t xml:space="preserve">Kluwer, </w:t>
      </w:r>
      <w:r w:rsidR="00BD259A">
        <w:t xml:space="preserve">2013, </w:t>
      </w:r>
      <w:r w:rsidR="00724A88">
        <w:t>269-361.</w:t>
      </w:r>
    </w:p>
    <w:p w:rsidR="00BD259A" w:rsidRPr="005428D7" w:rsidRDefault="00BD259A" w:rsidP="00CF6AB9"/>
    <w:p w:rsidR="000C0BD2" w:rsidRDefault="00E77C84" w:rsidP="00CF6AB9">
      <w:r>
        <w:rPr>
          <w:smallCaps/>
        </w:rPr>
        <w:t>VERSCHELDEN</w:t>
      </w:r>
      <w:r w:rsidR="000C0BD2" w:rsidRPr="008F6472">
        <w:rPr>
          <w:smallCaps/>
        </w:rPr>
        <w:t xml:space="preserve">, G., </w:t>
      </w:r>
      <w:r w:rsidR="000C0BD2" w:rsidRPr="008F6472">
        <w:rPr>
          <w:i/>
          <w:iCs/>
        </w:rPr>
        <w:t>Handboek Belgisch familierecht,</w:t>
      </w:r>
      <w:r w:rsidR="000C0BD2" w:rsidRPr="008F6472">
        <w:t xml:space="preserve"> Brugge, Die Keure, 2010, 840</w:t>
      </w:r>
      <w:r w:rsidR="00FF22BA">
        <w:t xml:space="preserve"> </w:t>
      </w:r>
      <w:r w:rsidR="000C0BD2" w:rsidRPr="008F6472">
        <w:t>p.</w:t>
      </w:r>
    </w:p>
    <w:p w:rsidR="00BD6859" w:rsidRDefault="0063252E" w:rsidP="0063252E">
      <w:pPr>
        <w:tabs>
          <w:tab w:val="left" w:pos="1680"/>
        </w:tabs>
      </w:pPr>
      <w:r>
        <w:tab/>
      </w:r>
    </w:p>
    <w:p w:rsidR="00BD6859" w:rsidRPr="00BD6859" w:rsidRDefault="00BD6859" w:rsidP="00CF6AB9">
      <w:r>
        <w:t xml:space="preserve">WUYTS, T., </w:t>
      </w:r>
      <w:r w:rsidRPr="00BD6859">
        <w:rPr>
          <w:i/>
          <w:iCs/>
        </w:rPr>
        <w:t>Naar een coherente gezagsregeling over minderjarigen,</w:t>
      </w:r>
      <w:r>
        <w:rPr>
          <w:i/>
          <w:iCs/>
        </w:rPr>
        <w:t xml:space="preserve"> </w:t>
      </w:r>
      <w:r>
        <w:rPr>
          <w:iCs/>
        </w:rPr>
        <w:t>doctoraatsthesis Rechten KU Leuven, 2012, 899 p.</w:t>
      </w:r>
    </w:p>
    <w:p w:rsidR="000C0BD2" w:rsidRDefault="000C0BD2" w:rsidP="00CF6AB9"/>
    <w:p w:rsidR="000C0BD2" w:rsidRDefault="00E77C84" w:rsidP="00CF6AB9">
      <w:r>
        <w:rPr>
          <w:smallCaps/>
        </w:rPr>
        <w:t>WUYTS</w:t>
      </w:r>
      <w:r w:rsidR="000C0BD2" w:rsidRPr="008F6472">
        <w:rPr>
          <w:smallCaps/>
        </w:rPr>
        <w:t>, T., “</w:t>
      </w:r>
      <w:r w:rsidR="000C0BD2" w:rsidRPr="008F6472">
        <w:t xml:space="preserve">De rechtspositie van meemoeders en hun kinderen” in </w:t>
      </w:r>
      <w:r>
        <w:rPr>
          <w:smallCaps/>
        </w:rPr>
        <w:t>SENAEVE</w:t>
      </w:r>
      <w:r w:rsidR="000C0BD2" w:rsidRPr="008F6472">
        <w:rPr>
          <w:smallCaps/>
        </w:rPr>
        <w:t xml:space="preserve">, P., </w:t>
      </w:r>
      <w:r>
        <w:rPr>
          <w:smallCaps/>
        </w:rPr>
        <w:t>SWENNEN</w:t>
      </w:r>
      <w:r w:rsidR="000C0BD2" w:rsidRPr="008F6472">
        <w:rPr>
          <w:smallCaps/>
        </w:rPr>
        <w:t xml:space="preserve">, F. </w:t>
      </w:r>
      <w:r w:rsidR="000C0BD2" w:rsidRPr="008F6472">
        <w:t>en</w:t>
      </w:r>
      <w:r w:rsidR="000C0BD2" w:rsidRPr="008F6472">
        <w:rPr>
          <w:smallCaps/>
        </w:rPr>
        <w:t xml:space="preserve"> </w:t>
      </w:r>
      <w:r>
        <w:rPr>
          <w:smallCaps/>
        </w:rPr>
        <w:t>VERSCHELDEN</w:t>
      </w:r>
      <w:r w:rsidR="000C0BD2" w:rsidRPr="008F6472">
        <w:rPr>
          <w:smallCaps/>
        </w:rPr>
        <w:t>, G.</w:t>
      </w:r>
      <w:r w:rsidR="000C0BD2" w:rsidRPr="008F6472">
        <w:t xml:space="preserve"> (eds.), </w:t>
      </w:r>
      <w:r w:rsidR="000C0BD2" w:rsidRPr="008F6472">
        <w:rPr>
          <w:i/>
          <w:iCs/>
        </w:rPr>
        <w:t>Ouders en kinderen</w:t>
      </w:r>
      <w:r w:rsidR="000C0BD2" w:rsidRPr="008F6472">
        <w:t>, Antwerpen, Intersentia, 2013, 71-179.</w:t>
      </w:r>
    </w:p>
    <w:p w:rsidR="009E6E15" w:rsidRDefault="009E6E15" w:rsidP="00CF6AB9"/>
    <w:p w:rsidR="009E6E15" w:rsidRPr="009E6E15" w:rsidRDefault="009E6E15" w:rsidP="00CF6AB9">
      <w:pPr>
        <w:rPr>
          <w:i/>
          <w:iCs/>
          <w:u w:val="single"/>
          <w:lang w:val="en-US"/>
        </w:rPr>
      </w:pPr>
      <w:r w:rsidRPr="009E6E15">
        <w:rPr>
          <w:i/>
          <w:iCs/>
          <w:u w:val="single"/>
          <w:lang w:val="en-US"/>
        </w:rPr>
        <w:t>Canada</w:t>
      </w:r>
    </w:p>
    <w:p w:rsidR="00FC2495" w:rsidRPr="002601E9" w:rsidRDefault="00FC2495" w:rsidP="00487B7B">
      <w:pPr>
        <w:rPr>
          <w:lang w:val="en-US"/>
        </w:rPr>
      </w:pPr>
    </w:p>
    <w:p w:rsidR="009E6E15" w:rsidRPr="009E6E15" w:rsidRDefault="009E6E15" w:rsidP="00487B7B">
      <w:pPr>
        <w:rPr>
          <w:color w:val="32322F"/>
          <w:lang w:val="en-US" w:eastAsia="nl-BE"/>
        </w:rPr>
      </w:pPr>
      <w:r w:rsidRPr="009E6E15">
        <w:rPr>
          <w:color w:val="32322F"/>
          <w:lang w:val="en-US" w:eastAsia="nl-BE"/>
        </w:rPr>
        <w:lastRenderedPageBreak/>
        <w:t xml:space="preserve">FINDLAY, B. en SULEMAN, Z., </w:t>
      </w:r>
      <w:r w:rsidRPr="009E6E15">
        <w:rPr>
          <w:i/>
          <w:color w:val="32322F"/>
          <w:lang w:val="en-US" w:eastAsia="nl-BE"/>
        </w:rPr>
        <w:t xml:space="preserve">The Family Law Act: everything </w:t>
      </w:r>
      <w:r w:rsidR="005E5152">
        <w:rPr>
          <w:i/>
          <w:color w:val="32322F"/>
          <w:lang w:val="en-US" w:eastAsia="nl-BE"/>
        </w:rPr>
        <w:t>you always wanted to know</w:t>
      </w:r>
      <w:r w:rsidR="00F70FDD">
        <w:rPr>
          <w:i/>
          <w:color w:val="32322F"/>
          <w:lang w:val="en-US" w:eastAsia="nl-BE"/>
        </w:rPr>
        <w:t>, P</w:t>
      </w:r>
      <w:r w:rsidR="005E5152">
        <w:rPr>
          <w:i/>
          <w:color w:val="32322F"/>
          <w:lang w:val="en-US" w:eastAsia="nl-BE"/>
        </w:rPr>
        <w:t>aper;</w:t>
      </w:r>
      <w:r w:rsidRPr="009E6E15">
        <w:rPr>
          <w:i/>
          <w:color w:val="32322F"/>
          <w:lang w:val="en-US" w:eastAsia="nl-BE"/>
        </w:rPr>
        <w:t xml:space="preserve"> Baby Steps: Assisted Reproductive Technology and the B.C. Family Law Act</w:t>
      </w:r>
      <w:r w:rsidR="00812D64">
        <w:rPr>
          <w:color w:val="32322F"/>
          <w:lang w:val="en-US" w:eastAsia="nl-BE"/>
        </w:rPr>
        <w:t xml:space="preserve">, </w:t>
      </w:r>
      <w:r w:rsidRPr="009E6E15">
        <w:rPr>
          <w:color w:val="32322F"/>
          <w:lang w:val="en-US" w:eastAsia="nl-BE"/>
        </w:rPr>
        <w:t>British Columbia, Continuing Legal Education Society of British Columbia, 2013, 96</w:t>
      </w:r>
      <w:r w:rsidR="00FF22BA">
        <w:rPr>
          <w:color w:val="32322F"/>
          <w:lang w:val="en-US" w:eastAsia="nl-BE"/>
        </w:rPr>
        <w:t xml:space="preserve"> </w:t>
      </w:r>
      <w:r w:rsidRPr="009E6E15">
        <w:rPr>
          <w:color w:val="32322F"/>
          <w:lang w:val="en-US" w:eastAsia="nl-BE"/>
        </w:rPr>
        <w:t xml:space="preserve">p. </w:t>
      </w:r>
    </w:p>
    <w:p w:rsidR="009E6E15" w:rsidRPr="009E6E15" w:rsidRDefault="009E6E15" w:rsidP="00487B7B">
      <w:pPr>
        <w:rPr>
          <w:lang w:val="en-US"/>
        </w:rPr>
      </w:pPr>
    </w:p>
    <w:p w:rsidR="00FC2495" w:rsidRDefault="00FC2495" w:rsidP="00487B7B">
      <w:pPr>
        <w:rPr>
          <w:i/>
          <w:iCs/>
          <w:u w:val="single"/>
          <w:lang w:val="en-US"/>
        </w:rPr>
      </w:pPr>
      <w:r w:rsidRPr="00AD12A4">
        <w:rPr>
          <w:i/>
          <w:iCs/>
          <w:u w:val="single"/>
          <w:lang w:val="en-US"/>
        </w:rPr>
        <w:t>Engeland</w:t>
      </w:r>
    </w:p>
    <w:p w:rsidR="00410F90" w:rsidRDefault="00410F90" w:rsidP="00487B7B">
      <w:pPr>
        <w:rPr>
          <w:i/>
          <w:iCs/>
          <w:u w:val="single"/>
          <w:lang w:val="en-US"/>
        </w:rPr>
      </w:pPr>
    </w:p>
    <w:p w:rsidR="00410F90" w:rsidRDefault="00410F90" w:rsidP="00487B7B">
      <w:pPr>
        <w:rPr>
          <w:lang w:val="en-US"/>
        </w:rPr>
      </w:pPr>
      <w:proofErr w:type="gramStart"/>
      <w:r>
        <w:rPr>
          <w:lang w:val="en-US"/>
        </w:rPr>
        <w:t>BART</w:t>
      </w:r>
      <w:r w:rsidR="00800A41">
        <w:rPr>
          <w:lang w:val="en-US"/>
        </w:rPr>
        <w:t>ON,</w:t>
      </w:r>
      <w:r>
        <w:rPr>
          <w:lang w:val="en-US"/>
        </w:rPr>
        <w:t xml:space="preserve"> C. en DOUGLAS</w:t>
      </w:r>
      <w:r w:rsidRPr="00410F90">
        <w:rPr>
          <w:i/>
          <w:lang w:val="en-US"/>
        </w:rPr>
        <w:t>,</w:t>
      </w:r>
      <w:r>
        <w:rPr>
          <w:i/>
          <w:lang w:val="en-US"/>
        </w:rPr>
        <w:t xml:space="preserve"> G.,</w:t>
      </w:r>
      <w:r w:rsidRPr="00410F90">
        <w:rPr>
          <w:i/>
          <w:lang w:val="en-US"/>
        </w:rPr>
        <w:t xml:space="preserve"> Law and Parenthood</w:t>
      </w:r>
      <w:r>
        <w:rPr>
          <w:lang w:val="en-US"/>
        </w:rPr>
        <w:t>, Londen, Butterworths, 1995, 468</w:t>
      </w:r>
      <w:r w:rsidR="00FF22BA">
        <w:rPr>
          <w:lang w:val="en-US"/>
        </w:rPr>
        <w:t xml:space="preserve"> </w:t>
      </w:r>
      <w:r>
        <w:rPr>
          <w:lang w:val="en-US"/>
        </w:rPr>
        <w:t>p.</w:t>
      </w:r>
      <w:proofErr w:type="gramEnd"/>
    </w:p>
    <w:p w:rsidR="009E6E15" w:rsidRPr="009E6E15" w:rsidRDefault="009E6E15" w:rsidP="00487B7B">
      <w:pPr>
        <w:rPr>
          <w:lang w:val="en-US"/>
        </w:rPr>
      </w:pPr>
    </w:p>
    <w:p w:rsidR="009E6E15" w:rsidRPr="009E6E15" w:rsidRDefault="009E6E15" w:rsidP="009E6E15">
      <w:pPr>
        <w:rPr>
          <w:lang w:val="en-US"/>
        </w:rPr>
      </w:pPr>
      <w:r w:rsidRPr="009E6E15">
        <w:rPr>
          <w:lang w:val="en-US"/>
        </w:rPr>
        <w:t>BOYD, S.</w:t>
      </w:r>
      <w:proofErr w:type="gramStart"/>
      <w:r w:rsidRPr="009E6E15">
        <w:rPr>
          <w:lang w:val="en-US"/>
        </w:rPr>
        <w:t>,“</w:t>
      </w:r>
      <w:proofErr w:type="gramEnd"/>
      <w:r w:rsidRPr="009E6E15">
        <w:rPr>
          <w:lang w:val="en-US"/>
        </w:rPr>
        <w:t xml:space="preserve">Equality: An Uncomfortable Fit in Parenting Law”, in LECKEY, R. (ed.), </w:t>
      </w:r>
      <w:r w:rsidRPr="009E6E15">
        <w:rPr>
          <w:i/>
          <w:lang w:val="en-US"/>
        </w:rPr>
        <w:t xml:space="preserve">After Legal Equality: Family, Sex, Kinship, </w:t>
      </w:r>
      <w:r w:rsidRPr="009E6E15">
        <w:rPr>
          <w:lang w:val="en-US"/>
        </w:rPr>
        <w:t>Abingdon,</w:t>
      </w:r>
      <w:r w:rsidRPr="009E6E15">
        <w:rPr>
          <w:i/>
          <w:lang w:val="en-US"/>
        </w:rPr>
        <w:t xml:space="preserve"> </w:t>
      </w:r>
      <w:r w:rsidRPr="009E6E15">
        <w:rPr>
          <w:lang w:val="en-US"/>
        </w:rPr>
        <w:t>Routledge, 2015, 89-124.</w:t>
      </w:r>
    </w:p>
    <w:p w:rsidR="003716C8" w:rsidRDefault="003716C8" w:rsidP="00487B7B">
      <w:pPr>
        <w:rPr>
          <w:i/>
          <w:iCs/>
          <w:u w:val="single"/>
          <w:lang w:val="en-US"/>
        </w:rPr>
      </w:pPr>
    </w:p>
    <w:p w:rsidR="003716C8" w:rsidRPr="00AD12A4" w:rsidRDefault="003716C8" w:rsidP="00487B7B">
      <w:pPr>
        <w:rPr>
          <w:i/>
          <w:iCs/>
          <w:u w:val="single"/>
          <w:lang w:val="en-US"/>
        </w:rPr>
      </w:pPr>
      <w:proofErr w:type="gramStart"/>
      <w:r>
        <w:rPr>
          <w:lang w:val="en-US"/>
        </w:rPr>
        <w:t xml:space="preserve">BURTON, F., </w:t>
      </w:r>
      <w:r w:rsidRPr="00687EEF">
        <w:rPr>
          <w:i/>
          <w:lang w:val="en-US"/>
        </w:rPr>
        <w:t>Family Law</w:t>
      </w:r>
      <w:r>
        <w:rPr>
          <w:lang w:val="en-US"/>
        </w:rPr>
        <w:t>, Londen, Routledge, 2015, 526</w:t>
      </w:r>
      <w:r w:rsidR="00FF22BA">
        <w:rPr>
          <w:lang w:val="en-US"/>
        </w:rPr>
        <w:t xml:space="preserve"> </w:t>
      </w:r>
      <w:r>
        <w:rPr>
          <w:lang w:val="en-US"/>
        </w:rPr>
        <w:t>p.</w:t>
      </w:r>
      <w:proofErr w:type="gramEnd"/>
    </w:p>
    <w:p w:rsidR="00FC2495" w:rsidRPr="00AD12A4" w:rsidRDefault="00FC2495" w:rsidP="00487B7B">
      <w:pPr>
        <w:rPr>
          <w:lang w:val="en-US"/>
        </w:rPr>
      </w:pPr>
    </w:p>
    <w:p w:rsidR="00FC2495" w:rsidRDefault="00FC2495" w:rsidP="00487B7B">
      <w:pPr>
        <w:rPr>
          <w:lang w:val="en-US"/>
        </w:rPr>
      </w:pPr>
      <w:r w:rsidRPr="00FC2495">
        <w:rPr>
          <w:lang w:val="en-US"/>
        </w:rPr>
        <w:t>GILMORE,</w:t>
      </w:r>
      <w:r w:rsidR="001B53A2">
        <w:rPr>
          <w:lang w:val="en-US"/>
        </w:rPr>
        <w:t xml:space="preserve"> S., </w:t>
      </w:r>
      <w:r w:rsidRPr="00FC2495">
        <w:rPr>
          <w:lang w:val="en-US"/>
        </w:rPr>
        <w:t>HERRING</w:t>
      </w:r>
      <w:r w:rsidR="001B53A2">
        <w:rPr>
          <w:lang w:val="en-US"/>
        </w:rPr>
        <w:t xml:space="preserve">, J. en </w:t>
      </w:r>
      <w:r w:rsidRPr="00FC2495">
        <w:rPr>
          <w:lang w:val="en-US"/>
        </w:rPr>
        <w:t>P</w:t>
      </w:r>
      <w:r w:rsidR="00E77C84">
        <w:rPr>
          <w:lang w:val="en-US"/>
        </w:rPr>
        <w:t>ROBERT</w:t>
      </w:r>
      <w:r w:rsidRPr="00FC2495">
        <w:rPr>
          <w:lang w:val="en-US"/>
        </w:rPr>
        <w:t>,</w:t>
      </w:r>
      <w:r w:rsidR="001B53A2">
        <w:rPr>
          <w:lang w:val="en-US"/>
        </w:rPr>
        <w:t xml:space="preserve"> R.,</w:t>
      </w:r>
      <w:r w:rsidRPr="00FC2495">
        <w:rPr>
          <w:lang w:val="en-US"/>
        </w:rPr>
        <w:t xml:space="preserve"> “Introduction</w:t>
      </w:r>
      <w:r w:rsidR="00C61702">
        <w:rPr>
          <w:lang w:val="en-US"/>
        </w:rPr>
        <w:t xml:space="preserve">: </w:t>
      </w:r>
      <w:hyperlink r:id="rId20" w:history="1">
        <w:r w:rsidR="006E1363">
          <w:rPr>
            <w:lang w:val="en-US"/>
          </w:rPr>
          <w:t xml:space="preserve">Parental Responsibility - </w:t>
        </w:r>
        <w:r w:rsidR="00C61702" w:rsidRPr="00C61702">
          <w:rPr>
            <w:lang w:val="en-US"/>
          </w:rPr>
          <w:t>Law, Issues and Themes</w:t>
        </w:r>
      </w:hyperlink>
      <w:r w:rsidRPr="00FC2495">
        <w:rPr>
          <w:lang w:val="en-US"/>
        </w:rPr>
        <w:t>” in P</w:t>
      </w:r>
      <w:r w:rsidR="00E77C84">
        <w:rPr>
          <w:lang w:val="en-US"/>
        </w:rPr>
        <w:t>ROBERT</w:t>
      </w:r>
      <w:r w:rsidRPr="00FC2495">
        <w:rPr>
          <w:lang w:val="en-US"/>
        </w:rPr>
        <w:t>, R., GILMORE, S. en HERRING, J. (ed</w:t>
      </w:r>
      <w:r w:rsidR="001B53A2">
        <w:rPr>
          <w:lang w:val="en-US"/>
        </w:rPr>
        <w:t>s</w:t>
      </w:r>
      <w:r w:rsidRPr="00FC2495">
        <w:rPr>
          <w:lang w:val="en-US"/>
        </w:rPr>
        <w:t>.)</w:t>
      </w:r>
      <w:r w:rsidR="001B53A2">
        <w:rPr>
          <w:lang w:val="en-US"/>
        </w:rPr>
        <w:t>,</w:t>
      </w:r>
      <w:r w:rsidRPr="00FC2495">
        <w:rPr>
          <w:lang w:val="en-US"/>
        </w:rPr>
        <w:t xml:space="preserve"> </w:t>
      </w:r>
      <w:r w:rsidRPr="00FC2495">
        <w:rPr>
          <w:i/>
          <w:lang w:val="en-US"/>
        </w:rPr>
        <w:t>Responsible Parents &amp; Parental Responsibility</w:t>
      </w:r>
      <w:r w:rsidR="001B53A2">
        <w:rPr>
          <w:lang w:val="en-US"/>
        </w:rPr>
        <w:t xml:space="preserve">, Hart, Oxford, </w:t>
      </w:r>
      <w:r w:rsidR="001B53A2" w:rsidRPr="00C61702">
        <w:rPr>
          <w:lang w:val="en-US"/>
        </w:rPr>
        <w:t>2009</w:t>
      </w:r>
      <w:r w:rsidR="00C61702" w:rsidRPr="00C61702">
        <w:rPr>
          <w:lang w:val="en-US"/>
        </w:rPr>
        <w:t>, 1-20.</w:t>
      </w:r>
    </w:p>
    <w:p w:rsidR="00800A41" w:rsidRDefault="00800A41" w:rsidP="00487B7B">
      <w:pPr>
        <w:rPr>
          <w:lang w:val="en-US"/>
        </w:rPr>
      </w:pPr>
    </w:p>
    <w:p w:rsidR="00800A41" w:rsidRDefault="00800A41" w:rsidP="00487B7B">
      <w:pPr>
        <w:rPr>
          <w:lang w:val="en-US"/>
        </w:rPr>
      </w:pPr>
      <w:r>
        <w:rPr>
          <w:lang w:val="en-US"/>
        </w:rPr>
        <w:t>GILMORE</w:t>
      </w:r>
      <w:r w:rsidR="00D65EE8">
        <w:rPr>
          <w:lang w:val="en-US"/>
        </w:rPr>
        <w:t xml:space="preserve">, S. en </w:t>
      </w:r>
      <w:r>
        <w:rPr>
          <w:lang w:val="en-US"/>
        </w:rPr>
        <w:t>GLENNON,</w:t>
      </w:r>
      <w:r w:rsidR="00D65EE8">
        <w:rPr>
          <w:lang w:val="en-US"/>
        </w:rPr>
        <w:t xml:space="preserve"> L.,</w:t>
      </w:r>
      <w:r>
        <w:rPr>
          <w:lang w:val="en-US"/>
        </w:rPr>
        <w:t xml:space="preserve"> </w:t>
      </w:r>
      <w:r w:rsidRPr="00E07F04">
        <w:rPr>
          <w:i/>
          <w:lang w:val="en-US"/>
        </w:rPr>
        <w:t>Hayes &amp; Williams’ Family Law</w:t>
      </w:r>
      <w:r>
        <w:rPr>
          <w:lang w:val="en-US"/>
        </w:rPr>
        <w:t>, Oxford, Oxford University Press, 2014, 717</w:t>
      </w:r>
      <w:r w:rsidR="00FF22BA">
        <w:rPr>
          <w:lang w:val="en-US"/>
        </w:rPr>
        <w:t xml:space="preserve"> </w:t>
      </w:r>
      <w:r>
        <w:rPr>
          <w:lang w:val="en-US"/>
        </w:rPr>
        <w:t>p.</w:t>
      </w:r>
    </w:p>
    <w:p w:rsidR="005E7A03" w:rsidRDefault="005E7A03" w:rsidP="00487B7B">
      <w:pPr>
        <w:rPr>
          <w:lang w:val="en-US"/>
        </w:rPr>
      </w:pPr>
    </w:p>
    <w:p w:rsidR="005E7A03" w:rsidRDefault="005E7A03" w:rsidP="00487B7B">
      <w:pPr>
        <w:rPr>
          <w:lang w:val="en-US"/>
        </w:rPr>
      </w:pPr>
      <w:proofErr w:type="gramStart"/>
      <w:r>
        <w:rPr>
          <w:lang w:val="en-US"/>
        </w:rPr>
        <w:t xml:space="preserve">HERRING, J., </w:t>
      </w:r>
      <w:r w:rsidRPr="005E7A03">
        <w:rPr>
          <w:i/>
          <w:lang w:val="en-US"/>
        </w:rPr>
        <w:t>Family Law,</w:t>
      </w:r>
      <w:r>
        <w:rPr>
          <w:lang w:val="en-US"/>
        </w:rPr>
        <w:t xml:space="preserve"> Harlow, Pearson, 2015, 842</w:t>
      </w:r>
      <w:r w:rsidR="00FF22BA">
        <w:rPr>
          <w:lang w:val="en-US"/>
        </w:rPr>
        <w:t xml:space="preserve"> </w:t>
      </w:r>
      <w:r>
        <w:rPr>
          <w:lang w:val="en-US"/>
        </w:rPr>
        <w:t>p.</w:t>
      </w:r>
      <w:proofErr w:type="gramEnd"/>
    </w:p>
    <w:p w:rsidR="00B62142" w:rsidRDefault="00B62142" w:rsidP="00487B7B">
      <w:pPr>
        <w:rPr>
          <w:lang w:val="en-US"/>
        </w:rPr>
      </w:pPr>
    </w:p>
    <w:p w:rsidR="00B9518C" w:rsidRDefault="00B9518C" w:rsidP="00487B7B">
      <w:pPr>
        <w:rPr>
          <w:lang w:val="en-US"/>
        </w:rPr>
      </w:pPr>
      <w:proofErr w:type="gramStart"/>
      <w:r>
        <w:rPr>
          <w:lang w:val="en-US"/>
        </w:rPr>
        <w:t xml:space="preserve">PROBERT, R., </w:t>
      </w:r>
      <w:r w:rsidR="006E1363">
        <w:rPr>
          <w:i/>
          <w:lang w:val="en-US"/>
        </w:rPr>
        <w:t>Family &amp; Succession Law -</w:t>
      </w:r>
      <w:r w:rsidRPr="00364708">
        <w:rPr>
          <w:i/>
          <w:lang w:val="en-US"/>
        </w:rPr>
        <w:t xml:space="preserve"> England and Wales</w:t>
      </w:r>
      <w:r>
        <w:rPr>
          <w:lang w:val="en-US"/>
        </w:rPr>
        <w:t>, Nederland, Kluwer Law International, 2007, 240</w:t>
      </w:r>
      <w:r w:rsidR="00FF22BA">
        <w:rPr>
          <w:lang w:val="en-US"/>
        </w:rPr>
        <w:t xml:space="preserve"> </w:t>
      </w:r>
      <w:r>
        <w:rPr>
          <w:lang w:val="en-US"/>
        </w:rPr>
        <w:t>p.</w:t>
      </w:r>
      <w:proofErr w:type="gramEnd"/>
    </w:p>
    <w:p w:rsidR="00B9518C" w:rsidRDefault="00B9518C" w:rsidP="00487B7B">
      <w:pPr>
        <w:rPr>
          <w:lang w:val="en-US"/>
        </w:rPr>
      </w:pPr>
    </w:p>
    <w:p w:rsidR="00B62142" w:rsidRDefault="00B62142" w:rsidP="00487B7B">
      <w:pPr>
        <w:rPr>
          <w:lang w:val="en-US"/>
        </w:rPr>
      </w:pPr>
      <w:proofErr w:type="gramStart"/>
      <w:r>
        <w:rPr>
          <w:lang w:val="en-US"/>
        </w:rPr>
        <w:t>PROBERT,</w:t>
      </w:r>
      <w:r w:rsidR="003716C8">
        <w:rPr>
          <w:lang w:val="en-US"/>
        </w:rPr>
        <w:t xml:space="preserve"> R.,</w:t>
      </w:r>
      <w:r>
        <w:rPr>
          <w:lang w:val="en-US"/>
        </w:rPr>
        <w:t xml:space="preserve"> </w:t>
      </w:r>
      <w:r w:rsidRPr="008B35EB">
        <w:rPr>
          <w:i/>
          <w:lang w:val="en-US"/>
        </w:rPr>
        <w:t>Cretney and Probert’s family law</w:t>
      </w:r>
      <w:r>
        <w:rPr>
          <w:lang w:val="en-US"/>
        </w:rPr>
        <w:t>, Londen, 2012, Sweet &amp; Maxwell,</w:t>
      </w:r>
      <w:r w:rsidR="00410F90">
        <w:rPr>
          <w:lang w:val="en-US"/>
        </w:rPr>
        <w:t xml:space="preserve"> </w:t>
      </w:r>
      <w:r>
        <w:rPr>
          <w:lang w:val="en-US"/>
        </w:rPr>
        <w:t>463</w:t>
      </w:r>
      <w:r w:rsidR="00FF22BA">
        <w:rPr>
          <w:lang w:val="en-US"/>
        </w:rPr>
        <w:t xml:space="preserve"> </w:t>
      </w:r>
      <w:r>
        <w:rPr>
          <w:lang w:val="en-US"/>
        </w:rPr>
        <w:t>p.</w:t>
      </w:r>
      <w:proofErr w:type="gramEnd"/>
    </w:p>
    <w:p w:rsidR="0066048D" w:rsidRDefault="0066048D" w:rsidP="00487B7B">
      <w:pPr>
        <w:rPr>
          <w:lang w:val="en-US"/>
        </w:rPr>
      </w:pPr>
    </w:p>
    <w:p w:rsidR="0066048D" w:rsidRDefault="0066048D" w:rsidP="00487B7B">
      <w:pPr>
        <w:rPr>
          <w:lang w:val="en-US"/>
        </w:rPr>
      </w:pPr>
      <w:r>
        <w:rPr>
          <w:lang w:val="en-US"/>
        </w:rPr>
        <w:t xml:space="preserve">SCHERPE, J. M., “Establishing </w:t>
      </w:r>
      <w:r w:rsidR="00812D64">
        <w:rPr>
          <w:lang w:val="en-US"/>
        </w:rPr>
        <w:t xml:space="preserve">and Ending Parental Responsibility: A Comparative View” </w:t>
      </w:r>
      <w:r w:rsidR="00812D64" w:rsidRPr="00FC2495">
        <w:rPr>
          <w:lang w:val="en-US"/>
        </w:rPr>
        <w:t>in P</w:t>
      </w:r>
      <w:r w:rsidR="00812D64">
        <w:rPr>
          <w:lang w:val="en-US"/>
        </w:rPr>
        <w:t>ROBERT</w:t>
      </w:r>
      <w:r w:rsidR="00812D64" w:rsidRPr="00FC2495">
        <w:rPr>
          <w:lang w:val="en-US"/>
        </w:rPr>
        <w:t>, R., GILMORE, S. en HERRING, J. (ed</w:t>
      </w:r>
      <w:r w:rsidR="00812D64">
        <w:rPr>
          <w:lang w:val="en-US"/>
        </w:rPr>
        <w:t>s</w:t>
      </w:r>
      <w:r w:rsidR="00812D64" w:rsidRPr="00FC2495">
        <w:rPr>
          <w:lang w:val="en-US"/>
        </w:rPr>
        <w:t>.)</w:t>
      </w:r>
      <w:r w:rsidR="00812D64">
        <w:rPr>
          <w:lang w:val="en-US"/>
        </w:rPr>
        <w:t>,</w:t>
      </w:r>
      <w:r w:rsidR="00812D64" w:rsidRPr="00FC2495">
        <w:rPr>
          <w:lang w:val="en-US"/>
        </w:rPr>
        <w:t xml:space="preserve"> </w:t>
      </w:r>
      <w:r w:rsidR="00812D64" w:rsidRPr="00FC2495">
        <w:rPr>
          <w:i/>
          <w:lang w:val="en-US"/>
        </w:rPr>
        <w:t>Responsible Parents &amp; Parental Responsibility</w:t>
      </w:r>
      <w:r w:rsidR="00812D64">
        <w:rPr>
          <w:lang w:val="en-US"/>
        </w:rPr>
        <w:t xml:space="preserve">, Hart, Oxford, </w:t>
      </w:r>
      <w:r w:rsidR="00812D64" w:rsidRPr="00C61702">
        <w:rPr>
          <w:lang w:val="en-US"/>
        </w:rPr>
        <w:t>2009,</w:t>
      </w:r>
      <w:r w:rsidR="00812D64">
        <w:rPr>
          <w:lang w:val="en-US"/>
        </w:rPr>
        <w:t xml:space="preserve"> 43-62.</w:t>
      </w:r>
    </w:p>
    <w:p w:rsidR="000C0BD2" w:rsidRPr="00B114B0" w:rsidRDefault="000C0BD2" w:rsidP="00487B7B">
      <w:pPr>
        <w:rPr>
          <w:i/>
          <w:iCs/>
        </w:rPr>
      </w:pPr>
      <w:r w:rsidRPr="002A0E74">
        <w:rPr>
          <w:lang w:val="nl-NL"/>
        </w:rPr>
        <w:br/>
      </w:r>
      <w:r w:rsidRPr="00CF6AB9">
        <w:rPr>
          <w:i/>
          <w:iCs/>
          <w:u w:val="single"/>
        </w:rPr>
        <w:t>Nederland</w:t>
      </w:r>
    </w:p>
    <w:p w:rsidR="000C0BD2" w:rsidRPr="00B114B0" w:rsidRDefault="000C0BD2" w:rsidP="00487B7B"/>
    <w:p w:rsidR="000C0BD2" w:rsidRPr="00487B7B" w:rsidRDefault="00E77C84" w:rsidP="00487B7B">
      <w:r>
        <w:rPr>
          <w:smallCaps/>
        </w:rPr>
        <w:t>ANTOKOLSKAIA</w:t>
      </w:r>
      <w:r w:rsidR="000C0BD2" w:rsidRPr="008F6472">
        <w:rPr>
          <w:smallCaps/>
        </w:rPr>
        <w:t xml:space="preserve">, </w:t>
      </w:r>
      <w:r w:rsidR="000C0BD2" w:rsidRPr="008F6472">
        <w:t>M</w:t>
      </w:r>
      <w:r w:rsidR="000C0BD2" w:rsidRPr="008F6472">
        <w:rPr>
          <w:smallCaps/>
        </w:rPr>
        <w:t xml:space="preserve">.V., </w:t>
      </w:r>
      <w:r>
        <w:rPr>
          <w:smallCaps/>
        </w:rPr>
        <w:t>SCHRAMA</w:t>
      </w:r>
      <w:r w:rsidR="000C0BD2" w:rsidRPr="008F6472">
        <w:rPr>
          <w:smallCaps/>
        </w:rPr>
        <w:t xml:space="preserve">, W.M., </w:t>
      </w:r>
      <w:r>
        <w:rPr>
          <w:smallCaps/>
        </w:rPr>
        <w:t>BOELE-WOELKI</w:t>
      </w:r>
      <w:r w:rsidR="000C0BD2" w:rsidRPr="008F6472">
        <w:rPr>
          <w:smallCaps/>
        </w:rPr>
        <w:t xml:space="preserve">, K.R.S.D., </w:t>
      </w:r>
      <w:r>
        <w:rPr>
          <w:smallCaps/>
        </w:rPr>
        <w:t>BIJLEVELD</w:t>
      </w:r>
      <w:r w:rsidR="000C0BD2" w:rsidRPr="008F6472">
        <w:rPr>
          <w:smallCaps/>
        </w:rPr>
        <w:t xml:space="preserve">, C.C.J.H., </w:t>
      </w:r>
      <w:r w:rsidR="000F0F7D">
        <w:rPr>
          <w:smallCaps/>
        </w:rPr>
        <w:t>JEPPESEN DE BOER</w:t>
      </w:r>
      <w:r w:rsidR="000C0BD2" w:rsidRPr="008F6472">
        <w:rPr>
          <w:smallCaps/>
        </w:rPr>
        <w:t xml:space="preserve">, C.G. </w:t>
      </w:r>
      <w:r w:rsidR="000C0BD2" w:rsidRPr="008F6472">
        <w:t xml:space="preserve">en </w:t>
      </w:r>
      <w:r>
        <w:rPr>
          <w:smallCaps/>
        </w:rPr>
        <w:t>VAN ROSSUM</w:t>
      </w:r>
      <w:r w:rsidR="000C0BD2" w:rsidRPr="008F6472">
        <w:rPr>
          <w:smallCaps/>
        </w:rPr>
        <w:t xml:space="preserve">, G., </w:t>
      </w:r>
      <w:r w:rsidR="000C0BD2">
        <w:rPr>
          <w:i/>
          <w:iCs/>
        </w:rPr>
        <w:t>Meerouderge</w:t>
      </w:r>
      <w:r w:rsidR="000C0BD2" w:rsidRPr="008F6472">
        <w:rPr>
          <w:i/>
          <w:iCs/>
        </w:rPr>
        <w:t>zag: een oplossing voor kinderen met meer dan twee ouders? Een empirisch en rechtsvergelijkend onderzoek.</w:t>
      </w:r>
      <w:r w:rsidR="000C0BD2" w:rsidRPr="008F6472">
        <w:t>, Den Haag, Boom Juridische uitgevers, 2014, 251</w:t>
      </w:r>
      <w:r w:rsidR="00FF22BA">
        <w:t xml:space="preserve"> </w:t>
      </w:r>
      <w:r w:rsidR="000C0BD2" w:rsidRPr="008F6472">
        <w:t>p.</w:t>
      </w:r>
    </w:p>
    <w:p w:rsidR="000C0BD2" w:rsidRDefault="000C0BD2" w:rsidP="00CF6AB9">
      <w:pPr>
        <w:pStyle w:val="Randnummer"/>
        <w:ind w:left="0" w:firstLine="0"/>
        <w:rPr>
          <w:b/>
          <w:bCs/>
          <w:u w:val="single"/>
        </w:rPr>
      </w:pPr>
      <w:r w:rsidRPr="00CF6AB9">
        <w:rPr>
          <w:b/>
          <w:bCs/>
          <w:u w:val="single"/>
        </w:rPr>
        <w:t>Online</w:t>
      </w:r>
      <w:r>
        <w:rPr>
          <w:b/>
          <w:bCs/>
          <w:u w:val="single"/>
        </w:rPr>
        <w:t xml:space="preserve"> bronnen</w:t>
      </w:r>
    </w:p>
    <w:p w:rsidR="000C0BD2" w:rsidRPr="00CF6AB9" w:rsidRDefault="000C0BD2" w:rsidP="00CF6AB9">
      <w:pPr>
        <w:pStyle w:val="Randnummer"/>
        <w:ind w:left="0" w:firstLine="0"/>
        <w:rPr>
          <w:i/>
          <w:iCs/>
          <w:u w:val="single"/>
        </w:rPr>
      </w:pPr>
      <w:r w:rsidRPr="00CF6AB9">
        <w:rPr>
          <w:i/>
          <w:iCs/>
          <w:u w:val="single"/>
        </w:rPr>
        <w:t>België</w:t>
      </w:r>
      <w:r>
        <w:rPr>
          <w:i/>
          <w:iCs/>
          <w:u w:val="single"/>
        </w:rPr>
        <w:br/>
      </w:r>
    </w:p>
    <w:p w:rsidR="000C0BD2" w:rsidRDefault="000F0F7D" w:rsidP="00CF6AB9">
      <w:r>
        <w:rPr>
          <w:smallCaps/>
        </w:rPr>
        <w:t>DE GUCHT</w:t>
      </w:r>
      <w:r w:rsidR="000F792A">
        <w:rPr>
          <w:smallCaps/>
        </w:rPr>
        <w:t xml:space="preserve">, J.-J., </w:t>
      </w:r>
      <w:r w:rsidR="000C0BD2" w:rsidRPr="000F792A">
        <w:rPr>
          <w:i/>
        </w:rPr>
        <w:t>De tijd dat het twee-ouderschapsideaal de norm was, is niet meer v</w:t>
      </w:r>
      <w:r w:rsidR="000F792A">
        <w:rPr>
          <w:i/>
        </w:rPr>
        <w:t>an deze tijd</w:t>
      </w:r>
      <w:r w:rsidR="000C0BD2" w:rsidRPr="000F792A">
        <w:rPr>
          <w:i/>
        </w:rPr>
        <w:t xml:space="preserve">, </w:t>
      </w:r>
      <w:r w:rsidR="000C0BD2">
        <w:t xml:space="preserve">2015, </w:t>
      </w:r>
      <w:r w:rsidR="000C0BD2" w:rsidRPr="0097211A">
        <w:t>http://www.knack.be/nieuws/belgie/de-tijd-dat-het-twee-ouderschapsideaal-de-norm-was-is-niet-meer-van-deze-tijd/article-opinion-546377.html</w:t>
      </w:r>
      <w:r w:rsidR="000C0BD2">
        <w:t>.</w:t>
      </w:r>
    </w:p>
    <w:p w:rsidR="000F792A" w:rsidRDefault="000F0F7D" w:rsidP="00CF6AB9">
      <w:pPr>
        <w:pStyle w:val="Randnummer"/>
        <w:ind w:left="0" w:firstLine="0"/>
        <w:rPr>
          <w:rStyle w:val="Hyperlink"/>
          <w:i w:val="0"/>
          <w:iCs w:val="0"/>
        </w:rPr>
      </w:pPr>
      <w:r>
        <w:rPr>
          <w:smallCaps/>
        </w:rPr>
        <w:t>DE GUCHT</w:t>
      </w:r>
      <w:r w:rsidR="000F792A">
        <w:rPr>
          <w:smallCaps/>
        </w:rPr>
        <w:t xml:space="preserve">, J.-J., </w:t>
      </w:r>
      <w:r w:rsidR="000C0BD2" w:rsidRPr="000F792A">
        <w:rPr>
          <w:i/>
        </w:rPr>
        <w:t>Haal nieuwe vormen van ouderschap uit de onzekerheid</w:t>
      </w:r>
      <w:r w:rsidR="000C0BD2">
        <w:t xml:space="preserve">, 2015, </w:t>
      </w:r>
      <w:hyperlink r:id="rId21" w:history="1">
        <w:r w:rsidR="000F792A" w:rsidRPr="00E94E63">
          <w:rPr>
            <w:rStyle w:val="Hyperlink"/>
            <w:i w:val="0"/>
            <w:iCs w:val="0"/>
          </w:rPr>
          <w:t>http://www.demorgen.be/opinie/haal-nieuwe-vormen-van-ouderschap-uit-de-onzekerheid-b9efd41f/</w:t>
        </w:r>
      </w:hyperlink>
      <w:r w:rsidR="000C0BD2">
        <w:rPr>
          <w:rStyle w:val="Hyperlink"/>
          <w:i w:val="0"/>
          <w:iCs w:val="0"/>
        </w:rPr>
        <w:t>.</w:t>
      </w:r>
    </w:p>
    <w:p w:rsidR="001C08D5" w:rsidRDefault="001C08D5" w:rsidP="00CF6AB9">
      <w:pPr>
        <w:pStyle w:val="Randnummer"/>
        <w:ind w:left="0" w:firstLine="0"/>
        <w:rPr>
          <w:rStyle w:val="Hyperlink"/>
          <w:i w:val="0"/>
          <w:iCs w:val="0"/>
        </w:rPr>
      </w:pPr>
      <w:r w:rsidRPr="00C57539">
        <w:lastRenderedPageBreak/>
        <w:t>JUNES,</w:t>
      </w:r>
      <w:r>
        <w:t xml:space="preserve"> T.,</w:t>
      </w:r>
      <w:r w:rsidRPr="00C57539">
        <w:t xml:space="preserve"> </w:t>
      </w:r>
      <w:r w:rsidRPr="00C57539">
        <w:rPr>
          <w:i/>
        </w:rPr>
        <w:t>'Kinderwensspeeddate' voor holebi's en singles in Antwerpen,</w:t>
      </w:r>
      <w:r w:rsidRPr="00C57539">
        <w:t xml:space="preserve"> http://www.zizo-magazine.be/speeddate-voor-holebis-en-singles-met-een-kinderwens-komt-naar-antwerpen.</w:t>
      </w:r>
    </w:p>
    <w:p w:rsidR="000F792A" w:rsidRDefault="000F792A" w:rsidP="000F792A">
      <w:pPr>
        <w:pStyle w:val="Randnummer"/>
        <w:ind w:left="0" w:firstLine="0"/>
      </w:pPr>
      <w:r w:rsidRPr="000F792A">
        <w:t xml:space="preserve">PLEEGZORG VLAANDEREN, </w:t>
      </w:r>
      <w:r w:rsidRPr="000F792A">
        <w:rPr>
          <w:i/>
        </w:rPr>
        <w:t>Wat is pleegzorg</w:t>
      </w:r>
      <w:r w:rsidRPr="000F792A">
        <w:t xml:space="preserve">, </w:t>
      </w:r>
      <w:hyperlink r:id="rId22" w:history="1">
        <w:r w:rsidRPr="00E94E63">
          <w:rPr>
            <w:rStyle w:val="Hyperlink"/>
          </w:rPr>
          <w:t>http://www.pleegzorgvlaanderen.be</w:t>
        </w:r>
      </w:hyperlink>
      <w:r w:rsidRPr="000F792A">
        <w:t>.</w:t>
      </w:r>
    </w:p>
    <w:p w:rsidR="00C57539" w:rsidRDefault="000F792A" w:rsidP="00C57539">
      <w:pPr>
        <w:pStyle w:val="Randnummer"/>
        <w:ind w:left="0" w:firstLine="0"/>
      </w:pPr>
      <w:r w:rsidRPr="000F792A">
        <w:t xml:space="preserve">PLEEGZORG VLAANDEREN, </w:t>
      </w:r>
      <w:r>
        <w:rPr>
          <w:i/>
        </w:rPr>
        <w:t>Statuut voor pleegouders</w:t>
      </w:r>
      <w:r w:rsidRPr="000F792A">
        <w:t xml:space="preserve">, </w:t>
      </w:r>
      <w:hyperlink r:id="rId23" w:history="1">
        <w:r w:rsidR="00C57539" w:rsidRPr="00E94E63">
          <w:rPr>
            <w:rStyle w:val="Hyperlink"/>
          </w:rPr>
          <w:t>http://www.pleegzorgvlaanderen.be</w:t>
        </w:r>
      </w:hyperlink>
      <w:r w:rsidRPr="000F792A">
        <w:t>.</w:t>
      </w:r>
    </w:p>
    <w:p w:rsidR="000C0BD2" w:rsidRDefault="000C0BD2" w:rsidP="008B4E5D">
      <w:pPr>
        <w:rPr>
          <w:i/>
          <w:iCs/>
        </w:rPr>
      </w:pPr>
    </w:p>
    <w:p w:rsidR="000C0BD2" w:rsidRPr="00C57539" w:rsidRDefault="000C0BD2" w:rsidP="00194BFD">
      <w:pPr>
        <w:rPr>
          <w:i/>
          <w:iCs/>
          <w:u w:val="single"/>
          <w:lang w:val="en-US"/>
        </w:rPr>
      </w:pPr>
      <w:r w:rsidRPr="00C57539">
        <w:rPr>
          <w:i/>
          <w:iCs/>
          <w:u w:val="single"/>
          <w:lang w:val="en-US"/>
        </w:rPr>
        <w:t>Canada</w:t>
      </w:r>
    </w:p>
    <w:p w:rsidR="000C0BD2" w:rsidRPr="00C57539" w:rsidRDefault="000C0BD2" w:rsidP="00194BFD">
      <w:pPr>
        <w:rPr>
          <w:i/>
          <w:iCs/>
          <w:lang w:val="en-US"/>
        </w:rPr>
      </w:pPr>
    </w:p>
    <w:p w:rsidR="00C57539" w:rsidRPr="00C57539" w:rsidRDefault="00C57539" w:rsidP="00194BFD">
      <w:pPr>
        <w:rPr>
          <w:lang w:val="en-US"/>
        </w:rPr>
      </w:pPr>
      <w:r w:rsidRPr="00C57539">
        <w:rPr>
          <w:lang w:val="en-US"/>
        </w:rPr>
        <w:t>CANADA DEPARTEMENT OF JUSTICE, http://www.canada.justice.gc.ca/eng/.</w:t>
      </w:r>
    </w:p>
    <w:p w:rsidR="000C0BD2" w:rsidRPr="00C57539" w:rsidRDefault="000C0BD2" w:rsidP="008B4E5D">
      <w:pPr>
        <w:rPr>
          <w:i/>
          <w:iCs/>
          <w:lang w:val="en-US"/>
        </w:rPr>
      </w:pPr>
    </w:p>
    <w:p w:rsidR="000C0BD2" w:rsidRDefault="000C0BD2" w:rsidP="008B4E5D">
      <w:pPr>
        <w:rPr>
          <w:i/>
          <w:iCs/>
          <w:u w:val="single"/>
        </w:rPr>
      </w:pPr>
      <w:r w:rsidRPr="008B4E5D">
        <w:rPr>
          <w:i/>
          <w:iCs/>
          <w:u w:val="single"/>
        </w:rPr>
        <w:t>Nederland</w:t>
      </w:r>
    </w:p>
    <w:p w:rsidR="004F5E2B" w:rsidRDefault="004F5E2B" w:rsidP="008B4E5D">
      <w:pPr>
        <w:rPr>
          <w:i/>
          <w:iCs/>
          <w:u w:val="single"/>
        </w:rPr>
      </w:pPr>
    </w:p>
    <w:p w:rsidR="000C0BD2" w:rsidRPr="001C08D5" w:rsidRDefault="00C57539" w:rsidP="001C08D5">
      <w:pPr>
        <w:rPr>
          <w:i/>
          <w:iCs/>
          <w:u w:val="single"/>
        </w:rPr>
      </w:pPr>
      <w:r w:rsidRPr="00C57539">
        <w:t xml:space="preserve">COC NEDERLAND, </w:t>
      </w:r>
      <w:r w:rsidRPr="00C57539">
        <w:rPr>
          <w:i/>
        </w:rPr>
        <w:t>Kin</w:t>
      </w:r>
      <w:r w:rsidR="001C08D5">
        <w:rPr>
          <w:i/>
        </w:rPr>
        <w:t>deren hebben vaker meer ouders -</w:t>
      </w:r>
      <w:r w:rsidRPr="00C57539">
        <w:rPr>
          <w:i/>
        </w:rPr>
        <w:t xml:space="preserve"> regel dat!,</w:t>
      </w:r>
      <w:r w:rsidRPr="00C57539">
        <w:t xml:space="preserve"> </w:t>
      </w:r>
      <w:hyperlink r:id="rId24" w:history="1">
        <w:r w:rsidRPr="00C57539">
          <w:rPr>
            <w:rStyle w:val="Hyperlink"/>
            <w:i w:val="0"/>
          </w:rPr>
          <w:t>https://www.coc.nl/jouw-belangen/kinderen-hebben-vaker-meer-ouders-regel-dat</w:t>
        </w:r>
      </w:hyperlink>
      <w:r w:rsidRPr="00C57539">
        <w:rPr>
          <w:i/>
        </w:rPr>
        <w:t>.</w:t>
      </w:r>
    </w:p>
    <w:sectPr w:rsidR="000C0BD2" w:rsidRPr="001C08D5" w:rsidSect="005E5791">
      <w:pgSz w:w="11900" w:h="16840"/>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5DA" w:rsidRDefault="007075DA">
      <w:r>
        <w:separator/>
      </w:r>
    </w:p>
  </w:endnote>
  <w:endnote w:type="continuationSeparator" w:id="0">
    <w:p w:rsidR="007075DA" w:rsidRDefault="007075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Default="002A0E74" w:rsidP="00010EF9">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Default="002A0E74">
    <w:pPr>
      <w:pStyle w:val="Footer"/>
      <w:jc w:val="right"/>
    </w:pPr>
  </w:p>
  <w:p w:rsidR="002A0E74" w:rsidRDefault="002A0E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Default="002A0E74">
    <w:pPr>
      <w:pStyle w:val="Footer"/>
      <w:jc w:val="right"/>
    </w:pPr>
  </w:p>
  <w:p w:rsidR="002A0E74" w:rsidRDefault="002A0E74" w:rsidP="00010EF9">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Default="002A0E74" w:rsidP="00A56A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0E74" w:rsidRDefault="002A0E74" w:rsidP="00A56A22">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100226"/>
      <w:docPartObj>
        <w:docPartGallery w:val="Page Numbers (Bottom of Page)"/>
        <w:docPartUnique/>
      </w:docPartObj>
    </w:sdtPr>
    <w:sdtEndPr>
      <w:rPr>
        <w:noProof/>
      </w:rPr>
    </w:sdtEndPr>
    <w:sdtContent>
      <w:p w:rsidR="002A0E74" w:rsidRDefault="002A0E74" w:rsidP="000A7521">
        <w:pPr>
          <w:pStyle w:val="Footer"/>
          <w:ind w:right="120"/>
          <w:jc w:val="right"/>
        </w:pPr>
        <w:fldSimple w:instr=" PAGE   \* MERGEFORMAT ">
          <w:r w:rsidR="006B5902">
            <w:rPr>
              <w:noProof/>
            </w:rPr>
            <w:t>70</w:t>
          </w:r>
        </w:fldSimple>
      </w:p>
    </w:sdtContent>
  </w:sdt>
  <w:p w:rsidR="002A0E74" w:rsidRDefault="002A0E74" w:rsidP="00A56A22">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3332065"/>
      <w:docPartObj>
        <w:docPartGallery w:val="Page Numbers (Bottom of Page)"/>
        <w:docPartUnique/>
      </w:docPartObj>
    </w:sdtPr>
    <w:sdtEndPr>
      <w:rPr>
        <w:noProof/>
      </w:rPr>
    </w:sdtEndPr>
    <w:sdtContent>
      <w:p w:rsidR="002A0E74" w:rsidRDefault="002A0E74">
        <w:pPr>
          <w:pStyle w:val="Footer"/>
          <w:jc w:val="right"/>
        </w:pPr>
        <w:fldSimple w:instr=" PAGE   \* MERGEFORMAT ">
          <w:r w:rsidR="006B5902">
            <w:rPr>
              <w:noProof/>
            </w:rPr>
            <w:t>i</w:t>
          </w:r>
        </w:fldSimple>
      </w:p>
    </w:sdtContent>
  </w:sdt>
  <w:p w:rsidR="002A0E74" w:rsidRDefault="002A0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5DA" w:rsidRDefault="007075DA">
      <w:r>
        <w:separator/>
      </w:r>
    </w:p>
  </w:footnote>
  <w:footnote w:type="continuationSeparator" w:id="0">
    <w:p w:rsidR="007075DA" w:rsidRDefault="007075DA">
      <w:r>
        <w:continuationSeparator/>
      </w:r>
    </w:p>
  </w:footnote>
  <w:footnote w:id="1">
    <w:p w:rsidR="002A0E74" w:rsidRPr="00773588" w:rsidRDefault="002A0E74" w:rsidP="00753CDD">
      <w:pPr>
        <w:rPr>
          <w:sz w:val="20"/>
          <w:szCs w:val="20"/>
        </w:rPr>
      </w:pPr>
      <w:r w:rsidRPr="00721EE1">
        <w:rPr>
          <w:rStyle w:val="FootnoteReference"/>
          <w:sz w:val="20"/>
          <w:szCs w:val="20"/>
        </w:rPr>
        <w:footnoteRef/>
      </w:r>
      <w:r w:rsidRPr="00721EE1">
        <w:rPr>
          <w:sz w:val="20"/>
          <w:szCs w:val="20"/>
        </w:rPr>
        <w:t xml:space="preserve"> </w:t>
      </w:r>
      <w:r w:rsidRPr="00773588">
        <w:rPr>
          <w:sz w:val="20"/>
          <w:szCs w:val="20"/>
        </w:rPr>
        <w:t xml:space="preserve">Voorstel van wet tot wijziging van de wetgeving betreffende de bescherming van het kind wat de invoering van het zorgouderschap betreft, </w:t>
      </w:r>
      <w:r w:rsidRPr="00773588">
        <w:rPr>
          <w:i/>
          <w:iCs/>
          <w:sz w:val="20"/>
          <w:szCs w:val="20"/>
        </w:rPr>
        <w:t>Parl.St.</w:t>
      </w:r>
      <w:r w:rsidRPr="00773588">
        <w:rPr>
          <w:sz w:val="20"/>
          <w:szCs w:val="20"/>
        </w:rPr>
        <w:t xml:space="preserve"> Kamer 2014, nr. 54-0114/001, 3</w:t>
      </w:r>
      <w:r>
        <w:rPr>
          <w:sz w:val="20"/>
          <w:szCs w:val="20"/>
        </w:rPr>
        <w:t xml:space="preserve">; </w:t>
      </w:r>
      <w:r w:rsidRPr="00773588">
        <w:rPr>
          <w:sz w:val="20"/>
          <w:szCs w:val="20"/>
        </w:rPr>
        <w:t xml:space="preserve">Verzoek tot het opstellen van een informatieverslag betreffende een onderzoek van de mogelijkheden voor een wettelijke regeling van meeouderschap, </w:t>
      </w:r>
      <w:r w:rsidRPr="00773588">
        <w:rPr>
          <w:i/>
          <w:iCs/>
          <w:sz w:val="20"/>
          <w:szCs w:val="20"/>
        </w:rPr>
        <w:t>Parl.St.</w:t>
      </w:r>
      <w:r w:rsidRPr="00773588">
        <w:rPr>
          <w:sz w:val="20"/>
          <w:szCs w:val="20"/>
        </w:rPr>
        <w:t xml:space="preserve"> Senaat 2014-15, nr. 6-98/1, 2; </w:t>
      </w:r>
      <w:r w:rsidRPr="00773588">
        <w:rPr>
          <w:smallCaps/>
          <w:sz w:val="20"/>
          <w:szCs w:val="20"/>
        </w:rPr>
        <w:t xml:space="preserve">J.-J. DE GUCHT, </w:t>
      </w:r>
      <w:r w:rsidRPr="00773588">
        <w:rPr>
          <w:i/>
          <w:sz w:val="20"/>
          <w:szCs w:val="20"/>
        </w:rPr>
        <w:t>De tijd dat het twee-ouderschapsideaal de norm was, is niet meer van deze tijd</w:t>
      </w:r>
      <w:r w:rsidRPr="00773588">
        <w:rPr>
          <w:sz w:val="20"/>
          <w:szCs w:val="20"/>
        </w:rPr>
        <w:t xml:space="preserve">, </w:t>
      </w:r>
      <w:hyperlink r:id="rId1" w:history="1">
        <w:r w:rsidRPr="00624AB4">
          <w:rPr>
            <w:rStyle w:val="Hyperlink"/>
            <w:sz w:val="20"/>
            <w:szCs w:val="20"/>
          </w:rPr>
          <w:t>http://www.knack.be/nieuws/belgie/de-tijd-dat-het-twee-</w:t>
        </w:r>
      </w:hyperlink>
      <w:r w:rsidRPr="00773588">
        <w:rPr>
          <w:sz w:val="20"/>
          <w:szCs w:val="20"/>
        </w:rPr>
        <w:t xml:space="preserve">ouderschapsideaal-de-norm-was-is-niet-meer-van-deze-tijd/article-opinion-546377.html; </w:t>
      </w:r>
      <w:r w:rsidRPr="00773588">
        <w:rPr>
          <w:smallCaps/>
          <w:sz w:val="20"/>
          <w:szCs w:val="20"/>
        </w:rPr>
        <w:t>T. WUYTS,</w:t>
      </w:r>
      <w:r w:rsidRPr="00773588">
        <w:rPr>
          <w:sz w:val="20"/>
          <w:szCs w:val="20"/>
        </w:rPr>
        <w:t xml:space="preserve"> “Ouderlijk gezag moet op maat van het gezin georganiseerd kunnen worden”, </w:t>
      </w:r>
      <w:r w:rsidRPr="00773588">
        <w:rPr>
          <w:i/>
          <w:iCs/>
          <w:sz w:val="20"/>
          <w:szCs w:val="20"/>
        </w:rPr>
        <w:t xml:space="preserve">TJK </w:t>
      </w:r>
      <w:r w:rsidRPr="00773588">
        <w:rPr>
          <w:sz w:val="20"/>
          <w:szCs w:val="20"/>
        </w:rPr>
        <w:t>2014, afl. 1, (6) 7, nr. 1.</w:t>
      </w:r>
    </w:p>
  </w:footnote>
  <w:footnote w:id="2">
    <w:p w:rsidR="002A0E74" w:rsidRPr="00773588" w:rsidRDefault="002A0E74" w:rsidP="00773588">
      <w:pPr>
        <w:autoSpaceDE w:val="0"/>
        <w:autoSpaceDN w:val="0"/>
        <w:adjustRightInd w:val="0"/>
        <w:rPr>
          <w:sz w:val="20"/>
          <w:szCs w:val="20"/>
        </w:rPr>
      </w:pPr>
      <w:r w:rsidRPr="00773588">
        <w:rPr>
          <w:rStyle w:val="FootnoteReference"/>
          <w:sz w:val="20"/>
          <w:szCs w:val="20"/>
        </w:rPr>
        <w:footnoteRef/>
      </w:r>
      <w:r w:rsidRPr="00773588">
        <w:rPr>
          <w:sz w:val="20"/>
          <w:szCs w:val="20"/>
        </w:rPr>
        <w:t xml:space="preserve"> </w:t>
      </w:r>
      <w:r w:rsidRPr="00773588">
        <w:rPr>
          <w:sz w:val="20"/>
          <w:szCs w:val="20"/>
        </w:rPr>
        <w:t xml:space="preserve">Verslag namens de Commissie over het verzoek tot het opstellen van een informatieverslag betreffende een onderzoek van de mogelijkheden voor een wettelijke regeling van meeouderschap, </w:t>
      </w:r>
      <w:r w:rsidRPr="00773588">
        <w:rPr>
          <w:i/>
          <w:iCs/>
          <w:sz w:val="20"/>
          <w:szCs w:val="20"/>
        </w:rPr>
        <w:t>Parl.St.</w:t>
      </w:r>
      <w:r w:rsidRPr="00773588">
        <w:rPr>
          <w:sz w:val="20"/>
          <w:szCs w:val="20"/>
        </w:rPr>
        <w:t xml:space="preserve"> Senaat 2015-16, nr. 6-98/2, 150; </w:t>
      </w:r>
      <w:r w:rsidRPr="00773588">
        <w:rPr>
          <w:smallCaps/>
          <w:sz w:val="20"/>
          <w:szCs w:val="20"/>
        </w:rPr>
        <w:t xml:space="preserve">F. GILLOT-DE VRIES </w:t>
      </w:r>
      <w:r w:rsidRPr="00773588">
        <w:rPr>
          <w:sz w:val="20"/>
          <w:szCs w:val="20"/>
        </w:rPr>
        <w:t xml:space="preserve">en C. </w:t>
      </w:r>
      <w:r w:rsidRPr="00773588">
        <w:rPr>
          <w:smallCaps/>
          <w:sz w:val="20"/>
          <w:szCs w:val="20"/>
        </w:rPr>
        <w:t xml:space="preserve">MOTTRIE, </w:t>
      </w:r>
      <w:r w:rsidRPr="00773588">
        <w:rPr>
          <w:sz w:val="20"/>
          <w:szCs w:val="20"/>
        </w:rPr>
        <w:t xml:space="preserve">“Analyse conceptuelle des notions de parentalité et de filiation du point de vue psychologique” in </w:t>
      </w:r>
      <w:r w:rsidRPr="00773588">
        <w:rPr>
          <w:smallCaps/>
          <w:sz w:val="20"/>
          <w:szCs w:val="20"/>
        </w:rPr>
        <w:t>GALLUS, N. (</w:t>
      </w:r>
      <w:r w:rsidRPr="00773588">
        <w:rPr>
          <w:sz w:val="20"/>
          <w:szCs w:val="20"/>
        </w:rPr>
        <w:t>ed.),</w:t>
      </w:r>
      <w:r w:rsidRPr="00773588">
        <w:rPr>
          <w:i/>
          <w:iCs/>
          <w:sz w:val="20"/>
          <w:szCs w:val="20"/>
        </w:rPr>
        <w:t xml:space="preserve"> Les recompositions familiales, </w:t>
      </w:r>
      <w:r w:rsidRPr="00773588">
        <w:rPr>
          <w:sz w:val="20"/>
          <w:szCs w:val="20"/>
        </w:rPr>
        <w:t xml:space="preserve">Limal, Anthemis, 2015, </w:t>
      </w:r>
      <w:r>
        <w:rPr>
          <w:sz w:val="20"/>
          <w:szCs w:val="20"/>
        </w:rPr>
        <w:t xml:space="preserve">(25) </w:t>
      </w:r>
      <w:r w:rsidRPr="00773588">
        <w:rPr>
          <w:sz w:val="20"/>
          <w:szCs w:val="20"/>
        </w:rPr>
        <w:t>25.</w:t>
      </w:r>
    </w:p>
  </w:footnote>
  <w:footnote w:id="3">
    <w:p w:rsidR="002A0E74" w:rsidRPr="00773588" w:rsidRDefault="002A0E74" w:rsidP="00773588">
      <w:pPr>
        <w:rPr>
          <w:sz w:val="20"/>
          <w:szCs w:val="20"/>
        </w:rPr>
      </w:pPr>
      <w:r w:rsidRPr="00773588">
        <w:rPr>
          <w:rStyle w:val="FootnoteReference"/>
          <w:sz w:val="20"/>
          <w:szCs w:val="20"/>
        </w:rPr>
        <w:footnoteRef/>
      </w:r>
      <w:r w:rsidRPr="00773588">
        <w:rPr>
          <w:sz w:val="20"/>
          <w:szCs w:val="20"/>
          <w:lang w:val="fr-BE"/>
        </w:rPr>
        <w:t xml:space="preserve"> </w:t>
      </w:r>
      <w:r w:rsidRPr="00773588">
        <w:rPr>
          <w:smallCaps/>
          <w:sz w:val="20"/>
          <w:szCs w:val="20"/>
          <w:lang w:val="fr-BE"/>
        </w:rPr>
        <w:t xml:space="preserve">G. HIERNAUX, </w:t>
      </w:r>
      <w:r w:rsidRPr="00773588">
        <w:rPr>
          <w:sz w:val="20"/>
          <w:szCs w:val="20"/>
          <w:lang w:val="fr-BE"/>
        </w:rPr>
        <w:t>“L’autorité parentale et le rôle des tiers</w:t>
      </w:r>
      <w:r w:rsidRPr="00773588">
        <w:rPr>
          <w:color w:val="000000"/>
          <w:sz w:val="20"/>
          <w:szCs w:val="20"/>
          <w:lang w:val="fr-BE"/>
        </w:rPr>
        <w:t xml:space="preserve">” </w:t>
      </w:r>
      <w:r w:rsidRPr="00773588">
        <w:rPr>
          <w:sz w:val="20"/>
          <w:szCs w:val="20"/>
          <w:lang w:val="fr-BE"/>
        </w:rPr>
        <w:t xml:space="preserve">in </w:t>
      </w:r>
      <w:r w:rsidRPr="00773588">
        <w:rPr>
          <w:smallCaps/>
          <w:sz w:val="20"/>
          <w:szCs w:val="20"/>
          <w:lang w:val="fr-BE"/>
        </w:rPr>
        <w:t>GALLUS, N. (</w:t>
      </w:r>
      <w:r w:rsidRPr="00773588">
        <w:rPr>
          <w:sz w:val="20"/>
          <w:szCs w:val="20"/>
          <w:lang w:val="fr-BE"/>
        </w:rPr>
        <w:t>ed.),</w:t>
      </w:r>
      <w:r w:rsidRPr="00773588">
        <w:rPr>
          <w:i/>
          <w:iCs/>
          <w:sz w:val="20"/>
          <w:szCs w:val="20"/>
          <w:lang w:val="fr-BE"/>
        </w:rPr>
        <w:t xml:space="preserve"> Les recompositions familiales, </w:t>
      </w:r>
      <w:r w:rsidRPr="00773588">
        <w:rPr>
          <w:sz w:val="20"/>
          <w:szCs w:val="20"/>
          <w:lang w:val="fr-BE"/>
        </w:rPr>
        <w:t xml:space="preserve">Limal, Anthemis, 2015, </w:t>
      </w:r>
      <w:r>
        <w:rPr>
          <w:sz w:val="20"/>
          <w:szCs w:val="20"/>
          <w:lang w:val="fr-BE"/>
        </w:rPr>
        <w:t xml:space="preserve">(75) </w:t>
      </w:r>
      <w:r w:rsidRPr="00773588">
        <w:rPr>
          <w:sz w:val="20"/>
          <w:szCs w:val="20"/>
          <w:lang w:val="fr-BE"/>
        </w:rPr>
        <w:t xml:space="preserve">92; </w:t>
      </w:r>
      <w:r>
        <w:rPr>
          <w:smallCaps/>
          <w:sz w:val="20"/>
          <w:szCs w:val="20"/>
          <w:lang w:val="fr-BE"/>
        </w:rPr>
        <w:t xml:space="preserve">A. HUYGENS, </w:t>
      </w:r>
      <w:r w:rsidRPr="00773588">
        <w:rPr>
          <w:sz w:val="20"/>
          <w:szCs w:val="20"/>
          <w:lang w:val="fr-BE"/>
        </w:rPr>
        <w:t xml:space="preserve">“Persoonlijk gezag over minderjarige kinderen: quo vadis?”, </w:t>
      </w:r>
      <w:r w:rsidRPr="00773588">
        <w:rPr>
          <w:i/>
          <w:iCs/>
          <w:sz w:val="20"/>
          <w:szCs w:val="20"/>
          <w:lang w:val="fr-BE"/>
        </w:rPr>
        <w:t>TBBR</w:t>
      </w:r>
      <w:r w:rsidRPr="00773588">
        <w:rPr>
          <w:sz w:val="20"/>
          <w:szCs w:val="20"/>
          <w:lang w:val="fr-BE"/>
        </w:rPr>
        <w:t xml:space="preserve"> 2006, afl. 10, </w:t>
      </w:r>
      <w:r w:rsidRPr="00773588">
        <w:rPr>
          <w:sz w:val="20"/>
          <w:szCs w:val="20"/>
          <w:lang w:val="fr-FR"/>
        </w:rPr>
        <w:t>(567)</w:t>
      </w:r>
      <w:r w:rsidRPr="00773588">
        <w:rPr>
          <w:sz w:val="20"/>
          <w:szCs w:val="20"/>
          <w:lang w:val="fr-BE"/>
        </w:rPr>
        <w:t xml:space="preserve"> 567, nr. 1; </w:t>
      </w:r>
      <w:r w:rsidRPr="00773588">
        <w:rPr>
          <w:smallCaps/>
          <w:sz w:val="20"/>
          <w:szCs w:val="20"/>
          <w:lang w:val="fr-BE"/>
        </w:rPr>
        <w:t xml:space="preserve">N. UYTTENDAELE, </w:t>
      </w:r>
      <w:r w:rsidRPr="00773588">
        <w:rPr>
          <w:sz w:val="20"/>
          <w:szCs w:val="20"/>
          <w:lang w:val="fr-BE"/>
        </w:rPr>
        <w:t>“Modalités d’hébergement, rôle des parents et beaux-parents et exercice de l’autorité parentale – Le point de veu du juriste</w:t>
      </w:r>
      <w:r w:rsidRPr="00773588">
        <w:rPr>
          <w:color w:val="000000"/>
          <w:sz w:val="20"/>
          <w:szCs w:val="20"/>
          <w:lang w:val="fr-BE"/>
        </w:rPr>
        <w:t xml:space="preserve">” </w:t>
      </w:r>
      <w:r w:rsidRPr="00773588">
        <w:rPr>
          <w:sz w:val="20"/>
          <w:szCs w:val="20"/>
          <w:lang w:val="fr-BE"/>
        </w:rPr>
        <w:t xml:space="preserve">in </w:t>
      </w:r>
      <w:r w:rsidRPr="00773588">
        <w:rPr>
          <w:smallCaps/>
          <w:sz w:val="20"/>
          <w:szCs w:val="20"/>
          <w:lang w:val="fr-BE"/>
        </w:rPr>
        <w:t>GALLUS, N. (</w:t>
      </w:r>
      <w:r w:rsidRPr="00773588">
        <w:rPr>
          <w:sz w:val="20"/>
          <w:szCs w:val="20"/>
          <w:lang w:val="fr-BE"/>
        </w:rPr>
        <w:t>ed.),</w:t>
      </w:r>
      <w:r w:rsidRPr="00773588">
        <w:rPr>
          <w:i/>
          <w:iCs/>
          <w:sz w:val="20"/>
          <w:szCs w:val="20"/>
          <w:lang w:val="fr-BE"/>
        </w:rPr>
        <w:t xml:space="preserve"> Les recompositions familiales, </w:t>
      </w:r>
      <w:r w:rsidRPr="00773588">
        <w:rPr>
          <w:sz w:val="20"/>
          <w:szCs w:val="20"/>
          <w:lang w:val="fr-BE"/>
        </w:rPr>
        <w:t xml:space="preserve">Limal, Anthemis, 2015, </w:t>
      </w:r>
      <w:r>
        <w:rPr>
          <w:sz w:val="20"/>
          <w:szCs w:val="20"/>
          <w:lang w:val="fr-BE"/>
        </w:rPr>
        <w:t xml:space="preserve">(95) </w:t>
      </w:r>
      <w:r w:rsidRPr="00773588">
        <w:rPr>
          <w:sz w:val="20"/>
          <w:szCs w:val="20"/>
          <w:lang w:val="fr-BE"/>
        </w:rPr>
        <w:t>109;</w:t>
      </w:r>
      <w:r w:rsidRPr="00773588">
        <w:rPr>
          <w:color w:val="000000"/>
          <w:sz w:val="20"/>
          <w:szCs w:val="20"/>
          <w:lang w:val="fr-BE"/>
        </w:rPr>
        <w:t xml:space="preserve"> </w:t>
      </w:r>
      <w:r w:rsidRPr="00773588">
        <w:rPr>
          <w:smallCaps/>
          <w:color w:val="000000"/>
          <w:sz w:val="20"/>
          <w:szCs w:val="20"/>
          <w:lang w:val="fr-BE"/>
        </w:rPr>
        <w:t xml:space="preserve">K. </w:t>
      </w:r>
      <w:r w:rsidRPr="00773588">
        <w:rPr>
          <w:smallCaps/>
          <w:sz w:val="20"/>
          <w:szCs w:val="20"/>
          <w:lang w:val="fr-BE"/>
        </w:rPr>
        <w:t xml:space="preserve">UYTTERHOEVEN, </w:t>
      </w:r>
      <w:r w:rsidRPr="00773588">
        <w:rPr>
          <w:sz w:val="20"/>
          <w:szCs w:val="20"/>
          <w:lang w:val="fr-BE"/>
        </w:rPr>
        <w:t xml:space="preserve">“Worden stiefouders stiefmoederlijk behandeld?”, </w:t>
      </w:r>
      <w:r w:rsidRPr="00773588">
        <w:rPr>
          <w:i/>
          <w:iCs/>
          <w:sz w:val="20"/>
          <w:szCs w:val="20"/>
          <w:lang w:val="fr-BE"/>
        </w:rPr>
        <w:t>T.Fam</w:t>
      </w:r>
      <w:r w:rsidRPr="00773588">
        <w:rPr>
          <w:sz w:val="20"/>
          <w:szCs w:val="20"/>
          <w:lang w:val="fr-BE"/>
        </w:rPr>
        <w:t xml:space="preserve">. 2009, afl. 7, (125) 125; </w:t>
      </w:r>
      <w:r w:rsidRPr="00773588">
        <w:rPr>
          <w:smallCaps/>
          <w:sz w:val="20"/>
          <w:szCs w:val="20"/>
          <w:lang w:val="fr-BE"/>
        </w:rPr>
        <w:t xml:space="preserve">A. </w:t>
      </w:r>
      <w:r w:rsidRPr="00773588">
        <w:rPr>
          <w:smallCaps/>
          <w:color w:val="000000"/>
          <w:sz w:val="20"/>
          <w:szCs w:val="20"/>
          <w:lang w:val="fr-BE"/>
        </w:rPr>
        <w:t>VANDEKERCKHOVE, “</w:t>
      </w:r>
      <w:r w:rsidRPr="00773588">
        <w:rPr>
          <w:color w:val="000000"/>
          <w:sz w:val="20"/>
          <w:szCs w:val="20"/>
          <w:lang w:val="fr-BE"/>
        </w:rPr>
        <w:t xml:space="preserve">Zorgouderschap? </w:t>
      </w:r>
      <w:r w:rsidRPr="00773588">
        <w:rPr>
          <w:color w:val="000000"/>
          <w:sz w:val="20"/>
          <w:szCs w:val="20"/>
        </w:rPr>
        <w:t xml:space="preserve">Meerdere ouderschapsstatuten voor één kind?”, </w:t>
      </w:r>
      <w:r w:rsidRPr="00773588">
        <w:rPr>
          <w:i/>
          <w:iCs/>
          <w:color w:val="000000"/>
          <w:sz w:val="20"/>
          <w:szCs w:val="20"/>
        </w:rPr>
        <w:t>TJK</w:t>
      </w:r>
      <w:r w:rsidRPr="00773588">
        <w:rPr>
          <w:color w:val="000000"/>
          <w:sz w:val="20"/>
          <w:szCs w:val="20"/>
        </w:rPr>
        <w:t xml:space="preserve"> 2006, (256) 256-257; </w:t>
      </w:r>
      <w:r w:rsidRPr="00773588">
        <w:rPr>
          <w:smallCaps/>
          <w:color w:val="000000"/>
          <w:sz w:val="20"/>
          <w:szCs w:val="20"/>
        </w:rPr>
        <w:t>G.</w:t>
      </w:r>
      <w:r w:rsidRPr="00773588">
        <w:rPr>
          <w:sz w:val="20"/>
          <w:szCs w:val="20"/>
        </w:rPr>
        <w:t xml:space="preserve"> </w:t>
      </w:r>
      <w:r w:rsidRPr="00773588">
        <w:rPr>
          <w:smallCaps/>
          <w:sz w:val="20"/>
          <w:szCs w:val="20"/>
        </w:rPr>
        <w:t>VERSCHELDEN, “D</w:t>
      </w:r>
      <w:r w:rsidRPr="00773588">
        <w:rPr>
          <w:sz w:val="20"/>
          <w:szCs w:val="20"/>
        </w:rPr>
        <w:t xml:space="preserve">e familierechtelijke ambities van de regering-Michel I”, </w:t>
      </w:r>
      <w:r w:rsidRPr="00773588">
        <w:rPr>
          <w:i/>
          <w:iCs/>
          <w:sz w:val="20"/>
          <w:szCs w:val="20"/>
        </w:rPr>
        <w:t>T.Fam.</w:t>
      </w:r>
      <w:r w:rsidRPr="00773588">
        <w:rPr>
          <w:sz w:val="20"/>
          <w:szCs w:val="20"/>
        </w:rPr>
        <w:t xml:space="preserve"> 2015, afl. 10, (222) 222.</w:t>
      </w:r>
    </w:p>
  </w:footnote>
  <w:footnote w:id="4">
    <w:p w:rsidR="002A0E74" w:rsidRPr="00773588" w:rsidRDefault="002A0E74" w:rsidP="00773588">
      <w:pPr>
        <w:autoSpaceDE w:val="0"/>
        <w:autoSpaceDN w:val="0"/>
        <w:adjustRightInd w:val="0"/>
        <w:rPr>
          <w:sz w:val="20"/>
          <w:szCs w:val="20"/>
        </w:rPr>
      </w:pPr>
      <w:r w:rsidRPr="00773588">
        <w:rPr>
          <w:rStyle w:val="FootnoteReference"/>
          <w:sz w:val="20"/>
          <w:szCs w:val="20"/>
        </w:rPr>
        <w:footnoteRef/>
      </w:r>
      <w:r>
        <w:rPr>
          <w:sz w:val="20"/>
          <w:szCs w:val="20"/>
        </w:rPr>
        <w:t xml:space="preserve"> </w:t>
      </w:r>
      <w:r w:rsidRPr="00773588">
        <w:rPr>
          <w:sz w:val="20"/>
          <w:szCs w:val="20"/>
        </w:rPr>
        <w:t xml:space="preserve">Addendum op het verzoek tot het opstellen van een informatieverslag betreffende een onderzoek van de mogelijkheden voor een wettelijke regeling van meeouderschap, </w:t>
      </w:r>
      <w:r w:rsidRPr="00773588">
        <w:rPr>
          <w:i/>
          <w:iCs/>
          <w:sz w:val="20"/>
          <w:szCs w:val="20"/>
        </w:rPr>
        <w:t>Parl.St.</w:t>
      </w:r>
      <w:r w:rsidRPr="00773588">
        <w:rPr>
          <w:sz w:val="20"/>
          <w:szCs w:val="20"/>
        </w:rPr>
        <w:t xml:space="preserve"> Senaat 2015-16, nr. 6-98/3, 2; </w:t>
      </w:r>
      <w:r w:rsidRPr="00773588">
        <w:rPr>
          <w:smallCaps/>
          <w:sz w:val="20"/>
          <w:szCs w:val="20"/>
        </w:rPr>
        <w:t xml:space="preserve">G. HIERNAUX, </w:t>
      </w:r>
      <w:r w:rsidRPr="00773588">
        <w:rPr>
          <w:sz w:val="20"/>
          <w:szCs w:val="20"/>
        </w:rPr>
        <w:t>“L’autorité parentale et le rôle des tiers</w:t>
      </w:r>
      <w:r w:rsidRPr="00773588">
        <w:rPr>
          <w:color w:val="000000"/>
          <w:sz w:val="20"/>
          <w:szCs w:val="20"/>
        </w:rPr>
        <w:t xml:space="preserve">” </w:t>
      </w:r>
      <w:r w:rsidRPr="00773588">
        <w:rPr>
          <w:sz w:val="20"/>
          <w:szCs w:val="20"/>
        </w:rPr>
        <w:t xml:space="preserve">in </w:t>
      </w:r>
      <w:r w:rsidRPr="00773588">
        <w:rPr>
          <w:smallCaps/>
          <w:sz w:val="20"/>
          <w:szCs w:val="20"/>
        </w:rPr>
        <w:t>GALLUS, N. (</w:t>
      </w:r>
      <w:r w:rsidRPr="00773588">
        <w:rPr>
          <w:sz w:val="20"/>
          <w:szCs w:val="20"/>
        </w:rPr>
        <w:t>ed.),</w:t>
      </w:r>
      <w:r w:rsidRPr="00773588">
        <w:rPr>
          <w:i/>
          <w:iCs/>
          <w:sz w:val="20"/>
          <w:szCs w:val="20"/>
        </w:rPr>
        <w:t xml:space="preserve"> Les recompositions familiales, </w:t>
      </w:r>
      <w:r w:rsidRPr="00773588">
        <w:rPr>
          <w:sz w:val="20"/>
          <w:szCs w:val="20"/>
        </w:rPr>
        <w:t>Limal, Anthemis, 2015,</w:t>
      </w:r>
      <w:r>
        <w:rPr>
          <w:sz w:val="20"/>
          <w:szCs w:val="20"/>
        </w:rPr>
        <w:t xml:space="preserve"> (75)</w:t>
      </w:r>
      <w:r w:rsidRPr="00773588">
        <w:rPr>
          <w:sz w:val="20"/>
          <w:szCs w:val="20"/>
        </w:rPr>
        <w:t xml:space="preserve"> 82.</w:t>
      </w:r>
    </w:p>
  </w:footnote>
  <w:footnote w:id="5">
    <w:p w:rsidR="002A0E74" w:rsidRPr="00A7468F" w:rsidRDefault="002A0E74" w:rsidP="00773588">
      <w:pPr>
        <w:autoSpaceDE w:val="0"/>
        <w:autoSpaceDN w:val="0"/>
        <w:adjustRightInd w:val="0"/>
        <w:rPr>
          <w:sz w:val="20"/>
          <w:szCs w:val="20"/>
        </w:rPr>
      </w:pPr>
      <w:r w:rsidRPr="00773588">
        <w:rPr>
          <w:rStyle w:val="FootnoteReference"/>
          <w:sz w:val="20"/>
          <w:szCs w:val="20"/>
        </w:rPr>
        <w:footnoteRef/>
      </w:r>
      <w:r>
        <w:rPr>
          <w:sz w:val="20"/>
          <w:szCs w:val="20"/>
        </w:rPr>
        <w:t xml:space="preserve"> </w:t>
      </w:r>
      <w:r w:rsidRPr="00773588">
        <w:rPr>
          <w:sz w:val="20"/>
          <w:szCs w:val="20"/>
        </w:rPr>
        <w:t xml:space="preserve">Addendum op het verzoek tot het opstellen van een informatieverslag betreffende een onderzoek van de mogelijkheden voor een wettelijke regeling van meeouderschap, </w:t>
      </w:r>
      <w:r w:rsidRPr="00773588">
        <w:rPr>
          <w:i/>
          <w:iCs/>
          <w:sz w:val="20"/>
          <w:szCs w:val="20"/>
        </w:rPr>
        <w:t>Parl.St.</w:t>
      </w:r>
      <w:r w:rsidRPr="00773588">
        <w:rPr>
          <w:sz w:val="20"/>
          <w:szCs w:val="20"/>
        </w:rPr>
        <w:t xml:space="preserve"> Senaat 2015-16, nr. 6-98/3, 2; </w:t>
      </w:r>
      <w:r w:rsidRPr="00773588">
        <w:rPr>
          <w:smallCaps/>
          <w:sz w:val="20"/>
          <w:szCs w:val="20"/>
        </w:rPr>
        <w:t>M.V. ANTOKOLSKAIA, W.M. SCHRAMA, K.R.S.D. BOELE-WOELKI, C.C.J.H</w:t>
      </w:r>
      <w:r>
        <w:rPr>
          <w:smallCaps/>
          <w:sz w:val="20"/>
          <w:szCs w:val="20"/>
        </w:rPr>
        <w:t>.</w:t>
      </w:r>
      <w:r w:rsidRPr="00773588">
        <w:rPr>
          <w:smallCaps/>
          <w:sz w:val="20"/>
          <w:szCs w:val="20"/>
        </w:rPr>
        <w:t xml:space="preserve"> BIJLEVELD, C.G. JEPPESEN DE BOER </w:t>
      </w:r>
      <w:r w:rsidRPr="00773588">
        <w:rPr>
          <w:sz w:val="20"/>
          <w:szCs w:val="20"/>
        </w:rPr>
        <w:t xml:space="preserve">en G. </w:t>
      </w:r>
      <w:r w:rsidRPr="00773588">
        <w:rPr>
          <w:smallCaps/>
          <w:sz w:val="20"/>
          <w:szCs w:val="20"/>
        </w:rPr>
        <w:t xml:space="preserve">VAN ROSSUM, </w:t>
      </w:r>
      <w:r w:rsidRPr="00773588">
        <w:rPr>
          <w:i/>
          <w:iCs/>
          <w:sz w:val="20"/>
          <w:szCs w:val="20"/>
        </w:rPr>
        <w:t>Meeroudergezag: een oplossing voor kinderen met meer dan twee ouders? Een empirisch en rechtsvergelijkend onderzoek.</w:t>
      </w:r>
      <w:r w:rsidRPr="00773588">
        <w:rPr>
          <w:sz w:val="20"/>
          <w:szCs w:val="20"/>
        </w:rPr>
        <w:t xml:space="preserve">, Den Haag, Boom Juridische uitgevers, 2014, 31; </w:t>
      </w:r>
      <w:r w:rsidRPr="00773588">
        <w:rPr>
          <w:smallCaps/>
          <w:sz w:val="20"/>
          <w:szCs w:val="20"/>
        </w:rPr>
        <w:t xml:space="preserve">M. VONK, </w:t>
      </w:r>
      <w:r w:rsidRPr="00773588">
        <w:rPr>
          <w:sz w:val="20"/>
          <w:szCs w:val="20"/>
        </w:rPr>
        <w:t xml:space="preserve">“Een huis voor alle kinderen. De juridische verankering van intentionele meeroudergezinnen in het afstammingsrecht.”, </w:t>
      </w:r>
      <w:r w:rsidRPr="00773588">
        <w:rPr>
          <w:i/>
          <w:iCs/>
          <w:sz w:val="20"/>
          <w:szCs w:val="20"/>
        </w:rPr>
        <w:t>Nederlands Juristenblad</w:t>
      </w:r>
      <w:r w:rsidRPr="00773588">
        <w:rPr>
          <w:sz w:val="20"/>
          <w:szCs w:val="20"/>
        </w:rPr>
        <w:t xml:space="preserve"> 2013, afl. 33, (2244) 2244.</w:t>
      </w:r>
    </w:p>
  </w:footnote>
  <w:footnote w:id="6">
    <w:p w:rsidR="002A0E74" w:rsidRPr="00A7468F" w:rsidRDefault="002A0E74" w:rsidP="003B4EF2">
      <w:pPr>
        <w:pStyle w:val="FootnoteText"/>
        <w:rPr>
          <w:lang w:val="fr-FR"/>
        </w:rPr>
      </w:pPr>
      <w:r w:rsidRPr="00A7468F">
        <w:rPr>
          <w:rStyle w:val="FootnoteReference"/>
        </w:rPr>
        <w:footnoteRef/>
      </w:r>
      <w:r w:rsidRPr="00A7468F">
        <w:rPr>
          <w:lang w:val="fr-BE"/>
        </w:rPr>
        <w:t xml:space="preserve"> </w:t>
      </w:r>
      <w:r w:rsidRPr="00A7468F">
        <w:rPr>
          <w:smallCaps/>
          <w:lang w:val="fr-BE"/>
        </w:rPr>
        <w:t xml:space="preserve">G. HIERNAUX, </w:t>
      </w:r>
      <w:r w:rsidRPr="00A7468F">
        <w:rPr>
          <w:lang w:val="fr-BE"/>
        </w:rPr>
        <w:t>“L’autorité parentale et le rôle des tiers</w:t>
      </w:r>
      <w:r w:rsidRPr="00A7468F">
        <w:rPr>
          <w:color w:val="000000"/>
          <w:lang w:val="fr-BE"/>
        </w:rPr>
        <w:t xml:space="preserve">” </w:t>
      </w:r>
      <w:r w:rsidRPr="00A7468F">
        <w:rPr>
          <w:lang w:val="fr-BE"/>
        </w:rPr>
        <w:t xml:space="preserve">in </w:t>
      </w:r>
      <w:r w:rsidRPr="00A7468F">
        <w:rPr>
          <w:smallCaps/>
          <w:lang w:val="fr-BE"/>
        </w:rPr>
        <w:t>GALLUS, N. (</w:t>
      </w:r>
      <w:r w:rsidRPr="00A7468F">
        <w:rPr>
          <w:lang w:val="fr-BE"/>
        </w:rPr>
        <w:t>ed.),</w:t>
      </w:r>
      <w:r w:rsidRPr="00A7468F">
        <w:rPr>
          <w:i/>
          <w:iCs/>
          <w:lang w:val="fr-BE"/>
        </w:rPr>
        <w:t xml:space="preserve"> Les recompositions familiales, </w:t>
      </w:r>
      <w:r w:rsidRPr="00A7468F">
        <w:rPr>
          <w:lang w:val="fr-BE"/>
        </w:rPr>
        <w:t>Limal, Anthemis, 2015,</w:t>
      </w:r>
      <w:r>
        <w:rPr>
          <w:lang w:val="fr-BE"/>
        </w:rPr>
        <w:t xml:space="preserve"> (75)</w:t>
      </w:r>
      <w:r w:rsidRPr="00A7468F">
        <w:rPr>
          <w:lang w:val="fr-BE"/>
        </w:rPr>
        <w:t xml:space="preserve"> 82 en 90.</w:t>
      </w:r>
    </w:p>
  </w:footnote>
  <w:footnote w:id="7">
    <w:p w:rsidR="002A0E74" w:rsidRDefault="002A0E74" w:rsidP="007D6FD0">
      <w:pPr>
        <w:autoSpaceDE w:val="0"/>
        <w:autoSpaceDN w:val="0"/>
        <w:adjustRightInd w:val="0"/>
      </w:pPr>
      <w:r w:rsidRPr="00A7468F">
        <w:rPr>
          <w:rStyle w:val="FootnoteReference"/>
          <w:sz w:val="20"/>
          <w:szCs w:val="20"/>
        </w:rPr>
        <w:footnoteRef/>
      </w:r>
      <w:r w:rsidRPr="00A7468F">
        <w:rPr>
          <w:sz w:val="20"/>
          <w:szCs w:val="20"/>
        </w:rPr>
        <w:t xml:space="preserve"> </w:t>
      </w:r>
      <w:r w:rsidRPr="00B31C91">
        <w:rPr>
          <w:sz w:val="20"/>
          <w:szCs w:val="20"/>
        </w:rPr>
        <w:t xml:space="preserve">Voorstel van wet tot wijziging van de wetgeving betreffende de bescherming van het kind wat de invoering van het zorgouderschap betreft, </w:t>
      </w:r>
      <w:r>
        <w:rPr>
          <w:i/>
          <w:iCs/>
          <w:sz w:val="20"/>
          <w:szCs w:val="20"/>
        </w:rPr>
        <w:t>Parl.</w:t>
      </w:r>
      <w:r w:rsidRPr="00B31C91">
        <w:rPr>
          <w:i/>
          <w:iCs/>
          <w:sz w:val="20"/>
          <w:szCs w:val="20"/>
        </w:rPr>
        <w:t>St.</w:t>
      </w:r>
      <w:r w:rsidRPr="00B31C91">
        <w:rPr>
          <w:sz w:val="20"/>
          <w:szCs w:val="20"/>
        </w:rPr>
        <w:t xml:space="preserve"> Kamer 2014, nr. 54-0114/001</w:t>
      </w:r>
      <w:r>
        <w:rPr>
          <w:sz w:val="20"/>
          <w:szCs w:val="20"/>
        </w:rPr>
        <w:t xml:space="preserve">, 3;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 2-</w:t>
      </w:r>
      <w:r>
        <w:rPr>
          <w:sz w:val="20"/>
          <w:szCs w:val="20"/>
        </w:rPr>
        <w:t>3.</w:t>
      </w:r>
    </w:p>
  </w:footnote>
  <w:footnote w:id="8">
    <w:p w:rsidR="002A0E74" w:rsidRPr="00A7468F" w:rsidRDefault="002A0E74" w:rsidP="003B4EF2">
      <w:pPr>
        <w:autoSpaceDE w:val="0"/>
        <w:autoSpaceDN w:val="0"/>
        <w:adjustRightInd w:val="0"/>
        <w:rPr>
          <w:sz w:val="20"/>
          <w:szCs w:val="20"/>
        </w:rPr>
      </w:pPr>
      <w:r w:rsidRPr="00A7468F">
        <w:rPr>
          <w:rStyle w:val="FootnoteReference"/>
          <w:sz w:val="20"/>
          <w:szCs w:val="20"/>
        </w:rPr>
        <w:footnoteRef/>
      </w:r>
      <w:r>
        <w:rPr>
          <w:sz w:val="20"/>
          <w:szCs w:val="20"/>
        </w:rPr>
        <w:t xml:space="preserve"> </w:t>
      </w:r>
      <w:r w:rsidRPr="00B31C91">
        <w:rPr>
          <w:sz w:val="20"/>
          <w:szCs w:val="20"/>
        </w:rPr>
        <w:t xml:space="preserve">Voorstel van wet tot wijziging van de wetgeving betreffende de bescherming van het kind wat de invoering van het zorgouderschap betreft, </w:t>
      </w:r>
      <w:r>
        <w:rPr>
          <w:i/>
          <w:iCs/>
          <w:sz w:val="20"/>
          <w:szCs w:val="20"/>
        </w:rPr>
        <w:t>Parl.</w:t>
      </w:r>
      <w:r w:rsidRPr="00B31C91">
        <w:rPr>
          <w:i/>
          <w:iCs/>
          <w:sz w:val="20"/>
          <w:szCs w:val="20"/>
        </w:rPr>
        <w:t>St.</w:t>
      </w:r>
      <w:r w:rsidRPr="00B31C91">
        <w:rPr>
          <w:sz w:val="20"/>
          <w:szCs w:val="20"/>
        </w:rPr>
        <w:t xml:space="preserve"> Kamer 2014, nr. 54-0114/001</w:t>
      </w:r>
      <w:r>
        <w:rPr>
          <w:sz w:val="20"/>
          <w:szCs w:val="20"/>
        </w:rPr>
        <w:t xml:space="preserve">, 3;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w:t>
      </w:r>
      <w:r>
        <w:rPr>
          <w:sz w:val="20"/>
          <w:szCs w:val="20"/>
        </w:rPr>
        <w:t>enaat 2015-16, nr. 6-98/3, 2-3.</w:t>
      </w:r>
    </w:p>
  </w:footnote>
  <w:footnote w:id="9">
    <w:p w:rsidR="002A0E74" w:rsidRDefault="002A0E74" w:rsidP="005B1D95">
      <w:r w:rsidRPr="00187999">
        <w:rPr>
          <w:rStyle w:val="FootnoteReference"/>
          <w:sz w:val="20"/>
          <w:szCs w:val="20"/>
        </w:rPr>
        <w:footnoteRef/>
      </w:r>
      <w:r w:rsidRPr="00187999">
        <w:rPr>
          <w:sz w:val="20"/>
          <w:szCs w:val="20"/>
        </w:rPr>
        <w:t xml:space="preserve"> </w:t>
      </w:r>
      <w:r w:rsidRPr="00187999">
        <w:rPr>
          <w:smallCaps/>
          <w:sz w:val="20"/>
          <w:szCs w:val="20"/>
        </w:rPr>
        <w:t xml:space="preserve">H. </w:t>
      </w:r>
      <w:r>
        <w:rPr>
          <w:smallCaps/>
          <w:sz w:val="20"/>
          <w:szCs w:val="20"/>
        </w:rPr>
        <w:t>CASMAN</w:t>
      </w:r>
      <w:r w:rsidRPr="00187999">
        <w:rPr>
          <w:smallCaps/>
          <w:sz w:val="20"/>
          <w:szCs w:val="20"/>
        </w:rPr>
        <w:t>,</w:t>
      </w:r>
      <w:r>
        <w:rPr>
          <w:smallCaps/>
          <w:vanish/>
          <w:sz w:val="20"/>
          <w:szCs w:val="20"/>
        </w:rPr>
        <w:t xml:space="preserve"> </w:t>
      </w:r>
      <w:r w:rsidRPr="00187999">
        <w:rPr>
          <w:sz w:val="20"/>
          <w:szCs w:val="20"/>
        </w:rPr>
        <w:t xml:space="preserve">“Gehuwd, wettelijk of feitelijk samenwonend: wat maakt het uit? Gevolgen ten aanzien van de kinderen.” in </w:t>
      </w:r>
      <w:r>
        <w:rPr>
          <w:smallCaps/>
          <w:sz w:val="20"/>
          <w:szCs w:val="20"/>
        </w:rPr>
        <w:t>FORDER</w:t>
      </w:r>
      <w:r w:rsidRPr="00187999">
        <w:rPr>
          <w:smallCaps/>
          <w:sz w:val="20"/>
          <w:szCs w:val="20"/>
        </w:rPr>
        <w:t xml:space="preserve">, C. </w:t>
      </w:r>
      <w:r w:rsidRPr="00187999">
        <w:rPr>
          <w:sz w:val="20"/>
          <w:szCs w:val="20"/>
        </w:rPr>
        <w:t xml:space="preserve">en </w:t>
      </w:r>
      <w:r>
        <w:rPr>
          <w:smallCaps/>
          <w:sz w:val="20"/>
          <w:szCs w:val="20"/>
        </w:rPr>
        <w:t>VERBEKE</w:t>
      </w:r>
      <w:r w:rsidRPr="00187999">
        <w:rPr>
          <w:smallCaps/>
          <w:sz w:val="20"/>
          <w:szCs w:val="20"/>
        </w:rPr>
        <w:t>, A. (</w:t>
      </w:r>
      <w:r w:rsidRPr="00187999">
        <w:rPr>
          <w:sz w:val="20"/>
          <w:szCs w:val="20"/>
        </w:rPr>
        <w:t xml:space="preserve">eds.), </w:t>
      </w:r>
      <w:r w:rsidRPr="00187999">
        <w:rPr>
          <w:i/>
          <w:iCs/>
          <w:sz w:val="20"/>
          <w:szCs w:val="20"/>
        </w:rPr>
        <w:t xml:space="preserve">Gehuwd of niet: maakt het iets uit?, </w:t>
      </w:r>
      <w:r w:rsidRPr="00187999">
        <w:rPr>
          <w:sz w:val="20"/>
          <w:szCs w:val="20"/>
        </w:rPr>
        <w:t xml:space="preserve">Antwerpen-Groningen, Intersentia, 2005, </w:t>
      </w:r>
      <w:r>
        <w:rPr>
          <w:sz w:val="20"/>
          <w:szCs w:val="20"/>
        </w:rPr>
        <w:t xml:space="preserve">(231) </w:t>
      </w:r>
      <w:r w:rsidRPr="00187999">
        <w:rPr>
          <w:sz w:val="20"/>
          <w:szCs w:val="20"/>
        </w:rPr>
        <w:t xml:space="preserve">247, nr. 60; </w:t>
      </w:r>
      <w:r>
        <w:rPr>
          <w:smallCaps/>
          <w:color w:val="000000"/>
          <w:sz w:val="20"/>
          <w:szCs w:val="20"/>
        </w:rPr>
        <w:t>KINDERRECHTENCOMMISSARIAAT</w:t>
      </w:r>
      <w:r w:rsidRPr="00187999">
        <w:rPr>
          <w:i/>
          <w:iCs/>
          <w:smallCaps/>
          <w:color w:val="000000"/>
          <w:sz w:val="20"/>
          <w:szCs w:val="20"/>
        </w:rPr>
        <w:t xml:space="preserve">, </w:t>
      </w:r>
      <w:r w:rsidRPr="00187999">
        <w:rPr>
          <w:i/>
          <w:iCs/>
          <w:color w:val="000000"/>
          <w:sz w:val="20"/>
          <w:szCs w:val="20"/>
        </w:rPr>
        <w:t>Kinderen &amp; scheiding</w:t>
      </w:r>
      <w:r w:rsidRPr="00187999">
        <w:rPr>
          <w:color w:val="000000"/>
          <w:sz w:val="20"/>
          <w:szCs w:val="20"/>
        </w:rPr>
        <w:t xml:space="preserve">, Brussel, </w:t>
      </w:r>
      <w:r w:rsidRPr="0039127C">
        <w:rPr>
          <w:color w:val="000000"/>
          <w:sz w:val="20"/>
          <w:szCs w:val="20"/>
        </w:rPr>
        <w:t>Kinderrechtencommissariaat</w:t>
      </w:r>
      <w:r w:rsidRPr="00187999">
        <w:rPr>
          <w:color w:val="000000"/>
          <w:sz w:val="20"/>
          <w:szCs w:val="20"/>
        </w:rPr>
        <w:t xml:space="preserve">, 2006, 59-60; </w:t>
      </w:r>
      <w:r w:rsidRPr="00187999">
        <w:rPr>
          <w:smallCaps/>
          <w:color w:val="000000"/>
          <w:sz w:val="20"/>
          <w:szCs w:val="20"/>
        </w:rPr>
        <w:t xml:space="preserve">G. </w:t>
      </w:r>
      <w:r>
        <w:rPr>
          <w:smallCaps/>
          <w:color w:val="000000"/>
          <w:sz w:val="20"/>
          <w:szCs w:val="20"/>
        </w:rPr>
        <w:t>VERSCHELDEN</w:t>
      </w:r>
      <w:r w:rsidRPr="00187999">
        <w:rPr>
          <w:smallCaps/>
          <w:color w:val="000000"/>
          <w:sz w:val="20"/>
          <w:szCs w:val="20"/>
        </w:rPr>
        <w:t xml:space="preserve">, </w:t>
      </w:r>
      <w:r w:rsidRPr="00187999">
        <w:rPr>
          <w:color w:val="000000"/>
          <w:sz w:val="20"/>
          <w:szCs w:val="20"/>
        </w:rPr>
        <w:t xml:space="preserve">“Arbitragehof zet deur open voor zorgouderschap”, </w:t>
      </w:r>
      <w:r w:rsidRPr="00187999">
        <w:rPr>
          <w:i/>
          <w:iCs/>
          <w:color w:val="000000"/>
          <w:sz w:val="20"/>
          <w:szCs w:val="20"/>
        </w:rPr>
        <w:t>Juristenkrant</w:t>
      </w:r>
      <w:r>
        <w:rPr>
          <w:color w:val="000000"/>
          <w:sz w:val="20"/>
          <w:szCs w:val="20"/>
        </w:rPr>
        <w:t xml:space="preserve"> 2003, </w:t>
      </w:r>
      <w:r w:rsidRPr="00187999">
        <w:rPr>
          <w:color w:val="000000"/>
          <w:sz w:val="20"/>
          <w:szCs w:val="20"/>
        </w:rPr>
        <w:t xml:space="preserve">afl. 78, 19 november 2003, </w:t>
      </w:r>
      <w:r>
        <w:rPr>
          <w:color w:val="000000"/>
          <w:sz w:val="20"/>
          <w:szCs w:val="20"/>
        </w:rPr>
        <w:t xml:space="preserve">(13) </w:t>
      </w:r>
      <w:r w:rsidRPr="00187999">
        <w:rPr>
          <w:color w:val="000000"/>
          <w:sz w:val="20"/>
          <w:szCs w:val="20"/>
        </w:rPr>
        <w:t xml:space="preserve">13; </w:t>
      </w:r>
      <w:r w:rsidRPr="00187999">
        <w:rPr>
          <w:smallCaps/>
          <w:sz w:val="20"/>
          <w:szCs w:val="20"/>
        </w:rPr>
        <w:t xml:space="preserve">T. </w:t>
      </w:r>
      <w:r>
        <w:rPr>
          <w:smallCaps/>
          <w:sz w:val="20"/>
          <w:szCs w:val="20"/>
        </w:rPr>
        <w:t>WUYTS</w:t>
      </w:r>
      <w:r w:rsidRPr="00187999">
        <w:rPr>
          <w:smallCaps/>
          <w:sz w:val="20"/>
          <w:szCs w:val="20"/>
        </w:rPr>
        <w:t>, “</w:t>
      </w:r>
      <w:r w:rsidRPr="00187999">
        <w:rPr>
          <w:sz w:val="20"/>
          <w:szCs w:val="20"/>
        </w:rPr>
        <w:t xml:space="preserve">De rechtspositie van meemoeders en hun kinderen” in </w:t>
      </w:r>
      <w:r>
        <w:rPr>
          <w:smallCaps/>
          <w:sz w:val="20"/>
          <w:szCs w:val="20"/>
        </w:rPr>
        <w:t>SENAEVE</w:t>
      </w:r>
      <w:r w:rsidRPr="00187999">
        <w:rPr>
          <w:smallCaps/>
          <w:sz w:val="20"/>
          <w:szCs w:val="20"/>
        </w:rPr>
        <w:t xml:space="preserve">, P., </w:t>
      </w:r>
      <w:r>
        <w:rPr>
          <w:smallCaps/>
          <w:sz w:val="20"/>
          <w:szCs w:val="20"/>
        </w:rPr>
        <w:t>SWENNEN</w:t>
      </w:r>
      <w:r w:rsidRPr="00187999">
        <w:rPr>
          <w:smallCaps/>
          <w:sz w:val="20"/>
          <w:szCs w:val="20"/>
        </w:rPr>
        <w:t xml:space="preserve">, F. </w:t>
      </w:r>
      <w:r w:rsidRPr="00187999">
        <w:rPr>
          <w:sz w:val="20"/>
          <w:szCs w:val="20"/>
        </w:rPr>
        <w:t xml:space="preserve">en </w:t>
      </w:r>
      <w:r>
        <w:rPr>
          <w:smallCaps/>
          <w:sz w:val="20"/>
          <w:szCs w:val="20"/>
        </w:rPr>
        <w:t>VERSCHELDEN</w:t>
      </w:r>
      <w:r w:rsidRPr="00187999">
        <w:rPr>
          <w:smallCaps/>
          <w:sz w:val="20"/>
          <w:szCs w:val="20"/>
        </w:rPr>
        <w:t>, G.</w:t>
      </w:r>
      <w:r w:rsidRPr="00187999">
        <w:rPr>
          <w:sz w:val="20"/>
          <w:szCs w:val="20"/>
        </w:rPr>
        <w:t xml:space="preserve"> (eds.), </w:t>
      </w:r>
      <w:r w:rsidRPr="00187999">
        <w:rPr>
          <w:i/>
          <w:iCs/>
          <w:sz w:val="20"/>
          <w:szCs w:val="20"/>
        </w:rPr>
        <w:t>Ouders en kinderen</w:t>
      </w:r>
      <w:r w:rsidRPr="00187999">
        <w:rPr>
          <w:sz w:val="20"/>
          <w:szCs w:val="20"/>
        </w:rPr>
        <w:t xml:space="preserve">, Antwerpen, Intersentia, 2013, </w:t>
      </w:r>
      <w:r>
        <w:rPr>
          <w:sz w:val="20"/>
          <w:szCs w:val="20"/>
        </w:rPr>
        <w:t xml:space="preserve">(71) </w:t>
      </w:r>
      <w:r w:rsidRPr="00187999">
        <w:rPr>
          <w:sz w:val="20"/>
          <w:szCs w:val="20"/>
        </w:rPr>
        <w:t>119, nr. 135.</w:t>
      </w:r>
    </w:p>
  </w:footnote>
  <w:footnote w:id="10">
    <w:p w:rsidR="002A0E74" w:rsidRDefault="002A0E74" w:rsidP="006E471F">
      <w:pPr>
        <w:pStyle w:val="FootnoteText"/>
      </w:pPr>
      <w:r w:rsidRPr="00187999">
        <w:rPr>
          <w:rStyle w:val="FootnoteReference"/>
        </w:rPr>
        <w:footnoteRef/>
      </w:r>
      <w:r w:rsidRPr="00187999">
        <w:t xml:space="preserve"> </w:t>
      </w:r>
      <w:r w:rsidRPr="00187999">
        <w:rPr>
          <w:smallCaps/>
        </w:rPr>
        <w:t xml:space="preserve">F. </w:t>
      </w:r>
      <w:r>
        <w:rPr>
          <w:smallCaps/>
        </w:rPr>
        <w:t>SWENNEN</w:t>
      </w:r>
      <w:r w:rsidRPr="00187999">
        <w:rPr>
          <w:smallCaps/>
        </w:rPr>
        <w:t xml:space="preserve">, </w:t>
      </w:r>
      <w:r w:rsidRPr="00C26746">
        <w:rPr>
          <w:i/>
          <w:iCs/>
        </w:rPr>
        <w:t>Het personen- en familierecht</w:t>
      </w:r>
      <w:r w:rsidRPr="00187999">
        <w:t xml:space="preserve">, Antwerpen, Intersentia, 2015, 413, nr. 690;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130, nr. 130.</w:t>
      </w:r>
    </w:p>
  </w:footnote>
  <w:footnote w:id="11">
    <w:p w:rsidR="002A0E74" w:rsidRDefault="002A0E74">
      <w:pPr>
        <w:pStyle w:val="FootnoteText"/>
      </w:pPr>
      <w:r>
        <w:rPr>
          <w:rStyle w:val="FootnoteReference"/>
        </w:rPr>
        <w:footnoteRef/>
      </w:r>
      <w:r>
        <w:t xml:space="preserve"> </w:t>
      </w:r>
      <w:r>
        <w:rPr>
          <w:smallCaps/>
        </w:rPr>
        <w:t xml:space="preserve">P. </w:t>
      </w:r>
      <w:r>
        <w:rPr>
          <w:smallCaps/>
          <w:color w:val="000000"/>
        </w:rPr>
        <w:t xml:space="preserve">BORGHS, </w:t>
      </w:r>
      <w:r>
        <w:rPr>
          <w:color w:val="000000"/>
        </w:rPr>
        <w:t xml:space="preserve">“Rechtspositie meemoeder. Van adoptieve naar oorspronkelijke juridische afstamming”, </w:t>
      </w:r>
      <w:r w:rsidRPr="00705CA6">
        <w:rPr>
          <w:i/>
          <w:iCs/>
          <w:color w:val="000000"/>
        </w:rPr>
        <w:t xml:space="preserve">NJW </w:t>
      </w:r>
      <w:r>
        <w:rPr>
          <w:color w:val="000000"/>
        </w:rPr>
        <w:t xml:space="preserve">2013, afl. 282, </w:t>
      </w:r>
      <w:r>
        <w:t xml:space="preserve">(382) </w:t>
      </w:r>
      <w:r>
        <w:rPr>
          <w:color w:val="000000"/>
        </w:rPr>
        <w:t>400, nr. 101.</w:t>
      </w:r>
    </w:p>
  </w:footnote>
  <w:footnote w:id="12">
    <w:p w:rsidR="002A0E74" w:rsidRDefault="002A0E74" w:rsidP="00ED6450">
      <w:pPr>
        <w:pStyle w:val="FootnoteText"/>
      </w:pPr>
      <w:r w:rsidRPr="00187999">
        <w:rPr>
          <w:rStyle w:val="FootnoteReference"/>
        </w:rPr>
        <w:footnoteRef/>
      </w:r>
      <w:r w:rsidRPr="00187999">
        <w:t xml:space="preserve"> </w:t>
      </w:r>
      <w:r>
        <w:rPr>
          <w:smallCaps/>
        </w:rPr>
        <w:t xml:space="preserve">G. SEGHERS </w:t>
      </w:r>
      <w:r>
        <w:t xml:space="preserve">en </w:t>
      </w:r>
      <w:r>
        <w:rPr>
          <w:smallCaps/>
        </w:rPr>
        <w:t xml:space="preserve">F. SWENNEN, </w:t>
      </w:r>
      <w:r>
        <w:t xml:space="preserve">“Meemoederschap zonder adoptie – de wet van 5 mei 2014 tot vaststelling van de afstamming van de meemoeder”, </w:t>
      </w:r>
      <w:r w:rsidRPr="006E5DD4">
        <w:rPr>
          <w:i/>
          <w:iCs/>
        </w:rPr>
        <w:t>TBBR</w:t>
      </w:r>
      <w:r>
        <w:t xml:space="preserve"> 2014, (480) 481, nr. 2;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Pr>
          <w:color w:val="000000"/>
        </w:rPr>
        <w:t>, Leuven, Acco, 2015, 215 nr. 636</w:t>
      </w:r>
      <w:r w:rsidRPr="00187999">
        <w:rPr>
          <w:color w:val="000000"/>
        </w:rPr>
        <w:t xml:space="preserve">; </w:t>
      </w:r>
      <w:r w:rsidRPr="00187999">
        <w:rPr>
          <w:smallCaps/>
        </w:rPr>
        <w:t xml:space="preserve">F. </w:t>
      </w:r>
      <w:r>
        <w:rPr>
          <w:smallCaps/>
        </w:rPr>
        <w:t>SWENNEN</w:t>
      </w:r>
      <w:r w:rsidRPr="00187999">
        <w:rPr>
          <w:smallCaps/>
        </w:rPr>
        <w:t xml:space="preserve">, </w:t>
      </w:r>
      <w:r w:rsidRPr="00C26746">
        <w:rPr>
          <w:i/>
          <w:iCs/>
        </w:rPr>
        <w:t>Het personen- en familierecht</w:t>
      </w:r>
      <w:r w:rsidRPr="00187999">
        <w:t>, Antwerpen, Intersentia, 2015, 422, nr. 720.</w:t>
      </w:r>
    </w:p>
  </w:footnote>
  <w:footnote w:id="13">
    <w:p w:rsidR="002A0E74" w:rsidRDefault="002A0E74" w:rsidP="006E471F">
      <w:pPr>
        <w:pStyle w:val="FootnoteText"/>
      </w:pPr>
      <w:r w:rsidRPr="00187999">
        <w:rPr>
          <w:rStyle w:val="FootnoteReference"/>
        </w:rPr>
        <w:footnoteRef/>
      </w:r>
      <w:r w:rsidRPr="00187999">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Leuven, Acco, 2015, 215</w:t>
      </w:r>
      <w:r w:rsidRPr="00187999">
        <w:rPr>
          <w:color w:val="000000"/>
        </w:rPr>
        <w:t>, nr. 636;</w:t>
      </w:r>
      <w:r w:rsidRPr="00187999">
        <w:t xml:space="preserve">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 442, nr. 721.</w:t>
      </w:r>
    </w:p>
  </w:footnote>
  <w:footnote w:id="14">
    <w:p w:rsidR="002A0E74" w:rsidRDefault="002A0E74" w:rsidP="006E471F">
      <w:pPr>
        <w:pStyle w:val="FootnoteText"/>
      </w:pPr>
      <w:r w:rsidRPr="00187999">
        <w:rPr>
          <w:rStyle w:val="FootnoteReference"/>
        </w:rPr>
        <w:footnoteRef/>
      </w:r>
      <w:r>
        <w:t xml:space="preserve"> </w:t>
      </w:r>
      <w:r>
        <w:rPr>
          <w:smallCaps/>
        </w:rPr>
        <w:t xml:space="preserve">P. </w:t>
      </w:r>
      <w:r>
        <w:rPr>
          <w:smallCaps/>
          <w:color w:val="000000"/>
        </w:rPr>
        <w:t xml:space="preserve">BORGHS, </w:t>
      </w:r>
      <w:r>
        <w:rPr>
          <w:color w:val="000000"/>
        </w:rPr>
        <w:t xml:space="preserve">“Rechtspositie meemoeder. Van adoptieve naar oorspronkelijke juridische afstamming”, </w:t>
      </w:r>
      <w:r w:rsidRPr="00705CA6">
        <w:rPr>
          <w:i/>
          <w:iCs/>
          <w:color w:val="000000"/>
        </w:rPr>
        <w:t xml:space="preserve">NJW </w:t>
      </w:r>
      <w:r>
        <w:rPr>
          <w:color w:val="000000"/>
        </w:rPr>
        <w:t>2013, afl. 282, (382) 400, nr. 102 en 103;</w:t>
      </w:r>
      <w:r w:rsidRPr="00187999">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Leuven, Acco, 2015, 215</w:t>
      </w:r>
      <w:r w:rsidRPr="00187999">
        <w:rPr>
          <w:color w:val="000000"/>
        </w:rPr>
        <w:t xml:space="preserve">, nr. 636;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 442, nr. 721.</w:t>
      </w:r>
    </w:p>
  </w:footnote>
  <w:footnote w:id="15">
    <w:p w:rsidR="002A0E74" w:rsidRDefault="002A0E74" w:rsidP="005B1D95">
      <w:pPr>
        <w:pStyle w:val="FootnoteText"/>
      </w:pPr>
      <w:r w:rsidRPr="00187999">
        <w:rPr>
          <w:rStyle w:val="FootnoteReference"/>
        </w:rPr>
        <w:footnoteRef/>
      </w:r>
      <w:r w:rsidRPr="00187999">
        <w:t xml:space="preserve"> </w:t>
      </w:r>
      <w:r w:rsidRPr="00187999">
        <w:rPr>
          <w:smallCaps/>
        </w:rPr>
        <w:t xml:space="preserve">H. </w:t>
      </w:r>
      <w:r>
        <w:rPr>
          <w:smallCaps/>
        </w:rPr>
        <w:t>CASMAN</w:t>
      </w:r>
      <w:r w:rsidRPr="00187999">
        <w:rPr>
          <w:smallCaps/>
        </w:rPr>
        <w:t>,</w:t>
      </w:r>
      <w:r w:rsidRPr="00187999">
        <w:t xml:space="preserve"> “Gehuwd, wettelijk of feitelijk samenwonend: wat maakt het uit? Gevolgen ten aanzien van de kinderen.” in </w:t>
      </w:r>
      <w:r>
        <w:rPr>
          <w:smallCaps/>
        </w:rPr>
        <w:t>FORDER</w:t>
      </w:r>
      <w:r w:rsidRPr="00187999">
        <w:rPr>
          <w:smallCaps/>
        </w:rPr>
        <w:t xml:space="preserve">, C. </w:t>
      </w:r>
      <w:r w:rsidRPr="00187999">
        <w:t xml:space="preserve">en </w:t>
      </w:r>
      <w:r>
        <w:rPr>
          <w:smallCaps/>
        </w:rPr>
        <w:t>VERBEKE</w:t>
      </w:r>
      <w:r w:rsidRPr="00187999">
        <w:rPr>
          <w:smallCaps/>
        </w:rPr>
        <w:t>, A. (</w:t>
      </w:r>
      <w:r w:rsidRPr="00187999">
        <w:t xml:space="preserve">eds.), </w:t>
      </w:r>
      <w:r w:rsidRPr="00187999">
        <w:rPr>
          <w:i/>
          <w:iCs/>
        </w:rPr>
        <w:t xml:space="preserve">Gehuwd of niet: maakt het iets uit?, </w:t>
      </w:r>
      <w:r w:rsidRPr="00187999">
        <w:t xml:space="preserve">Antwerpen-Groningen, Intersentia, 2005, </w:t>
      </w:r>
      <w:r>
        <w:t xml:space="preserve">(231) </w:t>
      </w:r>
      <w:r w:rsidRPr="00187999">
        <w:t xml:space="preserve">247, nr. 60; </w:t>
      </w:r>
      <w:r>
        <w:rPr>
          <w:smallCaps/>
        </w:rPr>
        <w:t xml:space="preserve">H. CASMAN, </w:t>
      </w:r>
      <w:r w:rsidRPr="00187999">
        <w:rPr>
          <w:smallCaps/>
        </w:rPr>
        <w:t>“</w:t>
      </w:r>
      <w:r w:rsidRPr="00187999">
        <w:t xml:space="preserve">Actueel Belgisch afstammingsrecht in vogelvlucht.”, </w:t>
      </w:r>
      <w:r w:rsidRPr="00187999">
        <w:rPr>
          <w:i/>
          <w:iCs/>
        </w:rPr>
        <w:t>Not.Fisc.M.</w:t>
      </w:r>
      <w:r w:rsidRPr="00187999">
        <w:t xml:space="preserve"> 2008, afl. 4, </w:t>
      </w:r>
      <w:r>
        <w:t xml:space="preserve">(119) </w:t>
      </w:r>
      <w:r w:rsidRPr="00187999">
        <w:t xml:space="preserve">121;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rsidRPr="00187999">
        <w:t xml:space="preserve"> 2006, afl. 10,</w:t>
      </w:r>
      <w:r>
        <w:t xml:space="preserve"> (567)</w:t>
      </w:r>
      <w:r w:rsidRPr="00187999">
        <w:t xml:space="preserve"> 567, nr. 1; </w:t>
      </w:r>
      <w:r>
        <w:rPr>
          <w:smallCaps/>
        </w:rPr>
        <w:t>KINDERRECHTENCOMMISSARIAAT</w:t>
      </w:r>
      <w:r w:rsidRPr="00187999">
        <w:rPr>
          <w:i/>
          <w:iCs/>
          <w:smallCaps/>
        </w:rPr>
        <w:t xml:space="preserve">, </w:t>
      </w:r>
      <w:r w:rsidRPr="00187999">
        <w:rPr>
          <w:i/>
          <w:iCs/>
        </w:rPr>
        <w:t>Kinderen &amp; scheiding</w:t>
      </w:r>
      <w:r w:rsidRPr="00187999">
        <w:t xml:space="preserve">, Brussel, </w:t>
      </w:r>
      <w:r>
        <w:rPr>
          <w:color w:val="000000"/>
        </w:rPr>
        <w:t>Kinderrechtencommissariaat</w:t>
      </w:r>
      <w:r w:rsidRPr="00187999">
        <w:t xml:space="preserve">, 2006, 59-60; </w:t>
      </w:r>
      <w:r w:rsidRPr="00187999">
        <w:rPr>
          <w:smallCaps/>
        </w:rPr>
        <w:t xml:space="preserve">T. </w:t>
      </w:r>
      <w:r>
        <w:rPr>
          <w:smallCaps/>
        </w:rPr>
        <w:t>ROBERT</w:t>
      </w:r>
      <w:r w:rsidRPr="00187999">
        <w:rPr>
          <w:smallCaps/>
        </w:rPr>
        <w:t xml:space="preserve">, </w:t>
      </w:r>
      <w:r w:rsidRPr="00187999">
        <w:t xml:space="preserve">“Naar een afstammingsloos gezag?” (noot onder Arbitragehof 8 oktober 2003), </w:t>
      </w:r>
      <w:r w:rsidRPr="00187999">
        <w:rPr>
          <w:i/>
          <w:iCs/>
        </w:rPr>
        <w:t>TJK</w:t>
      </w:r>
      <w:r w:rsidRPr="00187999">
        <w:t xml:space="preserve"> 2004, </w:t>
      </w:r>
      <w:r>
        <w:t xml:space="preserve">(39) </w:t>
      </w:r>
      <w:r w:rsidRPr="00187999">
        <w:t>40, nr 2;</w:t>
      </w:r>
      <w:r>
        <w:t xml:space="preserve"> </w:t>
      </w:r>
      <w:r>
        <w:rPr>
          <w:smallCaps/>
        </w:rPr>
        <w:t xml:space="preserve">G. SEGHERS </w:t>
      </w:r>
      <w:r>
        <w:t xml:space="preserve">en </w:t>
      </w:r>
      <w:r>
        <w:rPr>
          <w:smallCaps/>
        </w:rPr>
        <w:t xml:space="preserve">F. SWENNEN, </w:t>
      </w:r>
      <w:r>
        <w:t xml:space="preserve">“Meemoederschap zonder adoptie – de wet van 5 mei 2014 tot vaststelling van de afstamming van de meemoeder”, </w:t>
      </w:r>
      <w:r w:rsidRPr="006E5DD4">
        <w:rPr>
          <w:i/>
          <w:iCs/>
        </w:rPr>
        <w:t>TBBR</w:t>
      </w:r>
      <w:r>
        <w:t xml:space="preserve"> 2014, (480) 481, nr. 2;</w:t>
      </w:r>
      <w:r w:rsidRPr="00187999">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rsidRPr="00187999">
        <w:t xml:space="preserve">en </w:t>
      </w:r>
      <w:r>
        <w:rPr>
          <w:smallCaps/>
        </w:rPr>
        <w:t>VERSCHELDEN</w:t>
      </w:r>
      <w:r w:rsidRPr="00187999">
        <w:rPr>
          <w:smallCaps/>
        </w:rPr>
        <w:t>, G.</w:t>
      </w:r>
      <w:r w:rsidRPr="00187999">
        <w:t xml:space="preserve"> (eds.), </w:t>
      </w:r>
      <w:r w:rsidRPr="00187999">
        <w:rPr>
          <w:i/>
          <w:iCs/>
        </w:rPr>
        <w:t>Ouders en kinderen</w:t>
      </w:r>
      <w:r w:rsidRPr="00187999">
        <w:t xml:space="preserve">, Antwerpen, Intersentia, 2013, </w:t>
      </w:r>
      <w:r>
        <w:t xml:space="preserve">(257) </w:t>
      </w:r>
      <w:r w:rsidRPr="00187999">
        <w:t xml:space="preserve">264 en 277-278, nr. 326 en 344; </w:t>
      </w:r>
      <w:r w:rsidRPr="00187999">
        <w:rPr>
          <w:smallCaps/>
        </w:rPr>
        <w:t xml:space="preserve">A. </w:t>
      </w:r>
      <w:r>
        <w:rPr>
          <w:smallCaps/>
        </w:rPr>
        <w:t>VANDEKERCKHOVE</w:t>
      </w:r>
      <w:r w:rsidRPr="00187999">
        <w:rPr>
          <w:smallCaps/>
        </w:rPr>
        <w:t>, “</w:t>
      </w:r>
      <w:r w:rsidRPr="00187999">
        <w:t xml:space="preserve">Zorgouderschap? Meerdere ouderschapsstatuten voor één kind?”, </w:t>
      </w:r>
      <w:r w:rsidRPr="00187999">
        <w:rPr>
          <w:i/>
          <w:iCs/>
        </w:rPr>
        <w:t>TJK</w:t>
      </w:r>
      <w:r w:rsidRPr="00187999">
        <w:t xml:space="preserve"> 2006, </w:t>
      </w:r>
      <w:r>
        <w:t xml:space="preserve">(256) </w:t>
      </w:r>
      <w:r w:rsidRPr="00187999">
        <w:t xml:space="preserve">256-257; </w:t>
      </w:r>
      <w:r w:rsidRPr="00187999">
        <w:rPr>
          <w:smallCaps/>
        </w:rPr>
        <w:t xml:space="preserve">G. </w:t>
      </w:r>
      <w:r>
        <w:rPr>
          <w:smallCaps/>
        </w:rPr>
        <w:t>VERSCHELDEN</w:t>
      </w:r>
      <w:r w:rsidRPr="00187999">
        <w:rPr>
          <w:smallCaps/>
        </w:rPr>
        <w:t xml:space="preserve">, </w:t>
      </w:r>
      <w:r w:rsidRPr="00187999">
        <w:rPr>
          <w:i/>
          <w:iCs/>
        </w:rPr>
        <w:t>Handboek Belgisch familierecht,</w:t>
      </w:r>
      <w:r w:rsidRPr="00187999">
        <w:t xml:space="preserve"> Brugge, Die Keure, 2010, 10, nr. 17;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135</w:t>
      </w:r>
      <w:r w:rsidRPr="006E5DD4">
        <w:t>, nr. 136.</w:t>
      </w:r>
    </w:p>
  </w:footnote>
  <w:footnote w:id="16">
    <w:p w:rsidR="002A0E74" w:rsidRDefault="002A0E74" w:rsidP="003A09C4">
      <w:r w:rsidRPr="006E5DD4">
        <w:rPr>
          <w:rStyle w:val="FootnoteReference"/>
          <w:sz w:val="20"/>
          <w:szCs w:val="20"/>
        </w:rPr>
        <w:footnoteRef/>
      </w:r>
      <w:r w:rsidRPr="006E5DD4">
        <w:rPr>
          <w:sz w:val="20"/>
          <w:szCs w:val="20"/>
        </w:rPr>
        <w:t xml:space="preserve"> </w:t>
      </w:r>
      <w:r w:rsidRPr="006E5DD4">
        <w:rPr>
          <w:sz w:val="20"/>
          <w:szCs w:val="20"/>
        </w:rPr>
        <w:t xml:space="preserve">Wet 5 mei 2014 houdende de vaststelling van de afstamming van de meemoeder, </w:t>
      </w:r>
      <w:r w:rsidRPr="006E5DD4">
        <w:rPr>
          <w:i/>
          <w:iCs/>
          <w:sz w:val="20"/>
          <w:szCs w:val="20"/>
        </w:rPr>
        <w:t>B.S.</w:t>
      </w:r>
      <w:r w:rsidRPr="006E5DD4">
        <w:rPr>
          <w:sz w:val="20"/>
          <w:szCs w:val="20"/>
        </w:rPr>
        <w:t xml:space="preserve"> 01 januari 2015; </w:t>
      </w:r>
      <w:r w:rsidRPr="006E5DD4">
        <w:rPr>
          <w:smallCaps/>
          <w:sz w:val="20"/>
          <w:szCs w:val="20"/>
        </w:rPr>
        <w:t xml:space="preserve">G. </w:t>
      </w:r>
      <w:r>
        <w:rPr>
          <w:smallCaps/>
          <w:sz w:val="20"/>
          <w:szCs w:val="20"/>
        </w:rPr>
        <w:t>SEGHERS</w:t>
      </w:r>
      <w:r w:rsidRPr="006E5DD4">
        <w:rPr>
          <w:smallCaps/>
          <w:sz w:val="20"/>
          <w:szCs w:val="20"/>
        </w:rPr>
        <w:t xml:space="preserve"> </w:t>
      </w:r>
      <w:r w:rsidRPr="006E5DD4">
        <w:rPr>
          <w:sz w:val="20"/>
          <w:szCs w:val="20"/>
        </w:rPr>
        <w:t xml:space="preserve">en </w:t>
      </w:r>
      <w:r w:rsidRPr="006E5DD4">
        <w:rPr>
          <w:smallCaps/>
          <w:sz w:val="20"/>
          <w:szCs w:val="20"/>
        </w:rPr>
        <w:t xml:space="preserve">F. </w:t>
      </w:r>
      <w:r>
        <w:rPr>
          <w:smallCaps/>
          <w:sz w:val="20"/>
          <w:szCs w:val="20"/>
        </w:rPr>
        <w:t>SWENNEN</w:t>
      </w:r>
      <w:r w:rsidRPr="006E5DD4">
        <w:rPr>
          <w:smallCaps/>
          <w:sz w:val="20"/>
          <w:szCs w:val="20"/>
        </w:rPr>
        <w:t xml:space="preserve">, </w:t>
      </w:r>
      <w:r w:rsidRPr="006E5DD4">
        <w:rPr>
          <w:sz w:val="20"/>
          <w:szCs w:val="20"/>
        </w:rPr>
        <w:t xml:space="preserve">“Meemoederschap zonder adoptie – de wet van 5 mei 2014 tot vaststelling van de afstamming van de meemoeder”, </w:t>
      </w:r>
      <w:r w:rsidRPr="006E5DD4">
        <w:rPr>
          <w:i/>
          <w:iCs/>
          <w:sz w:val="20"/>
          <w:szCs w:val="20"/>
        </w:rPr>
        <w:t>TBBR</w:t>
      </w:r>
      <w:r w:rsidRPr="006E5DD4">
        <w:rPr>
          <w:sz w:val="20"/>
          <w:szCs w:val="20"/>
        </w:rPr>
        <w:t xml:space="preserve"> 2014, </w:t>
      </w:r>
      <w:r>
        <w:rPr>
          <w:sz w:val="20"/>
          <w:szCs w:val="20"/>
        </w:rPr>
        <w:t xml:space="preserve">(480) </w:t>
      </w:r>
      <w:r w:rsidRPr="006E5DD4">
        <w:rPr>
          <w:sz w:val="20"/>
          <w:szCs w:val="20"/>
        </w:rPr>
        <w:t>480, nr. 1.</w:t>
      </w:r>
    </w:p>
  </w:footnote>
  <w:footnote w:id="17">
    <w:p w:rsidR="002A0E74" w:rsidRDefault="002A0E74">
      <w:pPr>
        <w:pStyle w:val="FootnoteText"/>
      </w:pPr>
      <w:r>
        <w:rPr>
          <w:rStyle w:val="FootnoteReference"/>
        </w:rPr>
        <w:footnoteRef/>
      </w:r>
      <w:r>
        <w:t xml:space="preserve"> </w:t>
      </w:r>
      <w:r>
        <w:rPr>
          <w:smallCaps/>
        </w:rPr>
        <w:t xml:space="preserve">G. SEGHERS </w:t>
      </w:r>
      <w:r>
        <w:t xml:space="preserve">en </w:t>
      </w:r>
      <w:r>
        <w:rPr>
          <w:smallCaps/>
        </w:rPr>
        <w:t xml:space="preserve">F. SWENNEN, </w:t>
      </w:r>
      <w:r>
        <w:t xml:space="preserve">“Meemoederschap zonder adoptie – de wet van 5 mei 2014 tot vaststelling van de afstamming van de meemoeder”, </w:t>
      </w:r>
      <w:r w:rsidRPr="006E5DD4">
        <w:rPr>
          <w:i/>
          <w:iCs/>
        </w:rPr>
        <w:t>TBBR</w:t>
      </w:r>
      <w:r>
        <w:t xml:space="preserve"> 2014, (480) 486, nr. 23.</w:t>
      </w:r>
    </w:p>
  </w:footnote>
  <w:footnote w:id="18">
    <w:p w:rsidR="002A0E74" w:rsidRDefault="002A0E74">
      <w:pPr>
        <w:pStyle w:val="FootnoteText"/>
      </w:pPr>
      <w:r>
        <w:rPr>
          <w:rStyle w:val="FootnoteReference"/>
        </w:rPr>
        <w:footnoteRef/>
      </w:r>
      <w:r>
        <w:t xml:space="preserve"> </w:t>
      </w:r>
      <w:r>
        <w:rPr>
          <w:smallCaps/>
        </w:rPr>
        <w:t xml:space="preserve">G. SEGHERS </w:t>
      </w:r>
      <w:r>
        <w:t xml:space="preserve">en </w:t>
      </w:r>
      <w:r>
        <w:rPr>
          <w:smallCaps/>
        </w:rPr>
        <w:t xml:space="preserve">F. SWENNEN, </w:t>
      </w:r>
      <w:r>
        <w:t xml:space="preserve">“Meemoederschap zonder adoptie – de wet van 5 mei 2014 tot vaststelling van de afstamming van de meemoeder”, </w:t>
      </w:r>
      <w:r w:rsidRPr="006E5DD4">
        <w:rPr>
          <w:i/>
          <w:iCs/>
        </w:rPr>
        <w:t>TBBR</w:t>
      </w:r>
      <w:r>
        <w:t xml:space="preserve"> 2014, (480) 482, nr. 5.</w:t>
      </w:r>
    </w:p>
  </w:footnote>
  <w:footnote w:id="19">
    <w:p w:rsidR="002A0E74" w:rsidRDefault="002A0E74">
      <w:pPr>
        <w:pStyle w:val="FootnoteText"/>
      </w:pPr>
      <w:r>
        <w:rPr>
          <w:rStyle w:val="FootnoteReference"/>
        </w:rPr>
        <w:footnoteRef/>
      </w:r>
      <w:r>
        <w:t xml:space="preserve"> </w:t>
      </w:r>
      <w:r>
        <w:t xml:space="preserve">Wet van 18 mei 2006 tot wijziging van een aantal bepalingen van het Burgerlijk Wetboek teneinde de adoptie door personen van hetzelfde geslacht mogelijk te maken, </w:t>
      </w:r>
      <w:r w:rsidRPr="00BE0723">
        <w:rPr>
          <w:i/>
          <w:iCs/>
        </w:rPr>
        <w:t>B.S.</w:t>
      </w:r>
      <w:r>
        <w:t xml:space="preserve"> 20 juni 2006; </w:t>
      </w:r>
      <w:r>
        <w:rPr>
          <w:smallCaps/>
        </w:rPr>
        <w:t xml:space="preserve">P. </w:t>
      </w:r>
      <w:r>
        <w:rPr>
          <w:smallCaps/>
          <w:color w:val="000000"/>
        </w:rPr>
        <w:t xml:space="preserve">BORGHS, </w:t>
      </w:r>
      <w:r>
        <w:rPr>
          <w:color w:val="000000"/>
        </w:rPr>
        <w:t xml:space="preserve">“Rechtspositie meemoeder. Van adoptieve naar oorspronkelijke juridische afstamming”, </w:t>
      </w:r>
      <w:r w:rsidRPr="00705CA6">
        <w:rPr>
          <w:i/>
          <w:iCs/>
          <w:color w:val="000000"/>
        </w:rPr>
        <w:t xml:space="preserve">NJW </w:t>
      </w:r>
      <w:r>
        <w:rPr>
          <w:color w:val="000000"/>
        </w:rPr>
        <w:t>2013, afl. 282, (382) 382, nr. 3;</w:t>
      </w:r>
      <w:r>
        <w:t xml:space="preserve"> </w:t>
      </w:r>
      <w:r>
        <w:rPr>
          <w:smallCaps/>
        </w:rPr>
        <w:t xml:space="preserve">M. GOEGEBUER, </w:t>
      </w:r>
      <w:r>
        <w:t xml:space="preserve">“Nee moeder of meemoeder? De lesbische meemoeder versus een onverantwoorde adoptieweigering door de oorspronkelijke ouder” (noot onder Grondwettelijk Hof 12 juli 2012), </w:t>
      </w:r>
      <w:r w:rsidRPr="00B5442E">
        <w:rPr>
          <w:i/>
          <w:iCs/>
        </w:rPr>
        <w:t>T.Fam.</w:t>
      </w:r>
      <w:r>
        <w:t xml:space="preserve"> 2013, (158) 160, nr. 7; </w:t>
      </w:r>
      <w:r>
        <w:rPr>
          <w:smallCaps/>
        </w:rPr>
        <w:t xml:space="preserve">G. SEGHERS </w:t>
      </w:r>
      <w:r>
        <w:t xml:space="preserve">en </w:t>
      </w:r>
      <w:r>
        <w:rPr>
          <w:smallCaps/>
        </w:rPr>
        <w:t xml:space="preserve">F. SWENNEN, </w:t>
      </w:r>
      <w:r>
        <w:t xml:space="preserve">“Meemoederschap zonder adoptie – de wet van 5 mei 2014 tot vaststelling van de afstamming van de meemoeder”, </w:t>
      </w:r>
      <w:r w:rsidRPr="006E5DD4">
        <w:rPr>
          <w:i/>
          <w:iCs/>
        </w:rPr>
        <w:t>TBBR</w:t>
      </w:r>
      <w:r>
        <w:t xml:space="preserve"> 2014, (480) 481, nr. 2.</w:t>
      </w:r>
    </w:p>
  </w:footnote>
  <w:footnote w:id="20">
    <w:p w:rsidR="002A0E74" w:rsidRDefault="002A0E74" w:rsidP="00CE252B">
      <w:pPr>
        <w:pStyle w:val="FootnoteText"/>
      </w:pPr>
      <w:r w:rsidRPr="00187999">
        <w:rPr>
          <w:rStyle w:val="FootnoteReference"/>
        </w:rPr>
        <w:footnoteRef/>
      </w:r>
      <w:r w:rsidRPr="00187999">
        <w:t xml:space="preserve"> </w:t>
      </w:r>
      <w:r w:rsidRPr="00187999">
        <w:rPr>
          <w:smallCaps/>
        </w:rPr>
        <w:t xml:space="preserve">F. </w:t>
      </w:r>
      <w:r>
        <w:rPr>
          <w:smallCaps/>
        </w:rPr>
        <w:t>SWENNEN</w:t>
      </w:r>
      <w:r w:rsidRPr="00BB7203">
        <w:rPr>
          <w:smallCaps/>
        </w:rPr>
        <w:t xml:space="preserve">, </w:t>
      </w:r>
      <w:r w:rsidRPr="00BB7203">
        <w:rPr>
          <w:i/>
          <w:iCs/>
        </w:rPr>
        <w:t>Het personen- en familierecht</w:t>
      </w:r>
      <w:r w:rsidRPr="00BB7203">
        <w:t>, Antwerpen, Intersentia, 2015, 435, nr. 714.</w:t>
      </w:r>
    </w:p>
  </w:footnote>
  <w:footnote w:id="21">
    <w:p w:rsidR="002A0E74" w:rsidRPr="002A0E74" w:rsidRDefault="002A0E74" w:rsidP="00A54F16">
      <w:pPr>
        <w:rPr>
          <w:color w:val="000000"/>
          <w:sz w:val="20"/>
          <w:szCs w:val="20"/>
          <w:lang w:val="nl-NL"/>
        </w:rPr>
      </w:pPr>
      <w:r w:rsidRPr="00BB7203">
        <w:rPr>
          <w:rStyle w:val="FootnoteReference"/>
          <w:sz w:val="20"/>
          <w:szCs w:val="20"/>
        </w:rPr>
        <w:footnoteRef/>
      </w:r>
      <w:r w:rsidRPr="0039127C">
        <w:rPr>
          <w:sz w:val="20"/>
          <w:szCs w:val="20"/>
          <w:lang w:val="fr-FR"/>
        </w:rPr>
        <w:t xml:space="preserve"> Art. 312-314, 329</w:t>
      </w:r>
      <w:r w:rsidRPr="0039127C">
        <w:rPr>
          <w:i/>
          <w:iCs/>
          <w:sz w:val="20"/>
          <w:szCs w:val="20"/>
          <w:lang w:val="fr-FR"/>
        </w:rPr>
        <w:t xml:space="preserve">bis </w:t>
      </w:r>
      <w:r w:rsidRPr="0039127C">
        <w:rPr>
          <w:sz w:val="20"/>
          <w:szCs w:val="20"/>
          <w:lang w:val="fr-FR"/>
        </w:rPr>
        <w:t>en 332</w:t>
      </w:r>
      <w:r w:rsidRPr="0039127C">
        <w:rPr>
          <w:i/>
          <w:iCs/>
          <w:sz w:val="20"/>
          <w:szCs w:val="20"/>
          <w:lang w:val="fr-FR"/>
        </w:rPr>
        <w:t>quinquies</w:t>
      </w:r>
      <w:r w:rsidRPr="0039127C">
        <w:rPr>
          <w:sz w:val="20"/>
          <w:szCs w:val="20"/>
          <w:lang w:val="fr-FR"/>
        </w:rPr>
        <w:t xml:space="preserve"> BW.; </w:t>
      </w:r>
      <w:r w:rsidRPr="0039127C">
        <w:rPr>
          <w:smallCaps/>
          <w:sz w:val="20"/>
          <w:szCs w:val="20"/>
          <w:lang w:val="fr-FR"/>
        </w:rPr>
        <w:t xml:space="preserve">K. FIERENS, T. MARCHANDISE, </w:t>
      </w:r>
      <w:r w:rsidRPr="0039127C">
        <w:rPr>
          <w:sz w:val="20"/>
          <w:szCs w:val="20"/>
          <w:lang w:val="fr-FR"/>
        </w:rPr>
        <w:t xml:space="preserve">en J. </w:t>
      </w:r>
      <w:r w:rsidRPr="0039127C">
        <w:rPr>
          <w:smallCaps/>
          <w:sz w:val="20"/>
          <w:szCs w:val="20"/>
          <w:lang w:val="fr-FR"/>
        </w:rPr>
        <w:t xml:space="preserve">SONNON, </w:t>
      </w:r>
      <w:r w:rsidRPr="0039127C">
        <w:rPr>
          <w:i/>
          <w:iCs/>
          <w:sz w:val="20"/>
          <w:szCs w:val="20"/>
          <w:lang w:val="fr-FR"/>
        </w:rPr>
        <w:t>Droit de la famille</w:t>
      </w:r>
      <w:r w:rsidRPr="0039127C">
        <w:rPr>
          <w:sz w:val="20"/>
          <w:szCs w:val="20"/>
          <w:lang w:val="fr-FR"/>
        </w:rPr>
        <w:t xml:space="preserve">,  Louvain-la-Neuve, Anthemis, 2007, 109, nr. 7; </w:t>
      </w:r>
      <w:r w:rsidRPr="0039127C">
        <w:rPr>
          <w:smallCaps/>
          <w:sz w:val="20"/>
          <w:szCs w:val="20"/>
          <w:lang w:val="fr-FR"/>
        </w:rPr>
        <w:t xml:space="preserve">N. </w:t>
      </w:r>
      <w:r w:rsidRPr="0039127C">
        <w:rPr>
          <w:smallCaps/>
          <w:color w:val="000000"/>
          <w:sz w:val="20"/>
          <w:szCs w:val="20"/>
          <w:lang w:val="fr-FR"/>
        </w:rPr>
        <w:t xml:space="preserve">MASSAGER, </w:t>
      </w:r>
      <w:r w:rsidRPr="0039127C">
        <w:rPr>
          <w:sz w:val="20"/>
          <w:szCs w:val="20"/>
          <w:lang w:val="fr-FR"/>
        </w:rPr>
        <w:t>“</w:t>
      </w:r>
      <w:r w:rsidRPr="0039127C">
        <w:rPr>
          <w:color w:val="000000"/>
          <w:sz w:val="20"/>
          <w:szCs w:val="20"/>
          <w:lang w:val="fr-FR"/>
        </w:rPr>
        <w:t>Trois ans d’application de la nouvelle loi en matière de filiation</w:t>
      </w:r>
      <w:r w:rsidRPr="0039127C">
        <w:rPr>
          <w:sz w:val="20"/>
          <w:szCs w:val="20"/>
          <w:lang w:val="fr-FR"/>
        </w:rPr>
        <w:t>”</w:t>
      </w:r>
      <w:r w:rsidRPr="0039127C">
        <w:rPr>
          <w:color w:val="000000"/>
          <w:sz w:val="20"/>
          <w:szCs w:val="20"/>
          <w:lang w:val="fr-FR"/>
        </w:rPr>
        <w:t xml:space="preserve"> in </w:t>
      </w:r>
      <w:r w:rsidRPr="0039127C">
        <w:rPr>
          <w:smallCaps/>
          <w:color w:val="000000"/>
          <w:sz w:val="20"/>
          <w:szCs w:val="20"/>
          <w:lang w:val="fr-FR"/>
        </w:rPr>
        <w:t>PIRE, D. (</w:t>
      </w:r>
      <w:r w:rsidRPr="0039127C">
        <w:rPr>
          <w:color w:val="000000"/>
          <w:sz w:val="20"/>
          <w:szCs w:val="20"/>
          <w:lang w:val="fr-FR"/>
        </w:rPr>
        <w:t xml:space="preserve">ed.), </w:t>
      </w:r>
      <w:r w:rsidRPr="0039127C">
        <w:rPr>
          <w:i/>
          <w:iCs/>
          <w:color w:val="000000"/>
          <w:sz w:val="20"/>
          <w:szCs w:val="20"/>
          <w:lang w:val="fr-FR"/>
        </w:rPr>
        <w:t>Droit des familles</w:t>
      </w:r>
      <w:r w:rsidRPr="0039127C">
        <w:rPr>
          <w:color w:val="000000"/>
          <w:sz w:val="20"/>
          <w:szCs w:val="20"/>
          <w:lang w:val="fr-FR"/>
        </w:rPr>
        <w:t>, Luik, Anthemis,</w:t>
      </w:r>
      <w:r>
        <w:rPr>
          <w:color w:val="000000"/>
          <w:sz w:val="20"/>
          <w:szCs w:val="20"/>
          <w:lang w:val="fr-FR"/>
        </w:rPr>
        <w:t xml:space="preserve"> 2011, (91)</w:t>
      </w:r>
      <w:r w:rsidRPr="0039127C">
        <w:rPr>
          <w:color w:val="000000"/>
          <w:sz w:val="20"/>
          <w:szCs w:val="20"/>
          <w:lang w:val="fr-FR"/>
        </w:rPr>
        <w:t xml:space="preserve"> 96-98;</w:t>
      </w:r>
      <w:r w:rsidRPr="0039127C">
        <w:rPr>
          <w:sz w:val="20"/>
          <w:szCs w:val="20"/>
          <w:lang w:val="fr-FR"/>
        </w:rPr>
        <w:t xml:space="preserve"> </w:t>
      </w:r>
      <w:r w:rsidRPr="0039127C">
        <w:rPr>
          <w:smallCaps/>
          <w:sz w:val="20"/>
          <w:szCs w:val="20"/>
          <w:lang w:val="fr-FR"/>
        </w:rPr>
        <w:t>P</w:t>
      </w:r>
      <w:r w:rsidRPr="0039127C">
        <w:rPr>
          <w:sz w:val="20"/>
          <w:szCs w:val="20"/>
          <w:lang w:val="fr-FR"/>
        </w:rPr>
        <w:t>.</w:t>
      </w:r>
      <w:r w:rsidRPr="0039127C">
        <w:rPr>
          <w:color w:val="000000"/>
          <w:sz w:val="20"/>
          <w:szCs w:val="20"/>
          <w:lang w:val="fr-FR"/>
        </w:rPr>
        <w:t xml:space="preserve"> </w:t>
      </w:r>
      <w:r w:rsidRPr="0039127C">
        <w:rPr>
          <w:smallCaps/>
          <w:color w:val="000000"/>
          <w:sz w:val="20"/>
          <w:szCs w:val="20"/>
          <w:lang w:val="fr-FR"/>
        </w:rPr>
        <w:t xml:space="preserve">SENAEVE, </w:t>
      </w:r>
      <w:r w:rsidRPr="0039127C">
        <w:rPr>
          <w:i/>
          <w:iCs/>
          <w:color w:val="000000"/>
          <w:sz w:val="20"/>
          <w:szCs w:val="20"/>
          <w:lang w:val="fr-FR"/>
        </w:rPr>
        <w:t>Compendium van het Personen- en Familierecht</w:t>
      </w:r>
      <w:r w:rsidRPr="0039127C">
        <w:rPr>
          <w:color w:val="000000"/>
          <w:sz w:val="20"/>
          <w:szCs w:val="20"/>
          <w:lang w:val="fr-FR"/>
        </w:rPr>
        <w:t xml:space="preserve">, Leuven, Acco, 2015, 222, nr. 655; </w:t>
      </w:r>
      <w:r w:rsidRPr="0039127C">
        <w:rPr>
          <w:smallCaps/>
          <w:sz w:val="20"/>
          <w:szCs w:val="20"/>
          <w:lang w:val="fr-FR"/>
        </w:rPr>
        <w:t xml:space="preserve">F. SWENNEN, </w:t>
      </w:r>
      <w:r w:rsidRPr="0039127C">
        <w:rPr>
          <w:i/>
          <w:iCs/>
          <w:sz w:val="20"/>
          <w:szCs w:val="20"/>
          <w:lang w:val="fr-FR"/>
        </w:rPr>
        <w:t>Het personen- en familierecht</w:t>
      </w:r>
      <w:r w:rsidRPr="0039127C">
        <w:rPr>
          <w:sz w:val="20"/>
          <w:szCs w:val="20"/>
          <w:lang w:val="fr-FR"/>
        </w:rPr>
        <w:t xml:space="preserve">, Antwerpen, Intersentia, 2015, 435, nr. 714; </w:t>
      </w:r>
      <w:r w:rsidRPr="002F3FDE">
        <w:rPr>
          <w:smallCaps/>
          <w:sz w:val="20"/>
          <w:szCs w:val="20"/>
          <w:lang w:val="fr-BE"/>
        </w:rPr>
        <w:t xml:space="preserve">A.-C. </w:t>
      </w:r>
      <w:r>
        <w:rPr>
          <w:smallCaps/>
          <w:sz w:val="20"/>
          <w:szCs w:val="20"/>
          <w:lang w:val="fr-BE"/>
        </w:rPr>
        <w:t>VAN GYSEL</w:t>
      </w:r>
      <w:r w:rsidRPr="002F3FDE">
        <w:rPr>
          <w:smallCaps/>
          <w:sz w:val="20"/>
          <w:szCs w:val="20"/>
          <w:lang w:val="fr-BE"/>
        </w:rPr>
        <w:t xml:space="preserve">, </w:t>
      </w:r>
      <w:r w:rsidRPr="002F3FDE">
        <w:rPr>
          <w:i/>
          <w:iCs/>
          <w:sz w:val="20"/>
          <w:szCs w:val="20"/>
          <w:lang w:val="fr-BE"/>
        </w:rPr>
        <w:t>De Page Traité de droit civil belge</w:t>
      </w:r>
      <w:r w:rsidRPr="002F3FDE">
        <w:rPr>
          <w:sz w:val="20"/>
          <w:szCs w:val="20"/>
          <w:lang w:val="fr-BE"/>
        </w:rPr>
        <w:t xml:space="preserve">, I, </w:t>
      </w:r>
      <w:r w:rsidRPr="00AF37DC">
        <w:rPr>
          <w:i/>
          <w:sz w:val="20"/>
          <w:szCs w:val="20"/>
          <w:lang w:val="fr-BE"/>
        </w:rPr>
        <w:t>Les personnes,</w:t>
      </w:r>
      <w:r w:rsidRPr="002F3FDE">
        <w:rPr>
          <w:sz w:val="20"/>
          <w:szCs w:val="20"/>
          <w:lang w:val="fr-BE"/>
        </w:rPr>
        <w:t xml:space="preserve"> vol. </w:t>
      </w:r>
      <w:r w:rsidRPr="002F3FDE">
        <w:rPr>
          <w:sz w:val="20"/>
          <w:szCs w:val="20"/>
        </w:rPr>
        <w:t>I, Brussel, Bruylant, 2015, 613, nr. 649</w:t>
      </w:r>
      <w:r>
        <w:rPr>
          <w:sz w:val="20"/>
          <w:szCs w:val="20"/>
        </w:rPr>
        <w:t>;</w:t>
      </w:r>
      <w:r w:rsidRPr="002F3FDE">
        <w:rPr>
          <w:sz w:val="20"/>
          <w:szCs w:val="20"/>
        </w:rPr>
        <w:t xml:space="preserve"> </w:t>
      </w:r>
      <w:r w:rsidRPr="002F3FDE">
        <w:rPr>
          <w:smallCaps/>
          <w:sz w:val="20"/>
          <w:szCs w:val="20"/>
        </w:rPr>
        <w:t xml:space="preserve">G. </w:t>
      </w:r>
      <w:r>
        <w:rPr>
          <w:smallCaps/>
          <w:sz w:val="20"/>
          <w:szCs w:val="20"/>
        </w:rPr>
        <w:t>VERSCHELDEN</w:t>
      </w:r>
      <w:r w:rsidRPr="002F3FDE">
        <w:rPr>
          <w:smallCaps/>
          <w:sz w:val="20"/>
          <w:szCs w:val="20"/>
        </w:rPr>
        <w:t xml:space="preserve">, </w:t>
      </w:r>
      <w:r w:rsidRPr="002F3FDE">
        <w:rPr>
          <w:i/>
          <w:iCs/>
          <w:sz w:val="20"/>
          <w:szCs w:val="20"/>
        </w:rPr>
        <w:t>Handboek Belgisch familierecht,</w:t>
      </w:r>
      <w:r w:rsidRPr="002F3FDE">
        <w:rPr>
          <w:sz w:val="20"/>
          <w:szCs w:val="20"/>
        </w:rPr>
        <w:t xml:space="preserve"> Brugge, Die Keure, 2010, 24, nr. 40.</w:t>
      </w:r>
    </w:p>
  </w:footnote>
  <w:footnote w:id="22">
    <w:p w:rsidR="002A0E74" w:rsidRDefault="002A0E74" w:rsidP="00CE252B">
      <w:pPr>
        <w:pStyle w:val="FootnoteText"/>
      </w:pPr>
      <w:r w:rsidRPr="00187999">
        <w:rPr>
          <w:rStyle w:val="FootnoteReference"/>
        </w:rPr>
        <w:footnoteRef/>
      </w:r>
      <w:r w:rsidRPr="00187999">
        <w:t xml:space="preserve"> </w:t>
      </w:r>
      <w:r w:rsidRPr="00187999">
        <w:t>Art</w:t>
      </w:r>
      <w:r>
        <w:t xml:space="preserve">. </w:t>
      </w:r>
      <w:r w:rsidRPr="00187999">
        <w:t>315-317, 319, 319</w:t>
      </w:r>
      <w:r w:rsidRPr="00187999">
        <w:rPr>
          <w:i/>
          <w:iCs/>
        </w:rPr>
        <w:t>bis</w:t>
      </w:r>
      <w:r w:rsidRPr="00187999">
        <w:t>, 322, 324-325, 329</w:t>
      </w:r>
      <w:r w:rsidRPr="00187999">
        <w:rPr>
          <w:i/>
          <w:iCs/>
        </w:rPr>
        <w:t>bis</w:t>
      </w:r>
      <w:r>
        <w:t xml:space="preserve"> en</w:t>
      </w:r>
      <w:r w:rsidRPr="00187999">
        <w:t xml:space="preserve"> 332</w:t>
      </w:r>
      <w:r w:rsidRPr="00187999">
        <w:rPr>
          <w:i/>
          <w:iCs/>
        </w:rPr>
        <w:t xml:space="preserve">quinquies </w:t>
      </w:r>
      <w:r w:rsidRPr="00187999">
        <w:t xml:space="preserve">BW.; </w:t>
      </w:r>
      <w:r w:rsidRPr="00187999">
        <w:rPr>
          <w:smallCaps/>
        </w:rPr>
        <w:t xml:space="preserve">F. </w:t>
      </w:r>
      <w:r>
        <w:rPr>
          <w:smallCaps/>
        </w:rPr>
        <w:t>SWENNEN</w:t>
      </w:r>
      <w:r w:rsidRPr="00187999">
        <w:rPr>
          <w:smallCaps/>
        </w:rPr>
        <w:t xml:space="preserve">, </w:t>
      </w:r>
      <w:r w:rsidRPr="00AE4DA8">
        <w:rPr>
          <w:i/>
          <w:iCs/>
        </w:rPr>
        <w:t>Het personen- en familierecht</w:t>
      </w:r>
      <w:r w:rsidRPr="00187999">
        <w:t xml:space="preserve">, Antwerpen, Intersentia, 2015, 435, nr. 714; </w:t>
      </w:r>
      <w:r>
        <w:rPr>
          <w:smallCaps/>
        </w:rPr>
        <w:t xml:space="preserve">G. VERSCHELDEN, </w:t>
      </w:r>
      <w:r w:rsidRPr="00187999">
        <w:rPr>
          <w:i/>
          <w:iCs/>
        </w:rPr>
        <w:t>Handboek Belgisch familierecht,</w:t>
      </w:r>
      <w:r w:rsidRPr="00187999">
        <w:t xml:space="preserve"> Brugge, Die Keure, 2010, 37, nr. 74.</w:t>
      </w:r>
    </w:p>
  </w:footnote>
  <w:footnote w:id="23">
    <w:p w:rsidR="002A0E74" w:rsidRPr="0039103E" w:rsidRDefault="002A0E74">
      <w:pPr>
        <w:pStyle w:val="FootnoteText"/>
      </w:pPr>
      <w:r>
        <w:rPr>
          <w:rStyle w:val="FootnoteReference"/>
        </w:rPr>
        <w:footnoteRef/>
      </w:r>
      <w:r>
        <w:t xml:space="preserve"> </w:t>
      </w:r>
      <w:r w:rsidRPr="006E5DD4">
        <w:t xml:space="preserve">Wet 5 mei 2014 houdende de vaststelling van de afstamming van de meemoeder, </w:t>
      </w:r>
      <w:r w:rsidRPr="006E5DD4">
        <w:rPr>
          <w:i/>
          <w:iCs/>
        </w:rPr>
        <w:t>B.S.</w:t>
      </w:r>
      <w:r>
        <w:t xml:space="preserve"> 01 januari 2015.</w:t>
      </w:r>
    </w:p>
  </w:footnote>
  <w:footnote w:id="24">
    <w:p w:rsidR="002A0E74" w:rsidRPr="002A1989" w:rsidRDefault="002A0E74">
      <w:pPr>
        <w:pStyle w:val="FootnoteText"/>
        <w:rPr>
          <w:lang w:val="en-US"/>
        </w:rPr>
      </w:pPr>
      <w:r>
        <w:rPr>
          <w:rStyle w:val="FootnoteReference"/>
        </w:rPr>
        <w:footnoteRef/>
      </w:r>
      <w:r w:rsidRPr="0039103E">
        <w:rPr>
          <w:lang w:val="en-US"/>
        </w:rPr>
        <w:t xml:space="preserve"> </w:t>
      </w:r>
      <w:r>
        <w:rPr>
          <w:lang w:val="en-US"/>
        </w:rPr>
        <w:t xml:space="preserve">Art. </w:t>
      </w:r>
      <w:proofErr w:type="gramStart"/>
      <w:r>
        <w:rPr>
          <w:lang w:val="en-US"/>
        </w:rPr>
        <w:t>325/2 BW.</w:t>
      </w:r>
      <w:proofErr w:type="gramEnd"/>
    </w:p>
  </w:footnote>
  <w:footnote w:id="25">
    <w:p w:rsidR="002A0E74" w:rsidRPr="002A1989" w:rsidRDefault="002A0E74">
      <w:pPr>
        <w:pStyle w:val="FootnoteText"/>
        <w:rPr>
          <w:lang w:val="en-US"/>
        </w:rPr>
      </w:pPr>
      <w:r>
        <w:rPr>
          <w:rStyle w:val="FootnoteReference"/>
        </w:rPr>
        <w:footnoteRef/>
      </w:r>
      <w:r w:rsidRPr="0039103E">
        <w:rPr>
          <w:lang w:val="en-US"/>
        </w:rPr>
        <w:t xml:space="preserve"> </w:t>
      </w:r>
      <w:r>
        <w:rPr>
          <w:lang w:val="en-US"/>
        </w:rPr>
        <w:t xml:space="preserve">Art. </w:t>
      </w:r>
      <w:proofErr w:type="gramStart"/>
      <w:r>
        <w:rPr>
          <w:lang w:val="en-US"/>
        </w:rPr>
        <w:t>325/4 en 325/8 BW.</w:t>
      </w:r>
      <w:proofErr w:type="gramEnd"/>
      <w:r>
        <w:rPr>
          <w:lang w:val="en-US"/>
        </w:rPr>
        <w:t xml:space="preserve"> </w:t>
      </w:r>
    </w:p>
  </w:footnote>
  <w:footnote w:id="26">
    <w:p w:rsidR="002A0E74" w:rsidRDefault="002A0E74" w:rsidP="00CE252B">
      <w:pPr>
        <w:pStyle w:val="FootnoteText"/>
      </w:pPr>
      <w:r w:rsidRPr="00187999">
        <w:rPr>
          <w:rStyle w:val="FootnoteReference"/>
        </w:rPr>
        <w:footnoteRef/>
      </w:r>
      <w:r w:rsidRPr="00187999">
        <w:t xml:space="preserve">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 413-414, nr. 691.</w:t>
      </w:r>
    </w:p>
  </w:footnote>
  <w:footnote w:id="27">
    <w:p w:rsidR="002A0E74" w:rsidRDefault="002A0E74" w:rsidP="00CE252B">
      <w:pPr>
        <w:pStyle w:val="FootnoteText"/>
      </w:pPr>
      <w:r w:rsidRPr="00187999">
        <w:rPr>
          <w:rStyle w:val="FootnoteReference"/>
        </w:rPr>
        <w:footnoteRef/>
      </w:r>
      <w:r w:rsidRPr="00187999">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Leuven, Acco, 2015, 215</w:t>
      </w:r>
      <w:r w:rsidRPr="00187999">
        <w:rPr>
          <w:color w:val="000000"/>
        </w:rPr>
        <w:t>, nr. 636;</w:t>
      </w:r>
      <w:r w:rsidRPr="00187999">
        <w:t xml:space="preserve">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 442, nr. 721.</w:t>
      </w:r>
    </w:p>
  </w:footnote>
  <w:footnote w:id="28">
    <w:p w:rsidR="002A0E74" w:rsidRDefault="002A0E74" w:rsidP="00E81B7C">
      <w:pPr>
        <w:pStyle w:val="FootnoteText"/>
      </w:pPr>
      <w:r w:rsidRPr="00187999">
        <w:rPr>
          <w:rStyle w:val="FootnoteReference"/>
        </w:rPr>
        <w:footnoteRef/>
      </w:r>
      <w:r w:rsidRPr="00187999">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Leuven, Acco, 2015, 215</w:t>
      </w:r>
      <w:r w:rsidRPr="00187999">
        <w:rPr>
          <w:color w:val="000000"/>
        </w:rPr>
        <w:t xml:space="preserve">, nr. 636;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 442, nr. 721.</w:t>
      </w:r>
    </w:p>
  </w:footnote>
  <w:footnote w:id="29">
    <w:p w:rsidR="002A0E74" w:rsidRDefault="002A0E74" w:rsidP="00E81B7C">
      <w:pPr>
        <w:pStyle w:val="FootnoteText"/>
      </w:pPr>
      <w:r w:rsidRPr="00187999">
        <w:rPr>
          <w:rStyle w:val="FootnoteReference"/>
        </w:rPr>
        <w:footnoteRef/>
      </w:r>
      <w:r w:rsidRPr="00187999">
        <w:t xml:space="preserve"> </w:t>
      </w:r>
      <w:r>
        <w:rPr>
          <w:smallCaps/>
        </w:rPr>
        <w:t xml:space="preserve">P. </w:t>
      </w:r>
      <w:r>
        <w:rPr>
          <w:smallCaps/>
          <w:color w:val="000000"/>
        </w:rPr>
        <w:t xml:space="preserve">BORGHS, </w:t>
      </w:r>
      <w:r>
        <w:rPr>
          <w:color w:val="000000"/>
        </w:rPr>
        <w:t xml:space="preserve">“Rechtspositie meemoeder. Van adoptieve naar oorspronkelijke juridische afstamming”, </w:t>
      </w:r>
      <w:r w:rsidRPr="00705CA6">
        <w:rPr>
          <w:i/>
          <w:iCs/>
          <w:color w:val="000000"/>
        </w:rPr>
        <w:t xml:space="preserve">NJW </w:t>
      </w:r>
      <w:r>
        <w:rPr>
          <w:color w:val="000000"/>
        </w:rPr>
        <w:t xml:space="preserve">2013, afl. 282, (382) 400, nr. 102;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 449, nr. 727.</w:t>
      </w:r>
    </w:p>
  </w:footnote>
  <w:footnote w:id="30">
    <w:p w:rsidR="002A0E74" w:rsidRPr="00D5153C" w:rsidRDefault="002A0E74" w:rsidP="004A2790">
      <w:pPr>
        <w:pStyle w:val="FootnoteText"/>
        <w:rPr>
          <w:color w:val="000000"/>
        </w:rPr>
      </w:pPr>
      <w:r w:rsidRPr="00187999">
        <w:rPr>
          <w:rStyle w:val="FootnoteReference"/>
        </w:rPr>
        <w:footnoteRef/>
      </w:r>
      <w:r>
        <w:t xml:space="preserve"> </w:t>
      </w:r>
      <w:r>
        <w:t xml:space="preserve">Art. 314, 318, §4, 325/1, en 319 BW.; Art. 27 en 56 MBV-Wet; </w:t>
      </w:r>
      <w:r>
        <w:rPr>
          <w:smallCaps/>
        </w:rPr>
        <w:t xml:space="preserve">P. </w:t>
      </w:r>
      <w:r>
        <w:rPr>
          <w:smallCaps/>
          <w:color w:val="000000"/>
        </w:rPr>
        <w:t xml:space="preserve">BORGHS, </w:t>
      </w:r>
      <w:r>
        <w:rPr>
          <w:color w:val="000000"/>
        </w:rPr>
        <w:t xml:space="preserve">“Rechtspositie meemoeder. Van adoptieve naar oorspronkelijke juridische afstamming”, </w:t>
      </w:r>
      <w:r w:rsidRPr="00705CA6">
        <w:rPr>
          <w:i/>
          <w:iCs/>
          <w:color w:val="000000"/>
        </w:rPr>
        <w:t xml:space="preserve">NJW </w:t>
      </w:r>
      <w:r>
        <w:rPr>
          <w:color w:val="000000"/>
        </w:rPr>
        <w:t>2013, afl. 282, (382) 400, nr. 103.</w:t>
      </w:r>
    </w:p>
  </w:footnote>
  <w:footnote w:id="31">
    <w:p w:rsidR="002A0E74" w:rsidRPr="00D5153C" w:rsidRDefault="002A0E74" w:rsidP="00E81B7C">
      <w:pPr>
        <w:pStyle w:val="FootnoteText"/>
        <w:rPr>
          <w:color w:val="000000"/>
        </w:rPr>
      </w:pPr>
      <w:r w:rsidRPr="00187999">
        <w:rPr>
          <w:rStyle w:val="FootnoteReference"/>
        </w:rPr>
        <w:footnoteRef/>
      </w:r>
      <w:r>
        <w:t xml:space="preserve"> </w:t>
      </w:r>
      <w:r>
        <w:t xml:space="preserve">Art. 314, 318, §4, 325/1, en 319 BW.; Art. 27 en 56 MBV-Wet; </w:t>
      </w:r>
      <w:r>
        <w:rPr>
          <w:smallCaps/>
        </w:rPr>
        <w:t xml:space="preserve">P. </w:t>
      </w:r>
      <w:r>
        <w:rPr>
          <w:smallCaps/>
          <w:color w:val="000000"/>
        </w:rPr>
        <w:t xml:space="preserve">BORGHS, </w:t>
      </w:r>
      <w:r>
        <w:rPr>
          <w:color w:val="000000"/>
        </w:rPr>
        <w:t xml:space="preserve">“Rechtspositie meemoeder. Van adoptieve naar oorspronkelijke juridische afstamming”, </w:t>
      </w:r>
      <w:r w:rsidRPr="00705CA6">
        <w:rPr>
          <w:i/>
          <w:iCs/>
          <w:color w:val="000000"/>
        </w:rPr>
        <w:t xml:space="preserve">NJW </w:t>
      </w:r>
      <w:r>
        <w:rPr>
          <w:color w:val="000000"/>
        </w:rPr>
        <w:t>2013, afl. 282, (382) 400, nr. 103.</w:t>
      </w:r>
    </w:p>
  </w:footnote>
  <w:footnote w:id="32">
    <w:p w:rsidR="002A0E74" w:rsidRPr="0039103E" w:rsidRDefault="002A0E74" w:rsidP="00E81B7C">
      <w:pPr>
        <w:pStyle w:val="FootnoteText"/>
      </w:pPr>
      <w:r>
        <w:rPr>
          <w:rStyle w:val="FootnoteReference"/>
        </w:rPr>
        <w:footnoteRef/>
      </w:r>
      <w:r>
        <w:t xml:space="preserve"> </w:t>
      </w:r>
      <w:r>
        <w:t>Art. 2,f MBV-W</w:t>
      </w:r>
      <w:r w:rsidRPr="002A1989">
        <w:t>et</w:t>
      </w:r>
      <w:r>
        <w:t>.</w:t>
      </w:r>
    </w:p>
  </w:footnote>
  <w:footnote w:id="33">
    <w:p w:rsidR="002A0E74" w:rsidRDefault="002A0E74" w:rsidP="00E81B7C">
      <w:pPr>
        <w:pStyle w:val="FootnoteText"/>
      </w:pPr>
      <w:r>
        <w:rPr>
          <w:rStyle w:val="FootnoteReference"/>
        </w:rPr>
        <w:footnoteRef/>
      </w:r>
      <w:r>
        <w:t xml:space="preserve">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w:t>
      </w:r>
      <w:r>
        <w:t>, 451, nr. 729.</w:t>
      </w:r>
    </w:p>
  </w:footnote>
  <w:footnote w:id="34">
    <w:p w:rsidR="002A0E74" w:rsidRDefault="002A0E74" w:rsidP="00E81B7C">
      <w:pPr>
        <w:pStyle w:val="FootnoteText"/>
      </w:pPr>
      <w:r>
        <w:rPr>
          <w:rStyle w:val="FootnoteReference"/>
        </w:rPr>
        <w:footnoteRef/>
      </w:r>
      <w:r>
        <w:t xml:space="preserve"> </w:t>
      </w:r>
      <w:r w:rsidRPr="006E5DD4">
        <w:t xml:space="preserve">Wet 5 mei 2014 houdende de vaststelling van de afstamming van de meemoeder, </w:t>
      </w:r>
      <w:r w:rsidRPr="006E5DD4">
        <w:rPr>
          <w:i/>
          <w:iCs/>
        </w:rPr>
        <w:t>B.S.</w:t>
      </w:r>
      <w:r w:rsidRPr="006E5DD4">
        <w:t xml:space="preserve"> 01 januari 2015</w:t>
      </w:r>
      <w:r>
        <w:t>.</w:t>
      </w:r>
    </w:p>
  </w:footnote>
  <w:footnote w:id="35">
    <w:p w:rsidR="002A0E74" w:rsidRDefault="002A0E74" w:rsidP="00E81B7C">
      <w:pPr>
        <w:pStyle w:val="FootnoteText"/>
      </w:pPr>
      <w:r>
        <w:rPr>
          <w:rStyle w:val="FootnoteReference"/>
        </w:rPr>
        <w:footnoteRef/>
      </w:r>
      <w:r>
        <w:t xml:space="preserve"> </w:t>
      </w:r>
      <w:r w:rsidRPr="00173534">
        <w:t xml:space="preserve">L. </w:t>
      </w:r>
      <w:r>
        <w:t>PLUYM</w:t>
      </w:r>
      <w:r w:rsidRPr="00173534">
        <w:t xml:space="preserve">, </w:t>
      </w:r>
      <w:r>
        <w:t>“Juridisch statuu</w:t>
      </w:r>
      <w:r w:rsidRPr="00173534">
        <w:t>t voor meemoeders</w:t>
      </w:r>
      <w:r>
        <w:t xml:space="preserve"> – commentaar bij de wet van 5 mei 2014”, </w:t>
      </w:r>
      <w:r w:rsidRPr="00173534">
        <w:rPr>
          <w:i/>
          <w:iCs/>
        </w:rPr>
        <w:t xml:space="preserve">T. Fam. </w:t>
      </w:r>
      <w:r w:rsidRPr="00173534">
        <w:t>2015</w:t>
      </w:r>
      <w:r>
        <w:t xml:space="preserve">, afl. 1, 5, nr. 2; </w:t>
      </w:r>
      <w:r>
        <w:rPr>
          <w:smallCaps/>
        </w:rPr>
        <w:t xml:space="preserve">L. PLUYM, </w:t>
      </w:r>
      <w:r>
        <w:t xml:space="preserve">“Belgisch afstammingsrecht, quo vadis? Draagmoederschap en meemoederschap” </w:t>
      </w:r>
      <w:r w:rsidRPr="00CF6AB9">
        <w:t xml:space="preserve">in </w:t>
      </w:r>
      <w:r>
        <w:rPr>
          <w:smallCaps/>
        </w:rPr>
        <w:t>DE WISPELAERE</w:t>
      </w:r>
      <w:r w:rsidRPr="00CF6AB9">
        <w:rPr>
          <w:smallCaps/>
        </w:rPr>
        <w:t>, K. (</w:t>
      </w:r>
      <w:r w:rsidRPr="00CF6AB9">
        <w:t>ed.), Personen- en familierecht, Brussel, Larcier, 2015,</w:t>
      </w:r>
      <w:r>
        <w:t xml:space="preserve"> (77) 77, nr. 2.</w:t>
      </w:r>
    </w:p>
  </w:footnote>
  <w:footnote w:id="36">
    <w:p w:rsidR="002A0E74" w:rsidRDefault="002A0E74" w:rsidP="00E81B7C">
      <w:pPr>
        <w:pStyle w:val="FootnoteText"/>
      </w:pPr>
      <w:r>
        <w:rPr>
          <w:rStyle w:val="FootnoteReference"/>
        </w:rPr>
        <w:footnoteRef/>
      </w:r>
      <w:r>
        <w:t xml:space="preserve">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w:t>
      </w:r>
      <w:r>
        <w:t>, 451, nr. 729.</w:t>
      </w:r>
    </w:p>
  </w:footnote>
  <w:footnote w:id="37">
    <w:p w:rsidR="002A0E74" w:rsidRDefault="002A0E74" w:rsidP="005B1D95">
      <w:pPr>
        <w:pStyle w:val="FootnoteText"/>
      </w:pPr>
      <w:r w:rsidRPr="00187999">
        <w:rPr>
          <w:rStyle w:val="FootnoteReference"/>
        </w:rPr>
        <w:footnoteRef/>
      </w:r>
      <w:r w:rsidRPr="00187999">
        <w:t xml:space="preserve"> </w:t>
      </w:r>
      <w:r w:rsidRPr="00187999">
        <w:rPr>
          <w:smallCaps/>
        </w:rPr>
        <w:t xml:space="preserve">H. </w:t>
      </w:r>
      <w:r>
        <w:rPr>
          <w:smallCaps/>
        </w:rPr>
        <w:t>CASMAN</w:t>
      </w:r>
      <w:r w:rsidRPr="00187999">
        <w:rPr>
          <w:smallCaps/>
        </w:rPr>
        <w:t>,</w:t>
      </w:r>
      <w:r w:rsidRPr="00187999">
        <w:t xml:space="preserve"> “Gehuwd, wettelijk of feitelijk samenwonend: wat maakt het uit? Gevolgen ten aanzien van de kinderen.” in </w:t>
      </w:r>
      <w:r>
        <w:rPr>
          <w:smallCaps/>
        </w:rPr>
        <w:t>FORDER</w:t>
      </w:r>
      <w:r w:rsidRPr="00187999">
        <w:rPr>
          <w:smallCaps/>
        </w:rPr>
        <w:t xml:space="preserve">, C. </w:t>
      </w:r>
      <w:r w:rsidRPr="00187999">
        <w:t xml:space="preserve">en </w:t>
      </w:r>
      <w:r>
        <w:rPr>
          <w:smallCaps/>
        </w:rPr>
        <w:t>VERBEKE</w:t>
      </w:r>
      <w:r w:rsidRPr="00187999">
        <w:rPr>
          <w:smallCaps/>
        </w:rPr>
        <w:t>, A. (</w:t>
      </w:r>
      <w:r w:rsidRPr="00187999">
        <w:t xml:space="preserve">eds.), </w:t>
      </w:r>
      <w:r w:rsidRPr="00187999">
        <w:rPr>
          <w:i/>
          <w:iCs/>
        </w:rPr>
        <w:t xml:space="preserve">Gehuwd of niet: maakt het iets uit?, </w:t>
      </w:r>
      <w:r w:rsidRPr="00187999">
        <w:t xml:space="preserve">Antwerpen-Groningen, Intersentia, 2005, </w:t>
      </w:r>
      <w:r>
        <w:t xml:space="preserve">(231) </w:t>
      </w:r>
      <w:r w:rsidRPr="00187999">
        <w:t xml:space="preserve">247, nr. 60; </w:t>
      </w:r>
      <w:r>
        <w:rPr>
          <w:smallCaps/>
        </w:rPr>
        <w:t>H. CASMAN,</w:t>
      </w:r>
      <w:r w:rsidRPr="00187999">
        <w:rPr>
          <w:smallCaps/>
        </w:rPr>
        <w:t xml:space="preserve"> “</w:t>
      </w:r>
      <w:r w:rsidRPr="00187999">
        <w:t xml:space="preserve">Actueel Belgisch afstammingsrecht in vogelvlucht.”, </w:t>
      </w:r>
      <w:r w:rsidRPr="00187999">
        <w:rPr>
          <w:i/>
          <w:iCs/>
        </w:rPr>
        <w:t>Not.Fisc.M.</w:t>
      </w:r>
      <w:r w:rsidRPr="00187999">
        <w:t xml:space="preserve"> 2008, afl. 4, </w:t>
      </w:r>
      <w:r>
        <w:t xml:space="preserve">(119) </w:t>
      </w:r>
      <w:r w:rsidRPr="00187999">
        <w:t xml:space="preserve">121;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rsidRPr="00187999">
        <w:t xml:space="preserve"> 2006, afl. 10, </w:t>
      </w:r>
      <w:r>
        <w:t xml:space="preserve">(567) </w:t>
      </w:r>
      <w:r w:rsidRPr="00187999">
        <w:t xml:space="preserve">567, nr. 1; </w:t>
      </w:r>
      <w:r>
        <w:rPr>
          <w:smallCaps/>
        </w:rPr>
        <w:t>KINDERRECHTENCOMMISSARIAAT</w:t>
      </w:r>
      <w:r w:rsidRPr="00187999">
        <w:rPr>
          <w:i/>
          <w:iCs/>
          <w:smallCaps/>
        </w:rPr>
        <w:t xml:space="preserve">, </w:t>
      </w:r>
      <w:r w:rsidRPr="00187999">
        <w:rPr>
          <w:i/>
          <w:iCs/>
        </w:rPr>
        <w:t>Kinderen &amp; scheiding</w:t>
      </w:r>
      <w:r w:rsidRPr="00187999">
        <w:t xml:space="preserve">, Brussel, </w:t>
      </w:r>
      <w:r>
        <w:rPr>
          <w:color w:val="000000"/>
        </w:rPr>
        <w:t>Kinderrechtencommissariaat</w:t>
      </w:r>
      <w:r w:rsidRPr="00187999">
        <w:t xml:space="preserve">, 2006, 59-60; </w:t>
      </w:r>
      <w:r w:rsidRPr="00187999">
        <w:rPr>
          <w:smallCaps/>
        </w:rPr>
        <w:t xml:space="preserve">T. </w:t>
      </w:r>
      <w:r>
        <w:rPr>
          <w:smallCaps/>
        </w:rPr>
        <w:t>ROBERT</w:t>
      </w:r>
      <w:r w:rsidRPr="00187999">
        <w:rPr>
          <w:smallCaps/>
        </w:rPr>
        <w:t xml:space="preserve">, </w:t>
      </w:r>
      <w:r w:rsidRPr="00187999">
        <w:t xml:space="preserve">“Naar een afstammingsloos gezag?” (noot onder Arbitragehof 8 oktober 2003), </w:t>
      </w:r>
      <w:r w:rsidRPr="00187999">
        <w:rPr>
          <w:i/>
          <w:iCs/>
        </w:rPr>
        <w:t>TJK</w:t>
      </w:r>
      <w:r w:rsidRPr="00187999">
        <w:t xml:space="preserve"> 2004,</w:t>
      </w:r>
      <w:r>
        <w:t xml:space="preserve"> (39)</w:t>
      </w:r>
      <w:r w:rsidRPr="00187999">
        <w:t xml:space="preserve"> 40, nr 2;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rsidRPr="00187999">
        <w:t xml:space="preserve">en </w:t>
      </w:r>
      <w:r>
        <w:rPr>
          <w:smallCaps/>
        </w:rPr>
        <w:t>VERSCHELDEN</w:t>
      </w:r>
      <w:r w:rsidRPr="00187999">
        <w:rPr>
          <w:smallCaps/>
        </w:rPr>
        <w:t>, G.</w:t>
      </w:r>
      <w:r w:rsidRPr="00187999">
        <w:t xml:space="preserve"> (eds.), </w:t>
      </w:r>
      <w:r w:rsidRPr="00187999">
        <w:rPr>
          <w:i/>
          <w:iCs/>
        </w:rPr>
        <w:t>Ouders en kinderen</w:t>
      </w:r>
      <w:r w:rsidRPr="00187999">
        <w:t xml:space="preserve">, Antwerpen, Intersentia, 2013, </w:t>
      </w:r>
      <w:r>
        <w:t xml:space="preserve">(257) </w:t>
      </w:r>
      <w:r w:rsidRPr="00187999">
        <w:t xml:space="preserve">264 en 277-278, nr. 326 en 344; </w:t>
      </w:r>
      <w:r w:rsidRPr="00187999">
        <w:rPr>
          <w:smallCaps/>
        </w:rPr>
        <w:t xml:space="preserve">A. </w:t>
      </w:r>
      <w:r>
        <w:rPr>
          <w:smallCaps/>
        </w:rPr>
        <w:t>VANDEKERCKHOVE</w:t>
      </w:r>
      <w:r w:rsidRPr="00187999">
        <w:rPr>
          <w:smallCaps/>
        </w:rPr>
        <w:t>, “</w:t>
      </w:r>
      <w:r w:rsidRPr="00187999">
        <w:t xml:space="preserve">Zorgouderschap? Meerdere ouderschapsstatuten voor één kind?”, </w:t>
      </w:r>
      <w:r w:rsidRPr="00187999">
        <w:rPr>
          <w:i/>
          <w:iCs/>
        </w:rPr>
        <w:t>TJK</w:t>
      </w:r>
      <w:r w:rsidRPr="00187999">
        <w:t xml:space="preserve"> 2006, </w:t>
      </w:r>
      <w:r>
        <w:t xml:space="preserve">(256) </w:t>
      </w:r>
      <w:r w:rsidRPr="00187999">
        <w:t xml:space="preserve">256-257; </w:t>
      </w:r>
      <w:r w:rsidRPr="00187999">
        <w:rPr>
          <w:smallCaps/>
        </w:rPr>
        <w:t xml:space="preserve">G. </w:t>
      </w:r>
      <w:r>
        <w:rPr>
          <w:smallCaps/>
        </w:rPr>
        <w:t>VERSCHELDEN</w:t>
      </w:r>
      <w:r w:rsidRPr="00187999">
        <w:rPr>
          <w:smallCaps/>
        </w:rPr>
        <w:t xml:space="preserve">, </w:t>
      </w:r>
      <w:r w:rsidRPr="00187999">
        <w:rPr>
          <w:i/>
          <w:iCs/>
        </w:rPr>
        <w:t>Handboek Belgisch familierecht,</w:t>
      </w:r>
      <w:r w:rsidRPr="00187999">
        <w:t xml:space="preserve"> Brugge, Die Keure, 2010, 10, nr. 17;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135, nr. 136.</w:t>
      </w:r>
    </w:p>
  </w:footnote>
  <w:footnote w:id="38">
    <w:p w:rsidR="002A0E74" w:rsidRDefault="002A0E74" w:rsidP="005B1D95">
      <w:pPr>
        <w:pStyle w:val="FootnoteText"/>
      </w:pPr>
      <w:r w:rsidRPr="00187999">
        <w:rPr>
          <w:rStyle w:val="FootnoteReference"/>
        </w:rPr>
        <w:footnoteRef/>
      </w:r>
      <w:r>
        <w:rPr>
          <w:smallCaps/>
        </w:rPr>
        <w:t xml:space="preserve"> </w:t>
      </w:r>
      <w:r>
        <w:rPr>
          <w:smallCaps/>
        </w:rPr>
        <w:t>M.-T. MEULDERS-KLEIN</w:t>
      </w:r>
      <w:r w:rsidRPr="00A43D35">
        <w:t xml:space="preserve">, </w:t>
      </w:r>
      <w:r w:rsidRPr="00A43D35">
        <w:rPr>
          <w:i/>
          <w:iCs/>
        </w:rPr>
        <w:t>Adoption et formes alternatives d’accueil</w:t>
      </w:r>
      <w:r>
        <w:rPr>
          <w:i/>
          <w:iCs/>
        </w:rPr>
        <w:t>: droit belge et droit comparé</w:t>
      </w:r>
      <w:r w:rsidRPr="00A43D35">
        <w:t>, Bru</w:t>
      </w:r>
      <w:r>
        <w:t>ssel, Story-Scientia, 1990, 37, nr. 1</w:t>
      </w:r>
      <w:r w:rsidRPr="00A43D35">
        <w:t xml:space="preserve">; </w:t>
      </w:r>
      <w:r w:rsidRPr="00A43D35">
        <w:rPr>
          <w:smallCaps/>
        </w:rPr>
        <w:t>P.</w:t>
      </w:r>
      <w:r w:rsidRPr="00A43D35">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Pr>
          <w:color w:val="000000"/>
        </w:rPr>
        <w:t>, Leuven, Acco, 2015, 280</w:t>
      </w:r>
      <w:r w:rsidRPr="00187999">
        <w:rPr>
          <w:color w:val="000000"/>
        </w:rPr>
        <w:t xml:space="preserve">, nr. 851; </w:t>
      </w:r>
      <w:r w:rsidRPr="00187999">
        <w:rPr>
          <w:smallCaps/>
        </w:rPr>
        <w:t xml:space="preserve">F. </w:t>
      </w:r>
      <w:r>
        <w:rPr>
          <w:smallCaps/>
          <w:color w:val="000000"/>
        </w:rPr>
        <w:t>SWENNEN</w:t>
      </w:r>
      <w:r w:rsidRPr="00187999">
        <w:rPr>
          <w:smallCaps/>
          <w:color w:val="000000"/>
        </w:rPr>
        <w:t xml:space="preserve">, </w:t>
      </w:r>
      <w:r w:rsidRPr="00187999">
        <w:rPr>
          <w:i/>
          <w:iCs/>
          <w:color w:val="000000"/>
        </w:rPr>
        <w:t>Familierecht in kort bestek,</w:t>
      </w:r>
      <w:r>
        <w:rPr>
          <w:color w:val="000000"/>
        </w:rPr>
        <w:t xml:space="preserve"> Antwerpen, Intersentia, 2008</w:t>
      </w:r>
      <w:r w:rsidRPr="00187999">
        <w:rPr>
          <w:color w:val="000000"/>
        </w:rPr>
        <w:t>, 7</w:t>
      </w:r>
      <w:r>
        <w:rPr>
          <w:color w:val="000000"/>
        </w:rPr>
        <w:t>7</w:t>
      </w:r>
      <w:r w:rsidRPr="00187999">
        <w:rPr>
          <w:color w:val="000000"/>
        </w:rPr>
        <w:t>, nr. 1</w:t>
      </w:r>
      <w:r>
        <w:rPr>
          <w:color w:val="000000"/>
        </w:rPr>
        <w:t>89</w:t>
      </w:r>
      <w:r w:rsidRPr="00187999">
        <w:rPr>
          <w:color w:val="000000"/>
        </w:rPr>
        <w:t>.</w:t>
      </w:r>
    </w:p>
  </w:footnote>
  <w:footnote w:id="39">
    <w:p w:rsidR="002A0E74" w:rsidRDefault="002A0E74" w:rsidP="00A02CB1">
      <w:pPr>
        <w:pStyle w:val="FootnoteText"/>
      </w:pPr>
      <w:r w:rsidRPr="00187999">
        <w:rPr>
          <w:rStyle w:val="FootnoteReference"/>
        </w:rPr>
        <w:footnoteRef/>
      </w:r>
      <w:r w:rsidRPr="00187999">
        <w:t xml:space="preserve"> </w:t>
      </w:r>
      <w:r w:rsidRPr="00187999">
        <w:rPr>
          <w:smallCaps/>
        </w:rPr>
        <w:t xml:space="preserve">F. </w:t>
      </w:r>
      <w:r>
        <w:rPr>
          <w:smallCaps/>
        </w:rPr>
        <w:t>SWENNEN</w:t>
      </w:r>
      <w:r w:rsidRPr="00187999">
        <w:rPr>
          <w:smallCaps/>
        </w:rPr>
        <w:t xml:space="preserve">, </w:t>
      </w:r>
      <w:r w:rsidRPr="00AE4DA8">
        <w:rPr>
          <w:i/>
          <w:iCs/>
        </w:rPr>
        <w:t>Het personen- en familierecht, Antwerpen</w:t>
      </w:r>
      <w:r w:rsidRPr="00187999">
        <w:t>, Intersentia, 2015, 414-415, nr. 692.</w:t>
      </w:r>
    </w:p>
  </w:footnote>
  <w:footnote w:id="40">
    <w:p w:rsidR="002A0E74" w:rsidRDefault="002A0E74" w:rsidP="005B1D95">
      <w:pPr>
        <w:pStyle w:val="FootnoteText"/>
      </w:pPr>
      <w:r w:rsidRPr="00187999">
        <w:rPr>
          <w:rStyle w:val="FootnoteReference"/>
        </w:rPr>
        <w:footnoteRef/>
      </w:r>
      <w:r w:rsidRPr="00187999">
        <w:t xml:space="preserve"> </w:t>
      </w:r>
      <w:r>
        <w:t xml:space="preserve">Art. 343, §2 BW.;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Pr>
          <w:color w:val="000000"/>
        </w:rPr>
        <w:t>, Leuven, Acco, 2015, 281</w:t>
      </w:r>
      <w:r w:rsidRPr="00187999">
        <w:rPr>
          <w:color w:val="000000"/>
        </w:rPr>
        <w:t>, nr. 855;</w:t>
      </w:r>
      <w:r w:rsidRPr="00187999">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rsidRPr="00187999">
        <w:t xml:space="preserve">en </w:t>
      </w:r>
      <w:r>
        <w:rPr>
          <w:smallCaps/>
        </w:rPr>
        <w:t>VERSCHELDEN</w:t>
      </w:r>
      <w:r w:rsidRPr="00187999">
        <w:rPr>
          <w:smallCaps/>
        </w:rPr>
        <w:t>, G.</w:t>
      </w:r>
      <w:r w:rsidRPr="00187999">
        <w:t xml:space="preserve"> (eds.), </w:t>
      </w:r>
      <w:r w:rsidRPr="00187999">
        <w:rPr>
          <w:i/>
          <w:iCs/>
        </w:rPr>
        <w:t>Ouders en kinderen</w:t>
      </w:r>
      <w:r w:rsidRPr="00187999">
        <w:t xml:space="preserve">, Antwerpen, Intersentia, 2013, </w:t>
      </w:r>
      <w:r>
        <w:t xml:space="preserve">(257) </w:t>
      </w:r>
      <w:r w:rsidRPr="00187999">
        <w:t xml:space="preserve">277-278, nr. 344; </w:t>
      </w:r>
      <w:r w:rsidRPr="00187999">
        <w:rPr>
          <w:smallCaps/>
        </w:rPr>
        <w:t xml:space="preserve">F. </w:t>
      </w:r>
      <w:r>
        <w:rPr>
          <w:smallCaps/>
        </w:rPr>
        <w:t>SWENNEN</w:t>
      </w:r>
      <w:r w:rsidRPr="00187999">
        <w:rPr>
          <w:smallCaps/>
        </w:rPr>
        <w:t xml:space="preserve">, </w:t>
      </w:r>
      <w:r w:rsidRPr="00AE4DA8">
        <w:rPr>
          <w:i/>
          <w:iCs/>
        </w:rPr>
        <w:t>Het personen- en familierecht,</w:t>
      </w:r>
      <w:r w:rsidRPr="00187999">
        <w:t xml:space="preserve"> Antwerpen, Intersentia, 2015, 490, nr. 811; </w:t>
      </w:r>
      <w:r>
        <w:rPr>
          <w:smallCaps/>
        </w:rPr>
        <w:t xml:space="preserve">G. VERSCHELDEN, </w:t>
      </w:r>
      <w:r w:rsidRPr="00187999">
        <w:rPr>
          <w:i/>
          <w:iCs/>
        </w:rPr>
        <w:t>Handboek Belgisch familierecht,</w:t>
      </w:r>
      <w:r>
        <w:t xml:space="preserve"> Brugge, Die Keure, 2010, 226, </w:t>
      </w:r>
      <w:r w:rsidRPr="00187999">
        <w:t>nr. 533.</w:t>
      </w:r>
    </w:p>
  </w:footnote>
  <w:footnote w:id="41">
    <w:p w:rsidR="002A0E74" w:rsidRDefault="002A0E74" w:rsidP="00A02CB1">
      <w:pPr>
        <w:pStyle w:val="FootnoteText"/>
      </w:pPr>
      <w:r w:rsidRPr="00721EE1">
        <w:rPr>
          <w:rStyle w:val="FootnoteReference"/>
        </w:rPr>
        <w:footnoteRef/>
      </w:r>
      <w:r w:rsidRPr="00721EE1">
        <w:t xml:space="preserve"> </w:t>
      </w:r>
      <w:r>
        <w:t xml:space="preserve">Art. 356-1 BW.; </w:t>
      </w:r>
      <w:r w:rsidRPr="00721EE1">
        <w:rPr>
          <w:smallCaps/>
        </w:rPr>
        <w:t xml:space="preserve">P. </w:t>
      </w:r>
      <w:r>
        <w:rPr>
          <w:smallCaps/>
        </w:rPr>
        <w:t>SENAEVE</w:t>
      </w:r>
      <w:r w:rsidRPr="00721EE1">
        <w:rPr>
          <w:smallCaps/>
        </w:rPr>
        <w:t xml:space="preserve">, </w:t>
      </w:r>
      <w:r w:rsidRPr="00721EE1">
        <w:rPr>
          <w:i/>
          <w:iCs/>
        </w:rPr>
        <w:t>Compendium van het personen- en familierecht</w:t>
      </w:r>
      <w:r w:rsidRPr="00721EE1">
        <w:t>, Leuven, Acco, 2015, 310, nr. 975-976.</w:t>
      </w:r>
    </w:p>
  </w:footnote>
  <w:footnote w:id="42">
    <w:p w:rsidR="002A0E74" w:rsidRDefault="002A0E74" w:rsidP="00A02CB1">
      <w:pPr>
        <w:pStyle w:val="FootnoteText"/>
      </w:pPr>
      <w:r w:rsidRPr="00721EE1">
        <w:rPr>
          <w:rStyle w:val="FootnoteReference"/>
        </w:rPr>
        <w:footnoteRef/>
      </w:r>
      <w:r>
        <w:t xml:space="preserve"> </w:t>
      </w:r>
      <w:r>
        <w:t>Art. 356-1 BW.;</w:t>
      </w:r>
      <w:r w:rsidRPr="00721EE1">
        <w:t xml:space="preserve"> </w:t>
      </w:r>
      <w:r w:rsidRPr="00721EE1">
        <w:rPr>
          <w:smallCaps/>
        </w:rPr>
        <w:t xml:space="preserve">P. </w:t>
      </w:r>
      <w:r>
        <w:rPr>
          <w:smallCaps/>
        </w:rPr>
        <w:t>SENAEVE</w:t>
      </w:r>
      <w:r w:rsidRPr="00721EE1">
        <w:rPr>
          <w:smallCaps/>
        </w:rPr>
        <w:t xml:space="preserve">, </w:t>
      </w:r>
      <w:r w:rsidRPr="00721EE1">
        <w:rPr>
          <w:i/>
          <w:iCs/>
        </w:rPr>
        <w:t>Compendium van het personen- en familierecht</w:t>
      </w:r>
      <w:r w:rsidRPr="00721EE1">
        <w:t>, Leuven, Acco, 2015, 311, nr. 977.</w:t>
      </w:r>
    </w:p>
  </w:footnote>
  <w:footnote w:id="43">
    <w:p w:rsidR="002A0E74" w:rsidRDefault="002A0E74" w:rsidP="00A02CB1">
      <w:pPr>
        <w:pStyle w:val="FootnoteText"/>
      </w:pPr>
      <w:r w:rsidRPr="00721EE1">
        <w:rPr>
          <w:rStyle w:val="FootnoteReference"/>
        </w:rPr>
        <w:footnoteRef/>
      </w:r>
      <w:r w:rsidRPr="00721EE1">
        <w:t xml:space="preserve"> </w:t>
      </w:r>
      <w:r w:rsidRPr="00721EE1">
        <w:rPr>
          <w:smallCaps/>
        </w:rPr>
        <w:t>P.</w:t>
      </w:r>
      <w:r w:rsidRPr="00721EE1">
        <w:rPr>
          <w:color w:val="000000"/>
        </w:rPr>
        <w:t xml:space="preserve"> </w:t>
      </w:r>
      <w:r>
        <w:rPr>
          <w:smallCaps/>
          <w:color w:val="000000"/>
        </w:rPr>
        <w:t>SENAEVE</w:t>
      </w:r>
      <w:r w:rsidRPr="00721EE1">
        <w:rPr>
          <w:smallCaps/>
          <w:color w:val="000000"/>
        </w:rPr>
        <w:t xml:space="preserve">, </w:t>
      </w:r>
      <w:r w:rsidRPr="00721EE1">
        <w:rPr>
          <w:i/>
          <w:iCs/>
          <w:color w:val="000000"/>
        </w:rPr>
        <w:t>Compendium van het Personen- en Familierecht</w:t>
      </w:r>
      <w:r w:rsidRPr="00721EE1">
        <w:rPr>
          <w:color w:val="000000"/>
        </w:rPr>
        <w:t>, Leuven, Acco, 2015, 313, nr. 988.</w:t>
      </w:r>
    </w:p>
  </w:footnote>
  <w:footnote w:id="44">
    <w:p w:rsidR="002A0E74" w:rsidRDefault="002A0E74" w:rsidP="00A02CB1">
      <w:pPr>
        <w:pStyle w:val="FootnoteText"/>
      </w:pPr>
      <w:r w:rsidRPr="00721EE1">
        <w:rPr>
          <w:rStyle w:val="FootnoteReference"/>
        </w:rPr>
        <w:footnoteRef/>
      </w:r>
      <w:r w:rsidRPr="00721EE1">
        <w:t xml:space="preserve"> </w:t>
      </w:r>
      <w:r w:rsidRPr="00721EE1">
        <w:rPr>
          <w:smallCaps/>
        </w:rPr>
        <w:t>P.</w:t>
      </w:r>
      <w:r w:rsidRPr="00721EE1">
        <w:rPr>
          <w:color w:val="000000"/>
        </w:rPr>
        <w:t xml:space="preserve"> </w:t>
      </w:r>
      <w:r>
        <w:rPr>
          <w:smallCaps/>
          <w:color w:val="000000"/>
        </w:rPr>
        <w:t>SENAEVE</w:t>
      </w:r>
      <w:r w:rsidRPr="00721EE1">
        <w:rPr>
          <w:smallCaps/>
          <w:color w:val="000000"/>
        </w:rPr>
        <w:t xml:space="preserve">, </w:t>
      </w:r>
      <w:r w:rsidRPr="00721EE1">
        <w:rPr>
          <w:i/>
          <w:iCs/>
          <w:color w:val="000000"/>
        </w:rPr>
        <w:t>Compendium van het Personen- en Familierecht</w:t>
      </w:r>
      <w:r w:rsidRPr="00721EE1">
        <w:rPr>
          <w:color w:val="000000"/>
        </w:rPr>
        <w:t xml:space="preserve">, Leuven, Acco, 2015, 314, nr. 989; </w:t>
      </w:r>
      <w:r w:rsidRPr="00721EE1">
        <w:rPr>
          <w:smallCaps/>
        </w:rPr>
        <w:t xml:space="preserve">F. </w:t>
      </w:r>
      <w:r>
        <w:rPr>
          <w:smallCaps/>
        </w:rPr>
        <w:t>SWENNEN</w:t>
      </w:r>
      <w:r w:rsidRPr="00721EE1">
        <w:rPr>
          <w:smallCaps/>
        </w:rPr>
        <w:t xml:space="preserve">, </w:t>
      </w:r>
      <w:r w:rsidRPr="00721EE1">
        <w:rPr>
          <w:i/>
          <w:iCs/>
        </w:rPr>
        <w:t>Het personen- en familierecht</w:t>
      </w:r>
      <w:r w:rsidRPr="00721EE1">
        <w:t>, Antwerpen, Intersentia, 2015, 490, nr. 811.</w:t>
      </w:r>
    </w:p>
  </w:footnote>
  <w:footnote w:id="45">
    <w:p w:rsidR="002A0E74" w:rsidRDefault="002A0E74" w:rsidP="00A02CB1">
      <w:pPr>
        <w:pStyle w:val="FootnoteText"/>
      </w:pPr>
      <w:r w:rsidRPr="00721EE1">
        <w:rPr>
          <w:rStyle w:val="FootnoteReference"/>
        </w:rPr>
        <w:footnoteRef/>
      </w:r>
      <w:r w:rsidRPr="00721EE1">
        <w:t xml:space="preserve"> </w:t>
      </w:r>
      <w:r w:rsidRPr="00721EE1">
        <w:rPr>
          <w:smallCaps/>
        </w:rPr>
        <w:t>P.</w:t>
      </w:r>
      <w:r w:rsidRPr="00721EE1">
        <w:rPr>
          <w:color w:val="000000"/>
        </w:rPr>
        <w:t xml:space="preserve"> </w:t>
      </w:r>
      <w:r>
        <w:rPr>
          <w:smallCaps/>
          <w:color w:val="000000"/>
        </w:rPr>
        <w:t xml:space="preserve">SENAEVE, </w:t>
      </w:r>
      <w:r w:rsidRPr="00721EE1">
        <w:rPr>
          <w:i/>
          <w:iCs/>
          <w:color w:val="000000"/>
        </w:rPr>
        <w:t>Compendium van het Personen- en Familierecht</w:t>
      </w:r>
      <w:r w:rsidRPr="00721EE1">
        <w:rPr>
          <w:color w:val="000000"/>
        </w:rPr>
        <w:t xml:space="preserve">, Leuven, Acco, 2015, 314, nr. 990; </w:t>
      </w:r>
      <w:r w:rsidRPr="00721EE1">
        <w:rPr>
          <w:smallCaps/>
        </w:rPr>
        <w:t xml:space="preserve">F. </w:t>
      </w:r>
      <w:r>
        <w:rPr>
          <w:smallCaps/>
        </w:rPr>
        <w:t>SWENNEN</w:t>
      </w:r>
      <w:r w:rsidRPr="00721EE1">
        <w:rPr>
          <w:smallCaps/>
        </w:rPr>
        <w:t xml:space="preserve">, </w:t>
      </w:r>
      <w:r w:rsidRPr="00721EE1">
        <w:rPr>
          <w:i/>
          <w:iCs/>
        </w:rPr>
        <w:t>Het personen- en familierecht</w:t>
      </w:r>
      <w:r w:rsidRPr="00721EE1">
        <w:t>, Antwerpen, Intersentia, 2015, 490, nr. 811.</w:t>
      </w:r>
    </w:p>
  </w:footnote>
  <w:footnote w:id="46">
    <w:p w:rsidR="002A0E74" w:rsidRDefault="002A0E74" w:rsidP="006638C9">
      <w:pPr>
        <w:pStyle w:val="FootnoteText"/>
      </w:pPr>
      <w:r w:rsidRPr="00721EE1">
        <w:rPr>
          <w:rStyle w:val="FootnoteReference"/>
        </w:rPr>
        <w:footnoteRef/>
      </w:r>
      <w:r w:rsidRPr="00721EE1">
        <w:t xml:space="preserve"> </w:t>
      </w:r>
      <w:r w:rsidRPr="00721EE1">
        <w:rPr>
          <w:smallCaps/>
        </w:rPr>
        <w:t xml:space="preserve">R. </w:t>
      </w:r>
      <w:r>
        <w:rPr>
          <w:smallCaps/>
        </w:rPr>
        <w:t>UYTTENDAELE</w:t>
      </w:r>
      <w:r w:rsidRPr="00721EE1">
        <w:rPr>
          <w:smallCaps/>
        </w:rPr>
        <w:t>,</w:t>
      </w:r>
      <w:r w:rsidRPr="00721EE1">
        <w:t xml:space="preserve"> “De volle stiefouderadoptie: dode letter of uitzondering?”, </w:t>
      </w:r>
      <w:r w:rsidRPr="00721EE1">
        <w:rPr>
          <w:i/>
          <w:iCs/>
        </w:rPr>
        <w:t>RW</w:t>
      </w:r>
      <w:r w:rsidRPr="00721EE1">
        <w:t xml:space="preserve"> 1989-90, </w:t>
      </w:r>
      <w:r>
        <w:t xml:space="preserve">(1049) </w:t>
      </w:r>
      <w:r w:rsidRPr="00721EE1">
        <w:t>1050, nr. 2-3.</w:t>
      </w:r>
    </w:p>
  </w:footnote>
  <w:footnote w:id="47">
    <w:p w:rsidR="002A0E74" w:rsidRDefault="002A0E74" w:rsidP="006638C9">
      <w:pPr>
        <w:pStyle w:val="FootnoteText"/>
      </w:pPr>
      <w:r w:rsidRPr="00721EE1">
        <w:rPr>
          <w:rStyle w:val="FootnoteReference"/>
        </w:rPr>
        <w:footnoteRef/>
      </w:r>
      <w:r w:rsidRPr="00721EE1">
        <w:t xml:space="preserve"> </w:t>
      </w:r>
      <w:r w:rsidRPr="00721EE1">
        <w:rPr>
          <w:smallCaps/>
        </w:rPr>
        <w:t xml:space="preserve">P. </w:t>
      </w:r>
      <w:r>
        <w:rPr>
          <w:smallCaps/>
        </w:rPr>
        <w:t>SENAEVE</w:t>
      </w:r>
      <w:r w:rsidRPr="00721EE1">
        <w:rPr>
          <w:smallCaps/>
        </w:rPr>
        <w:t xml:space="preserve">, </w:t>
      </w:r>
      <w:r w:rsidRPr="00721EE1">
        <w:rPr>
          <w:i/>
          <w:iCs/>
        </w:rPr>
        <w:t>Compendium van het personen- en familierecht</w:t>
      </w:r>
      <w:r w:rsidRPr="00721EE1">
        <w:t>, Leuven, Acco, 2015, 281, nr. 854.</w:t>
      </w:r>
    </w:p>
  </w:footnote>
  <w:footnote w:id="48">
    <w:p w:rsidR="002A0E74" w:rsidRDefault="002A0E74" w:rsidP="006638C9">
      <w:pPr>
        <w:pStyle w:val="FootnoteText"/>
      </w:pPr>
      <w:r w:rsidRPr="00721EE1">
        <w:rPr>
          <w:rStyle w:val="FootnoteReference"/>
        </w:rPr>
        <w:footnoteRef/>
      </w:r>
      <w:r w:rsidRPr="00721EE1">
        <w:t xml:space="preserve"> </w:t>
      </w:r>
      <w:r w:rsidRPr="00721EE1">
        <w:rPr>
          <w:smallCaps/>
        </w:rPr>
        <w:t xml:space="preserve">P. </w:t>
      </w:r>
      <w:r>
        <w:rPr>
          <w:smallCaps/>
        </w:rPr>
        <w:t>SENAEVE</w:t>
      </w:r>
      <w:r w:rsidRPr="00721EE1">
        <w:rPr>
          <w:smallCaps/>
        </w:rPr>
        <w:t xml:space="preserve">, </w:t>
      </w:r>
      <w:r w:rsidRPr="00721EE1">
        <w:rPr>
          <w:i/>
          <w:iCs/>
        </w:rPr>
        <w:t>Compendium van het personen- en familierecht</w:t>
      </w:r>
      <w:r w:rsidRPr="00721EE1">
        <w:t>, Leuven, Acco, 2015, 310, nr. 975-976.</w:t>
      </w:r>
    </w:p>
  </w:footnote>
  <w:footnote w:id="49">
    <w:p w:rsidR="002A0E74" w:rsidRDefault="002A0E74" w:rsidP="006638C9">
      <w:pPr>
        <w:pStyle w:val="FootnoteText"/>
      </w:pPr>
      <w:r w:rsidRPr="00721EE1">
        <w:rPr>
          <w:rStyle w:val="FootnoteReference"/>
        </w:rPr>
        <w:footnoteRef/>
      </w:r>
      <w:r w:rsidRPr="00721EE1">
        <w:t xml:space="preserve"> </w:t>
      </w:r>
      <w:r w:rsidRPr="00721EE1">
        <w:rPr>
          <w:smallCaps/>
        </w:rPr>
        <w:t xml:space="preserve">P. </w:t>
      </w:r>
      <w:r>
        <w:rPr>
          <w:smallCaps/>
        </w:rPr>
        <w:t>SENAEVE</w:t>
      </w:r>
      <w:r w:rsidRPr="00721EE1">
        <w:rPr>
          <w:smallCaps/>
        </w:rPr>
        <w:t xml:space="preserve">, </w:t>
      </w:r>
      <w:r w:rsidRPr="00721EE1">
        <w:rPr>
          <w:i/>
          <w:iCs/>
        </w:rPr>
        <w:t>Compendium van het personen- en familierecht</w:t>
      </w:r>
      <w:r w:rsidRPr="00721EE1">
        <w:t>, Leuven, Acco, 2015, 311, nr. 977.</w:t>
      </w:r>
    </w:p>
  </w:footnote>
  <w:footnote w:id="50">
    <w:p w:rsidR="002A0E74" w:rsidRDefault="002A0E74" w:rsidP="006638C9">
      <w:r w:rsidRPr="00721EE1">
        <w:rPr>
          <w:rStyle w:val="FootnoteReference"/>
          <w:sz w:val="20"/>
          <w:szCs w:val="20"/>
        </w:rPr>
        <w:footnoteRef/>
      </w:r>
      <w:r>
        <w:rPr>
          <w:sz w:val="20"/>
          <w:szCs w:val="20"/>
        </w:rPr>
        <w:t xml:space="preserve"> </w:t>
      </w:r>
      <w:r>
        <w:rPr>
          <w:sz w:val="20"/>
          <w:szCs w:val="20"/>
        </w:rPr>
        <w:t>Art. 356-1, lid 3 BW.;</w:t>
      </w:r>
      <w:r w:rsidRPr="00721EE1">
        <w:rPr>
          <w:sz w:val="20"/>
          <w:szCs w:val="20"/>
        </w:rPr>
        <w:t xml:space="preserve"> Arbitragehof 6 november 1997,</w:t>
      </w:r>
      <w:r>
        <w:rPr>
          <w:sz w:val="20"/>
          <w:szCs w:val="20"/>
        </w:rPr>
        <w:t xml:space="preserve"> nr. 67/97,</w:t>
      </w:r>
      <w:r w:rsidRPr="00721EE1">
        <w:rPr>
          <w:sz w:val="20"/>
          <w:szCs w:val="20"/>
        </w:rPr>
        <w:t xml:space="preserve"> </w:t>
      </w:r>
      <w:r w:rsidRPr="00721EE1">
        <w:rPr>
          <w:i/>
          <w:iCs/>
          <w:sz w:val="20"/>
          <w:szCs w:val="20"/>
        </w:rPr>
        <w:t>RW</w:t>
      </w:r>
      <w:r w:rsidRPr="00721EE1">
        <w:rPr>
          <w:sz w:val="20"/>
          <w:szCs w:val="20"/>
        </w:rPr>
        <w:t xml:space="preserve"> 1997-98,1469; </w:t>
      </w:r>
      <w:r w:rsidRPr="00721EE1">
        <w:rPr>
          <w:smallCaps/>
          <w:sz w:val="20"/>
          <w:szCs w:val="20"/>
        </w:rPr>
        <w:t xml:space="preserve">A. </w:t>
      </w:r>
      <w:r>
        <w:rPr>
          <w:smallCaps/>
          <w:sz w:val="20"/>
          <w:szCs w:val="20"/>
        </w:rPr>
        <w:t xml:space="preserve">HUYGENS, </w:t>
      </w:r>
      <w:r w:rsidRPr="00721EE1">
        <w:rPr>
          <w:sz w:val="20"/>
          <w:szCs w:val="20"/>
        </w:rPr>
        <w:t xml:space="preserve">“Persoonlijk gezag over minderjarige kinderen: quo vadis?”, </w:t>
      </w:r>
      <w:r w:rsidRPr="00721EE1">
        <w:rPr>
          <w:i/>
          <w:iCs/>
          <w:sz w:val="20"/>
          <w:szCs w:val="20"/>
        </w:rPr>
        <w:t>TBBR</w:t>
      </w:r>
      <w:r w:rsidRPr="00721EE1">
        <w:rPr>
          <w:sz w:val="20"/>
          <w:szCs w:val="20"/>
        </w:rPr>
        <w:t xml:space="preserve"> 2006, afl. 10, </w:t>
      </w:r>
      <w:r>
        <w:rPr>
          <w:sz w:val="20"/>
          <w:szCs w:val="20"/>
        </w:rPr>
        <w:t xml:space="preserve">(567) </w:t>
      </w:r>
      <w:r w:rsidRPr="00721EE1">
        <w:rPr>
          <w:sz w:val="20"/>
          <w:szCs w:val="20"/>
        </w:rPr>
        <w:t xml:space="preserve">575, nr. 20; </w:t>
      </w:r>
      <w:r w:rsidRPr="00721EE1">
        <w:rPr>
          <w:smallCaps/>
          <w:sz w:val="20"/>
          <w:szCs w:val="20"/>
        </w:rPr>
        <w:t xml:space="preserve">F. </w:t>
      </w:r>
      <w:r>
        <w:rPr>
          <w:smallCaps/>
          <w:sz w:val="20"/>
          <w:szCs w:val="20"/>
        </w:rPr>
        <w:t>SWENNEN</w:t>
      </w:r>
      <w:r w:rsidRPr="00721EE1">
        <w:rPr>
          <w:smallCaps/>
          <w:sz w:val="20"/>
          <w:szCs w:val="20"/>
        </w:rPr>
        <w:t>, “</w:t>
      </w:r>
      <w:r w:rsidRPr="00721EE1">
        <w:rPr>
          <w:sz w:val="20"/>
          <w:szCs w:val="20"/>
        </w:rPr>
        <w:t xml:space="preserve">De juridische gevolgen van adoptie”, in </w:t>
      </w:r>
      <w:r>
        <w:rPr>
          <w:smallCaps/>
          <w:sz w:val="20"/>
          <w:szCs w:val="20"/>
        </w:rPr>
        <w:t>SENAEVE</w:t>
      </w:r>
      <w:r w:rsidRPr="00721EE1">
        <w:rPr>
          <w:smallCaps/>
          <w:sz w:val="20"/>
          <w:szCs w:val="20"/>
        </w:rPr>
        <w:t xml:space="preserve">, P. </w:t>
      </w:r>
      <w:r w:rsidRPr="00721EE1">
        <w:rPr>
          <w:sz w:val="20"/>
          <w:szCs w:val="20"/>
        </w:rPr>
        <w:t xml:space="preserve">en </w:t>
      </w:r>
      <w:r>
        <w:rPr>
          <w:smallCaps/>
          <w:sz w:val="20"/>
          <w:szCs w:val="20"/>
        </w:rPr>
        <w:t>SWENNEN</w:t>
      </w:r>
      <w:r w:rsidRPr="00721EE1">
        <w:rPr>
          <w:smallCaps/>
          <w:sz w:val="20"/>
          <w:szCs w:val="20"/>
        </w:rPr>
        <w:t xml:space="preserve">, F. </w:t>
      </w:r>
      <w:r w:rsidRPr="00721EE1">
        <w:rPr>
          <w:sz w:val="20"/>
          <w:szCs w:val="20"/>
        </w:rPr>
        <w:t xml:space="preserve">(eds.), </w:t>
      </w:r>
      <w:r w:rsidRPr="00721EE1">
        <w:rPr>
          <w:i/>
          <w:iCs/>
          <w:sz w:val="20"/>
          <w:szCs w:val="20"/>
        </w:rPr>
        <w:t>De hervorming van de interne en de internationale adoptie</w:t>
      </w:r>
      <w:r w:rsidRPr="00721EE1">
        <w:rPr>
          <w:sz w:val="20"/>
          <w:szCs w:val="20"/>
        </w:rPr>
        <w:t xml:space="preserve">, Antwerpen, Intersentia, 2006, </w:t>
      </w:r>
      <w:r>
        <w:rPr>
          <w:sz w:val="20"/>
          <w:szCs w:val="20"/>
        </w:rPr>
        <w:t xml:space="preserve">(121) </w:t>
      </w:r>
      <w:r w:rsidRPr="00721EE1">
        <w:rPr>
          <w:sz w:val="20"/>
          <w:szCs w:val="20"/>
        </w:rPr>
        <w:t xml:space="preserve">145, nr. 259; </w:t>
      </w:r>
      <w:r w:rsidRPr="00721EE1">
        <w:rPr>
          <w:smallCaps/>
          <w:sz w:val="20"/>
          <w:szCs w:val="20"/>
        </w:rPr>
        <w:t xml:space="preserve">F. </w:t>
      </w:r>
      <w:r>
        <w:rPr>
          <w:smallCaps/>
          <w:sz w:val="20"/>
          <w:szCs w:val="20"/>
        </w:rPr>
        <w:t>SWENNEN</w:t>
      </w:r>
      <w:r w:rsidRPr="00721EE1">
        <w:rPr>
          <w:smallCaps/>
          <w:sz w:val="20"/>
          <w:szCs w:val="20"/>
        </w:rPr>
        <w:t xml:space="preserve">, </w:t>
      </w:r>
      <w:r w:rsidRPr="00721EE1">
        <w:rPr>
          <w:i/>
          <w:iCs/>
          <w:sz w:val="20"/>
          <w:szCs w:val="20"/>
        </w:rPr>
        <w:t>Het personen- en familierecht</w:t>
      </w:r>
      <w:r w:rsidRPr="00721EE1">
        <w:rPr>
          <w:sz w:val="20"/>
          <w:szCs w:val="20"/>
        </w:rPr>
        <w:t xml:space="preserve">, Antwerpen, Intersentia, 2015, 506-507, nr. 852; </w:t>
      </w:r>
      <w:r w:rsidRPr="00721EE1">
        <w:rPr>
          <w:smallCaps/>
          <w:sz w:val="20"/>
          <w:szCs w:val="20"/>
        </w:rPr>
        <w:t xml:space="preserve">V. </w:t>
      </w:r>
      <w:r>
        <w:rPr>
          <w:smallCaps/>
          <w:sz w:val="20"/>
          <w:szCs w:val="20"/>
        </w:rPr>
        <w:t>VAN ASCH</w:t>
      </w:r>
      <w:r w:rsidRPr="00721EE1">
        <w:rPr>
          <w:sz w:val="20"/>
          <w:szCs w:val="20"/>
        </w:rPr>
        <w:t xml:space="preserve">, “Topics uit het adoptierecht toegelicht”, in </w:t>
      </w:r>
      <w:r>
        <w:rPr>
          <w:smallCaps/>
          <w:sz w:val="20"/>
          <w:szCs w:val="20"/>
        </w:rPr>
        <w:t>DE WISPELAERE</w:t>
      </w:r>
      <w:r w:rsidRPr="00721EE1">
        <w:rPr>
          <w:smallCaps/>
          <w:sz w:val="20"/>
          <w:szCs w:val="20"/>
        </w:rPr>
        <w:t>, K.</w:t>
      </w:r>
      <w:r w:rsidRPr="00721EE1">
        <w:rPr>
          <w:sz w:val="20"/>
          <w:szCs w:val="20"/>
        </w:rPr>
        <w:t xml:space="preserve"> (ed.), </w:t>
      </w:r>
      <w:r w:rsidRPr="00721EE1">
        <w:rPr>
          <w:i/>
          <w:iCs/>
          <w:sz w:val="20"/>
          <w:szCs w:val="20"/>
        </w:rPr>
        <w:t>Personen- en familierecht</w:t>
      </w:r>
      <w:r w:rsidRPr="00721EE1">
        <w:rPr>
          <w:sz w:val="20"/>
          <w:szCs w:val="20"/>
        </w:rPr>
        <w:t xml:space="preserve">, Brussel, Larcier, 2015, </w:t>
      </w:r>
      <w:r>
        <w:rPr>
          <w:sz w:val="20"/>
          <w:szCs w:val="20"/>
        </w:rPr>
        <w:t xml:space="preserve">(59) </w:t>
      </w:r>
      <w:r w:rsidRPr="00721EE1">
        <w:rPr>
          <w:sz w:val="20"/>
          <w:szCs w:val="20"/>
        </w:rPr>
        <w:t>70-71.</w:t>
      </w:r>
    </w:p>
  </w:footnote>
  <w:footnote w:id="51">
    <w:p w:rsidR="002A0E74" w:rsidRDefault="002A0E74" w:rsidP="006638C9">
      <w:pPr>
        <w:pStyle w:val="FootnoteText"/>
      </w:pPr>
      <w:r w:rsidRPr="00721EE1">
        <w:rPr>
          <w:rStyle w:val="FootnoteReference"/>
        </w:rPr>
        <w:footnoteRef/>
      </w:r>
      <w:r w:rsidRPr="00721EE1">
        <w:t xml:space="preserve"> </w:t>
      </w:r>
      <w:r w:rsidRPr="00721EE1">
        <w:rPr>
          <w:smallCaps/>
        </w:rPr>
        <w:t xml:space="preserve">P. </w:t>
      </w:r>
      <w:r>
        <w:rPr>
          <w:smallCaps/>
        </w:rPr>
        <w:t>SENAEVE</w:t>
      </w:r>
      <w:r w:rsidRPr="00721EE1">
        <w:rPr>
          <w:smallCaps/>
        </w:rPr>
        <w:t xml:space="preserve">, </w:t>
      </w:r>
      <w:r w:rsidRPr="00721EE1">
        <w:rPr>
          <w:i/>
          <w:iCs/>
        </w:rPr>
        <w:t>Compendium van het personen- en familierecht</w:t>
      </w:r>
      <w:r w:rsidRPr="00721EE1">
        <w:t>, Leuven, Acco, 2015, 310-311, nr. 975-977.</w:t>
      </w:r>
    </w:p>
  </w:footnote>
  <w:footnote w:id="52">
    <w:p w:rsidR="002A0E74" w:rsidRDefault="002A0E74" w:rsidP="006638C9">
      <w:pPr>
        <w:pStyle w:val="FootnoteText"/>
      </w:pPr>
      <w:r w:rsidRPr="00721EE1">
        <w:rPr>
          <w:rStyle w:val="FootnoteReference"/>
        </w:rPr>
        <w:footnoteRef/>
      </w:r>
      <w:r>
        <w:t xml:space="preserve"> </w:t>
      </w:r>
      <w:r w:rsidRPr="00721EE1">
        <w:t xml:space="preserve">Arbitragehof 6 november 1997, </w:t>
      </w:r>
      <w:r>
        <w:t xml:space="preserve">nr. 67/97, </w:t>
      </w:r>
      <w:r w:rsidRPr="00721EE1">
        <w:rPr>
          <w:i/>
          <w:iCs/>
        </w:rPr>
        <w:t>RW</w:t>
      </w:r>
      <w:r w:rsidRPr="00721EE1">
        <w:t xml:space="preserve"> 1997-98,1469</w:t>
      </w:r>
      <w:r>
        <w:t xml:space="preserve">; </w:t>
      </w:r>
      <w:r w:rsidRPr="00721EE1">
        <w:rPr>
          <w:smallCaps/>
        </w:rPr>
        <w:t xml:space="preserve">G. </w:t>
      </w:r>
      <w:r>
        <w:rPr>
          <w:smallCaps/>
        </w:rPr>
        <w:t>VERSCHELDEN</w:t>
      </w:r>
      <w:r w:rsidRPr="00721EE1">
        <w:rPr>
          <w:smallCaps/>
        </w:rPr>
        <w:t xml:space="preserve">, </w:t>
      </w:r>
      <w:r w:rsidRPr="00721EE1">
        <w:t>“Het belang van het kind bij stiefouderadoptie en partneradoptie: de onvoorspelbaarheid van artikel 21 I.V.R.K.” (noot onder Jeugdrb. Antwerpen (2</w:t>
      </w:r>
      <w:r w:rsidRPr="00721EE1">
        <w:rPr>
          <w:vertAlign w:val="superscript"/>
        </w:rPr>
        <w:t>e</w:t>
      </w:r>
      <w:r w:rsidRPr="00721EE1">
        <w:t xml:space="preserve"> Kamer) 11 januari 2000 ), </w:t>
      </w:r>
      <w:r w:rsidRPr="00721EE1">
        <w:rPr>
          <w:i/>
          <w:iCs/>
        </w:rPr>
        <w:t xml:space="preserve">TJK </w:t>
      </w:r>
      <w:r w:rsidRPr="00721EE1">
        <w:t>2000,</w:t>
      </w:r>
      <w:r>
        <w:t xml:space="preserve"> (70)</w:t>
      </w:r>
      <w:r w:rsidRPr="00721EE1">
        <w:t xml:space="preserve"> 71, nr. 16.</w:t>
      </w:r>
    </w:p>
  </w:footnote>
  <w:footnote w:id="53">
    <w:p w:rsidR="002A0E74" w:rsidRDefault="002A0E74" w:rsidP="006638C9">
      <w:pPr>
        <w:pStyle w:val="FootnoteText"/>
      </w:pPr>
      <w:r>
        <w:rPr>
          <w:rStyle w:val="FootnoteReference"/>
        </w:rPr>
        <w:footnoteRef/>
      </w:r>
      <w:r>
        <w:t xml:space="preserve"> </w:t>
      </w:r>
      <w:r w:rsidRPr="00721EE1">
        <w:rPr>
          <w:smallCaps/>
        </w:rPr>
        <w:t>P.</w:t>
      </w:r>
      <w:r w:rsidRPr="00721EE1">
        <w:rPr>
          <w:color w:val="000000"/>
        </w:rPr>
        <w:t xml:space="preserve"> </w:t>
      </w:r>
      <w:r>
        <w:rPr>
          <w:smallCaps/>
          <w:color w:val="000000"/>
        </w:rPr>
        <w:t xml:space="preserve">SENAEVE, </w:t>
      </w:r>
      <w:r w:rsidRPr="00721EE1">
        <w:rPr>
          <w:i/>
          <w:iCs/>
          <w:color w:val="000000"/>
        </w:rPr>
        <w:t>Compendium van het Personen- en Familierecht</w:t>
      </w:r>
      <w:r w:rsidRPr="00721EE1">
        <w:rPr>
          <w:color w:val="000000"/>
        </w:rPr>
        <w:t xml:space="preserve">, Leuven, Acco, 2015, 314, nr. 990; </w:t>
      </w:r>
      <w:r w:rsidRPr="00721EE1">
        <w:rPr>
          <w:smallCaps/>
        </w:rPr>
        <w:t xml:space="preserve">F. </w:t>
      </w:r>
      <w:r>
        <w:rPr>
          <w:smallCaps/>
        </w:rPr>
        <w:t>SWENNEN</w:t>
      </w:r>
      <w:r w:rsidRPr="00721EE1">
        <w:rPr>
          <w:smallCaps/>
        </w:rPr>
        <w:t xml:space="preserve">, </w:t>
      </w:r>
      <w:r w:rsidRPr="00721EE1">
        <w:rPr>
          <w:i/>
          <w:iCs/>
        </w:rPr>
        <w:t>Het personen- en familierecht</w:t>
      </w:r>
      <w:r w:rsidRPr="00721EE1">
        <w:t>, Antwerpen, Intersentia, 2015, 490, nr. 811.</w:t>
      </w:r>
    </w:p>
  </w:footnote>
  <w:footnote w:id="54">
    <w:p w:rsidR="002A0E74" w:rsidRDefault="002A0E74" w:rsidP="006638C9">
      <w:r w:rsidRPr="00721EE1">
        <w:rPr>
          <w:rStyle w:val="FootnoteReference"/>
          <w:sz w:val="20"/>
          <w:szCs w:val="20"/>
        </w:rPr>
        <w:footnoteRef/>
      </w:r>
      <w:r w:rsidRPr="00721EE1">
        <w:rPr>
          <w:sz w:val="20"/>
          <w:szCs w:val="20"/>
        </w:rPr>
        <w:t xml:space="preserve"> </w:t>
      </w:r>
      <w:r w:rsidRPr="00721EE1">
        <w:rPr>
          <w:smallCaps/>
          <w:sz w:val="20"/>
          <w:szCs w:val="20"/>
        </w:rPr>
        <w:t xml:space="preserve">A. </w:t>
      </w:r>
      <w:r>
        <w:rPr>
          <w:smallCaps/>
          <w:sz w:val="20"/>
          <w:szCs w:val="20"/>
        </w:rPr>
        <w:t>HUYGENS,</w:t>
      </w:r>
      <w:r w:rsidRPr="00721EE1">
        <w:rPr>
          <w:smallCaps/>
          <w:sz w:val="20"/>
          <w:szCs w:val="20"/>
        </w:rPr>
        <w:t xml:space="preserve"> </w:t>
      </w:r>
      <w:r w:rsidRPr="00721EE1">
        <w:rPr>
          <w:sz w:val="20"/>
          <w:szCs w:val="20"/>
        </w:rPr>
        <w:t xml:space="preserve">“Persoonlijk gezag over minderjarige kinderen: quo vadis?”, </w:t>
      </w:r>
      <w:r w:rsidRPr="00721EE1">
        <w:rPr>
          <w:i/>
          <w:iCs/>
          <w:sz w:val="20"/>
          <w:szCs w:val="20"/>
        </w:rPr>
        <w:t>TBBR</w:t>
      </w:r>
      <w:r w:rsidRPr="00721EE1">
        <w:rPr>
          <w:sz w:val="20"/>
          <w:szCs w:val="20"/>
        </w:rPr>
        <w:t xml:space="preserve"> 2006, afl. 10, </w:t>
      </w:r>
      <w:r>
        <w:rPr>
          <w:sz w:val="20"/>
          <w:szCs w:val="20"/>
        </w:rPr>
        <w:t>(567)</w:t>
      </w:r>
      <w:r w:rsidRPr="00187999">
        <w:rPr>
          <w:sz w:val="20"/>
          <w:szCs w:val="20"/>
        </w:rPr>
        <w:t xml:space="preserve"> </w:t>
      </w:r>
      <w:r w:rsidRPr="00721EE1">
        <w:rPr>
          <w:sz w:val="20"/>
          <w:szCs w:val="20"/>
        </w:rPr>
        <w:t>577, nr. 24.</w:t>
      </w:r>
    </w:p>
  </w:footnote>
  <w:footnote w:id="55">
    <w:p w:rsidR="002A0E74" w:rsidRDefault="002A0E74" w:rsidP="006A1D7E">
      <w:r w:rsidRPr="00187999">
        <w:rPr>
          <w:rStyle w:val="FootnoteReference"/>
          <w:sz w:val="20"/>
          <w:szCs w:val="20"/>
        </w:rPr>
        <w:footnoteRef/>
      </w:r>
      <w:r w:rsidRPr="00187999">
        <w:rPr>
          <w:sz w:val="20"/>
          <w:szCs w:val="20"/>
        </w:rPr>
        <w:t xml:space="preserve"> </w:t>
      </w:r>
      <w:r w:rsidRPr="00187999">
        <w:rPr>
          <w:smallCaps/>
          <w:sz w:val="20"/>
          <w:szCs w:val="20"/>
        </w:rPr>
        <w:t xml:space="preserve">A. </w:t>
      </w:r>
      <w:r>
        <w:rPr>
          <w:smallCaps/>
          <w:sz w:val="20"/>
          <w:szCs w:val="20"/>
        </w:rPr>
        <w:t xml:space="preserve">HUYGENS, </w:t>
      </w:r>
      <w:r w:rsidRPr="00187999">
        <w:rPr>
          <w:sz w:val="20"/>
          <w:szCs w:val="20"/>
        </w:rPr>
        <w:t xml:space="preserve">“Persoonlijk gezag over minderjarige kinderen: quo vadis?”, </w:t>
      </w:r>
      <w:r w:rsidRPr="00187999">
        <w:rPr>
          <w:i/>
          <w:iCs/>
          <w:sz w:val="20"/>
          <w:szCs w:val="20"/>
        </w:rPr>
        <w:t>TBBR</w:t>
      </w:r>
      <w:r w:rsidRPr="00187999">
        <w:rPr>
          <w:sz w:val="20"/>
          <w:szCs w:val="20"/>
        </w:rPr>
        <w:t xml:space="preserve"> 2006, afl. 10, </w:t>
      </w:r>
      <w:r>
        <w:rPr>
          <w:sz w:val="20"/>
          <w:szCs w:val="20"/>
        </w:rPr>
        <w:t>(567)</w:t>
      </w:r>
      <w:r w:rsidRPr="00187999">
        <w:rPr>
          <w:sz w:val="20"/>
          <w:szCs w:val="20"/>
        </w:rPr>
        <w:t xml:space="preserve"> 576, nr. 22.</w:t>
      </w:r>
    </w:p>
  </w:footnote>
  <w:footnote w:id="56">
    <w:p w:rsidR="002A0E74" w:rsidRDefault="002A0E74" w:rsidP="006A1D7E">
      <w:pPr>
        <w:pStyle w:val="FootnoteText"/>
      </w:pPr>
      <w:r w:rsidRPr="00883348">
        <w:rPr>
          <w:rStyle w:val="FootnoteReference"/>
        </w:rPr>
        <w:footnoteRef/>
      </w:r>
      <w:r>
        <w:t xml:space="preserve"> </w:t>
      </w:r>
      <w:r>
        <w:rPr>
          <w:smallCaps/>
        </w:rPr>
        <w:t xml:space="preserve">P. </w:t>
      </w:r>
      <w:r>
        <w:rPr>
          <w:smallCaps/>
          <w:color w:val="000000"/>
        </w:rPr>
        <w:t xml:space="preserve">BORGHS, </w:t>
      </w:r>
      <w:r>
        <w:rPr>
          <w:color w:val="000000"/>
        </w:rPr>
        <w:t xml:space="preserve">“Rechtspositie meemoeder. Van adoptieve naar oorspronkelijke juridische afstamming”, </w:t>
      </w:r>
      <w:r w:rsidRPr="00705CA6">
        <w:rPr>
          <w:i/>
          <w:iCs/>
          <w:color w:val="000000"/>
        </w:rPr>
        <w:t xml:space="preserve">NJW </w:t>
      </w:r>
      <w:r>
        <w:rPr>
          <w:color w:val="000000"/>
        </w:rPr>
        <w:t>2013, afl. 282, (382) 387-388, nr. 23;</w:t>
      </w:r>
      <w:r w:rsidRPr="00883348">
        <w:t xml:space="preserve"> </w:t>
      </w:r>
      <w:r w:rsidRPr="00883348">
        <w:rPr>
          <w:smallCaps/>
        </w:rPr>
        <w:t>P.</w:t>
      </w:r>
      <w:r w:rsidRPr="00883348">
        <w:rPr>
          <w:color w:val="000000"/>
        </w:rPr>
        <w:t xml:space="preserve"> </w:t>
      </w:r>
      <w:r>
        <w:rPr>
          <w:smallCaps/>
          <w:color w:val="000000"/>
        </w:rPr>
        <w:t>SENAEVE</w:t>
      </w:r>
      <w:r w:rsidRPr="00883348">
        <w:rPr>
          <w:smallCaps/>
          <w:color w:val="000000"/>
        </w:rPr>
        <w:t xml:space="preserve">, </w:t>
      </w:r>
      <w:r w:rsidRPr="00883348">
        <w:rPr>
          <w:i/>
          <w:iCs/>
          <w:color w:val="000000"/>
        </w:rPr>
        <w:t>Compendium van het Personen- en Familierecht</w:t>
      </w:r>
      <w:r w:rsidRPr="00883348">
        <w:rPr>
          <w:color w:val="000000"/>
        </w:rPr>
        <w:t>, Leuven, Acco, 2015, 300, nr. 930.</w:t>
      </w:r>
    </w:p>
  </w:footnote>
  <w:footnote w:id="57">
    <w:p w:rsidR="002A0E74" w:rsidRDefault="002A0E74" w:rsidP="006A1D7E">
      <w:pPr>
        <w:pStyle w:val="FootnoteText"/>
      </w:pPr>
      <w:r>
        <w:rPr>
          <w:rStyle w:val="FootnoteReference"/>
        </w:rPr>
        <w:footnoteRef/>
      </w:r>
      <w:r>
        <w:t xml:space="preserve"> </w:t>
      </w:r>
      <w:r>
        <w:rPr>
          <w:smallCaps/>
        </w:rPr>
        <w:t xml:space="preserve">M. GOEGEBUER, </w:t>
      </w:r>
      <w:r>
        <w:t xml:space="preserve">“Nee moeder of meemoeder? De lesbische meemoeder versus een onverantwoorde adoptieweigering door de oorspronkelijke ouder” (noot onder Grondwettelijk Hof 12 juli 2012), </w:t>
      </w:r>
      <w:r w:rsidRPr="00B5442E">
        <w:rPr>
          <w:i/>
          <w:iCs/>
        </w:rPr>
        <w:t>T.Fam.</w:t>
      </w:r>
      <w:r>
        <w:t xml:space="preserve"> 2013, (158) 161, nr. 9.</w:t>
      </w:r>
    </w:p>
  </w:footnote>
  <w:footnote w:id="58">
    <w:p w:rsidR="002A0E74" w:rsidRDefault="002A0E74" w:rsidP="006A1D7E">
      <w:pPr>
        <w:pStyle w:val="FootnoteText"/>
      </w:pPr>
      <w:r>
        <w:rPr>
          <w:rStyle w:val="FootnoteReference"/>
        </w:rPr>
        <w:footnoteRef/>
      </w:r>
      <w:r>
        <w:t xml:space="preserve"> </w:t>
      </w:r>
      <w:r w:rsidRPr="00883348">
        <w:rPr>
          <w:smallCaps/>
        </w:rPr>
        <w:t>P.</w:t>
      </w:r>
      <w:r w:rsidRPr="00883348">
        <w:rPr>
          <w:color w:val="000000"/>
        </w:rPr>
        <w:t xml:space="preserve"> </w:t>
      </w:r>
      <w:r>
        <w:rPr>
          <w:smallCaps/>
          <w:color w:val="000000"/>
        </w:rPr>
        <w:t>SENAEVE</w:t>
      </w:r>
      <w:r w:rsidRPr="00883348">
        <w:rPr>
          <w:smallCaps/>
          <w:color w:val="000000"/>
        </w:rPr>
        <w:t xml:space="preserve">, </w:t>
      </w:r>
      <w:r w:rsidRPr="00883348">
        <w:rPr>
          <w:i/>
          <w:iCs/>
          <w:color w:val="000000"/>
        </w:rPr>
        <w:t>Compendium van het Personen- en Familierecht</w:t>
      </w:r>
      <w:r w:rsidRPr="00883348">
        <w:rPr>
          <w:color w:val="000000"/>
        </w:rPr>
        <w:t>, Leuven, Acco, 2015, 300, nr. 930.</w:t>
      </w:r>
    </w:p>
  </w:footnote>
  <w:footnote w:id="59">
    <w:p w:rsidR="002A0E74" w:rsidRPr="00535C26" w:rsidRDefault="002A0E74">
      <w:pPr>
        <w:pStyle w:val="FootnoteText"/>
        <w:rPr>
          <w:lang w:val="en-US"/>
        </w:rPr>
      </w:pPr>
      <w:r>
        <w:rPr>
          <w:rStyle w:val="FootnoteReference"/>
        </w:rPr>
        <w:footnoteRef/>
      </w:r>
      <w:r w:rsidRPr="00535C26">
        <w:rPr>
          <w:lang w:val="en-US"/>
        </w:rPr>
        <w:t xml:space="preserve"> </w:t>
      </w:r>
      <w:r w:rsidRPr="008413DD">
        <w:rPr>
          <w:lang w:val="en-US"/>
        </w:rPr>
        <w:t xml:space="preserve">Art. </w:t>
      </w:r>
      <w:proofErr w:type="gramStart"/>
      <w:r w:rsidRPr="008413DD">
        <w:rPr>
          <w:lang w:val="en-US"/>
        </w:rPr>
        <w:t>348-11 BW</w:t>
      </w:r>
      <w:r>
        <w:rPr>
          <w:lang w:val="en-US"/>
        </w:rPr>
        <w:t>.</w:t>
      </w:r>
      <w:proofErr w:type="gramEnd"/>
    </w:p>
  </w:footnote>
  <w:footnote w:id="60">
    <w:p w:rsidR="002A0E74" w:rsidRDefault="002A0E74" w:rsidP="006A1D7E">
      <w:r w:rsidRPr="00187999">
        <w:rPr>
          <w:rStyle w:val="FootnoteReference"/>
          <w:sz w:val="20"/>
          <w:szCs w:val="20"/>
        </w:rPr>
        <w:footnoteRef/>
      </w:r>
      <w:r w:rsidRPr="008413DD">
        <w:rPr>
          <w:sz w:val="20"/>
          <w:szCs w:val="20"/>
          <w:lang w:val="en-US"/>
        </w:rPr>
        <w:t xml:space="preserve"> Art. 348-11 </w:t>
      </w:r>
      <w:proofErr w:type="gramStart"/>
      <w:r w:rsidRPr="008413DD">
        <w:rPr>
          <w:sz w:val="20"/>
          <w:szCs w:val="20"/>
          <w:lang w:val="en-US"/>
        </w:rPr>
        <w:t>BW.;</w:t>
      </w:r>
      <w:proofErr w:type="gramEnd"/>
      <w:r w:rsidRPr="008413DD">
        <w:rPr>
          <w:sz w:val="20"/>
          <w:szCs w:val="20"/>
          <w:lang w:val="en-US"/>
        </w:rPr>
        <w:t xml:space="preserve"> Cass. 31 </w:t>
      </w:r>
      <w:proofErr w:type="gramStart"/>
      <w:r w:rsidRPr="008413DD">
        <w:rPr>
          <w:sz w:val="20"/>
          <w:szCs w:val="20"/>
          <w:lang w:val="en-US"/>
        </w:rPr>
        <w:t>mei</w:t>
      </w:r>
      <w:proofErr w:type="gramEnd"/>
      <w:r w:rsidRPr="008413DD">
        <w:rPr>
          <w:sz w:val="20"/>
          <w:szCs w:val="20"/>
          <w:lang w:val="en-US"/>
        </w:rPr>
        <w:t xml:space="preserve"> 1985, </w:t>
      </w:r>
      <w:r w:rsidRPr="008413DD">
        <w:rPr>
          <w:i/>
          <w:iCs/>
          <w:sz w:val="20"/>
          <w:szCs w:val="20"/>
          <w:lang w:val="en-US"/>
        </w:rPr>
        <w:t xml:space="preserve">Arr. </w:t>
      </w:r>
      <w:r w:rsidRPr="00F036F1">
        <w:rPr>
          <w:i/>
          <w:iCs/>
          <w:sz w:val="20"/>
          <w:szCs w:val="20"/>
        </w:rPr>
        <w:t>Cass</w:t>
      </w:r>
      <w:r w:rsidRPr="00F036F1">
        <w:rPr>
          <w:sz w:val="20"/>
          <w:szCs w:val="20"/>
        </w:rPr>
        <w:t>. 1984-85, 1354; Brussel (Jk.) 8 maart 1973,</w:t>
      </w:r>
      <w:r w:rsidRPr="00187999">
        <w:rPr>
          <w:sz w:val="20"/>
          <w:szCs w:val="20"/>
        </w:rPr>
        <w:t xml:space="preserve"> </w:t>
      </w:r>
      <w:r w:rsidRPr="00187999">
        <w:rPr>
          <w:i/>
          <w:iCs/>
          <w:sz w:val="20"/>
          <w:szCs w:val="20"/>
        </w:rPr>
        <w:t>Pas.</w:t>
      </w:r>
      <w:r>
        <w:rPr>
          <w:sz w:val="20"/>
          <w:szCs w:val="20"/>
        </w:rPr>
        <w:t xml:space="preserve"> 1973, II, 114</w:t>
      </w:r>
      <w:r w:rsidRPr="00187999">
        <w:rPr>
          <w:sz w:val="20"/>
          <w:szCs w:val="20"/>
        </w:rPr>
        <w:t xml:space="preserve">; </w:t>
      </w:r>
      <w:r w:rsidRPr="00187999">
        <w:rPr>
          <w:smallCaps/>
          <w:sz w:val="20"/>
          <w:szCs w:val="20"/>
        </w:rPr>
        <w:t xml:space="preserve">A. </w:t>
      </w:r>
      <w:r>
        <w:rPr>
          <w:smallCaps/>
          <w:sz w:val="20"/>
          <w:szCs w:val="20"/>
        </w:rPr>
        <w:t xml:space="preserve">HUYGENS, </w:t>
      </w:r>
      <w:r w:rsidRPr="00187999">
        <w:rPr>
          <w:sz w:val="20"/>
          <w:szCs w:val="20"/>
        </w:rPr>
        <w:t xml:space="preserve">“Persoonlijk gezag over minderjarige kinderen: quo vadis?”, </w:t>
      </w:r>
      <w:r w:rsidRPr="00187999">
        <w:rPr>
          <w:i/>
          <w:iCs/>
          <w:sz w:val="20"/>
          <w:szCs w:val="20"/>
        </w:rPr>
        <w:t>TBBR</w:t>
      </w:r>
      <w:r w:rsidRPr="00187999">
        <w:rPr>
          <w:sz w:val="20"/>
          <w:szCs w:val="20"/>
        </w:rPr>
        <w:t xml:space="preserve"> 2006, afl. 10,</w:t>
      </w:r>
      <w:r>
        <w:rPr>
          <w:sz w:val="20"/>
          <w:szCs w:val="20"/>
        </w:rPr>
        <w:t xml:space="preserve"> (567)</w:t>
      </w:r>
      <w:r w:rsidRPr="00187999">
        <w:rPr>
          <w:sz w:val="20"/>
          <w:szCs w:val="20"/>
        </w:rPr>
        <w:t xml:space="preserve"> 576, nr. 22; </w:t>
      </w:r>
      <w:r w:rsidRPr="00187999">
        <w:rPr>
          <w:smallCaps/>
          <w:sz w:val="20"/>
          <w:szCs w:val="20"/>
        </w:rPr>
        <w:t>P.</w:t>
      </w:r>
      <w:r w:rsidRPr="00187999">
        <w:rPr>
          <w:color w:val="000000"/>
          <w:sz w:val="20"/>
          <w:szCs w:val="20"/>
        </w:rPr>
        <w:t xml:space="preserve"> </w:t>
      </w:r>
      <w:r>
        <w:rPr>
          <w:smallCaps/>
          <w:color w:val="000000"/>
          <w:sz w:val="20"/>
          <w:szCs w:val="20"/>
        </w:rPr>
        <w:t xml:space="preserve">SENAEVE, </w:t>
      </w:r>
      <w:r w:rsidRPr="00187999">
        <w:rPr>
          <w:i/>
          <w:iCs/>
          <w:color w:val="000000"/>
          <w:sz w:val="20"/>
          <w:szCs w:val="20"/>
        </w:rPr>
        <w:t>Compendium van het Personen- en Familierecht</w:t>
      </w:r>
      <w:r>
        <w:rPr>
          <w:color w:val="000000"/>
          <w:sz w:val="20"/>
          <w:szCs w:val="20"/>
        </w:rPr>
        <w:t>, Leuven, Acco, 2015, 300</w:t>
      </w:r>
      <w:r w:rsidRPr="00187999">
        <w:rPr>
          <w:color w:val="000000"/>
          <w:sz w:val="20"/>
          <w:szCs w:val="20"/>
        </w:rPr>
        <w:t>, nr. 930.</w:t>
      </w:r>
    </w:p>
  </w:footnote>
  <w:footnote w:id="61">
    <w:p w:rsidR="002A0E74" w:rsidRDefault="002A0E74" w:rsidP="006A1D7E">
      <w:pPr>
        <w:pStyle w:val="FootnoteText"/>
      </w:pPr>
      <w:r>
        <w:rPr>
          <w:rStyle w:val="FootnoteReference"/>
        </w:rPr>
        <w:footnoteRef/>
      </w:r>
      <w:r>
        <w:t xml:space="preserve"> </w:t>
      </w:r>
      <w:r>
        <w:rPr>
          <w:color w:val="000000"/>
        </w:rPr>
        <w:t xml:space="preserve">Grondwettelijk Hof 12 juli 2012, </w:t>
      </w:r>
      <w:r>
        <w:t>nr. 93/2012,</w:t>
      </w:r>
      <w:r>
        <w:rPr>
          <w:color w:val="000000"/>
        </w:rPr>
        <w:t xml:space="preserve"> </w:t>
      </w:r>
      <w:r w:rsidRPr="00725916">
        <w:rPr>
          <w:i/>
          <w:iCs/>
          <w:color w:val="000000"/>
        </w:rPr>
        <w:t>T.Fam.</w:t>
      </w:r>
      <w:r>
        <w:rPr>
          <w:color w:val="000000"/>
        </w:rPr>
        <w:t xml:space="preserve"> 2013, 154; </w:t>
      </w:r>
      <w:r w:rsidRPr="00A57A3E">
        <w:rPr>
          <w:smallCaps/>
        </w:rPr>
        <w:t>P.</w:t>
      </w:r>
      <w:r w:rsidRPr="00A57A3E">
        <w:rPr>
          <w:color w:val="000000"/>
        </w:rPr>
        <w:t xml:space="preserve"> </w:t>
      </w:r>
      <w:r>
        <w:rPr>
          <w:smallCaps/>
          <w:color w:val="000000"/>
        </w:rPr>
        <w:t>SENAEVE</w:t>
      </w:r>
      <w:r w:rsidRPr="00A57A3E">
        <w:rPr>
          <w:smallCaps/>
          <w:color w:val="000000"/>
        </w:rPr>
        <w:t xml:space="preserve">, </w:t>
      </w:r>
      <w:r w:rsidRPr="00A57A3E">
        <w:rPr>
          <w:i/>
          <w:iCs/>
          <w:color w:val="000000"/>
        </w:rPr>
        <w:t>Compendium van het Personen- en Familierecht</w:t>
      </w:r>
      <w:r>
        <w:rPr>
          <w:color w:val="000000"/>
        </w:rPr>
        <w:t>, Leuven, Acco, 2015, 300-301, nr. 931-932</w:t>
      </w:r>
      <w:r w:rsidRPr="00A57A3E">
        <w:rPr>
          <w:color w:val="000000"/>
        </w:rPr>
        <w:t>.</w:t>
      </w:r>
    </w:p>
  </w:footnote>
  <w:footnote w:id="62">
    <w:p w:rsidR="002A0E74" w:rsidRDefault="002A0E74" w:rsidP="006A1D7E">
      <w:pPr>
        <w:pStyle w:val="FootnoteText"/>
      </w:pPr>
      <w:r>
        <w:rPr>
          <w:rStyle w:val="FootnoteReference"/>
        </w:rPr>
        <w:footnoteRef/>
      </w:r>
      <w:r>
        <w:t xml:space="preserve"> </w:t>
      </w:r>
      <w:r>
        <w:t xml:space="preserve">Grondwettelijk Hof 25 juni 2015, nr. 94/2015, </w:t>
      </w:r>
      <w:r w:rsidRPr="00F31354">
        <w:rPr>
          <w:i/>
          <w:color w:val="000000"/>
        </w:rPr>
        <w:t>Rev.trim.dr.fam</w:t>
      </w:r>
      <w:r>
        <w:rPr>
          <w:color w:val="000000"/>
        </w:rPr>
        <w:t xml:space="preserve">. 2015, afl. </w:t>
      </w:r>
      <w:r w:rsidRPr="00F31354">
        <w:rPr>
          <w:color w:val="000000"/>
        </w:rPr>
        <w:t>3, 580;</w:t>
      </w:r>
      <w:r>
        <w:rPr>
          <w:color w:val="000000"/>
        </w:rPr>
        <w:t xml:space="preserve"> </w:t>
      </w:r>
      <w:r w:rsidRPr="00A57A3E">
        <w:rPr>
          <w:smallCaps/>
        </w:rPr>
        <w:t>P.</w:t>
      </w:r>
      <w:r w:rsidRPr="00A57A3E">
        <w:rPr>
          <w:color w:val="000000"/>
        </w:rPr>
        <w:t xml:space="preserve"> </w:t>
      </w:r>
      <w:r>
        <w:rPr>
          <w:smallCaps/>
          <w:color w:val="000000"/>
        </w:rPr>
        <w:t>SENAEVE</w:t>
      </w:r>
      <w:r w:rsidRPr="00A57A3E">
        <w:rPr>
          <w:smallCaps/>
          <w:color w:val="000000"/>
        </w:rPr>
        <w:t xml:space="preserve">, </w:t>
      </w:r>
      <w:r w:rsidRPr="00A57A3E">
        <w:rPr>
          <w:i/>
          <w:iCs/>
          <w:color w:val="000000"/>
        </w:rPr>
        <w:t>Compendium van het Personen- en Familierecht</w:t>
      </w:r>
      <w:r>
        <w:rPr>
          <w:color w:val="000000"/>
        </w:rPr>
        <w:t>, Leuven, Acco, 2015, 300-301, nr. 931-932</w:t>
      </w:r>
      <w:r w:rsidRPr="00A57A3E">
        <w:rPr>
          <w:color w:val="000000"/>
        </w:rPr>
        <w:t>.</w:t>
      </w:r>
    </w:p>
  </w:footnote>
  <w:footnote w:id="63">
    <w:p w:rsidR="002A0E74" w:rsidRDefault="002A0E74" w:rsidP="006A1D7E">
      <w:pPr>
        <w:pStyle w:val="FootnoteText"/>
      </w:pPr>
      <w:r>
        <w:rPr>
          <w:rStyle w:val="FootnoteReference"/>
        </w:rPr>
        <w:footnoteRef/>
      </w:r>
      <w:r>
        <w:t xml:space="preserve"> </w:t>
      </w:r>
      <w:r>
        <w:rPr>
          <w:color w:val="000000"/>
        </w:rPr>
        <w:t xml:space="preserve">Grondwettelijk Hof 12 juli 2012, </w:t>
      </w:r>
      <w:r>
        <w:t>nr. 93/2012,</w:t>
      </w:r>
      <w:r>
        <w:rPr>
          <w:color w:val="000000"/>
        </w:rPr>
        <w:t xml:space="preserve"> </w:t>
      </w:r>
      <w:r w:rsidRPr="00725916">
        <w:rPr>
          <w:i/>
          <w:iCs/>
          <w:color w:val="000000"/>
        </w:rPr>
        <w:t>T.Fam.</w:t>
      </w:r>
      <w:r>
        <w:rPr>
          <w:color w:val="000000"/>
        </w:rPr>
        <w:t xml:space="preserve"> 2013, 154; </w:t>
      </w:r>
      <w:r>
        <w:t xml:space="preserve">Grondwettelijk Hof 25 juni 2015, nr. 94/2015, </w:t>
      </w:r>
      <w:r w:rsidRPr="00F31354">
        <w:rPr>
          <w:i/>
          <w:color w:val="000000"/>
        </w:rPr>
        <w:t>Rev.trim.dr.fam</w:t>
      </w:r>
      <w:r w:rsidRPr="00F31354">
        <w:rPr>
          <w:color w:val="000000"/>
        </w:rPr>
        <w:t>. 2015, afl. 3, 580</w:t>
      </w:r>
      <w:r>
        <w:rPr>
          <w:color w:val="000000"/>
        </w:rPr>
        <w:t>.</w:t>
      </w:r>
    </w:p>
  </w:footnote>
  <w:footnote w:id="64">
    <w:p w:rsidR="002A0E74" w:rsidRDefault="002A0E74" w:rsidP="006A1D7E">
      <w:pPr>
        <w:pStyle w:val="FootnoteText"/>
      </w:pPr>
      <w:r>
        <w:rPr>
          <w:rStyle w:val="FootnoteReference"/>
        </w:rPr>
        <w:footnoteRef/>
      </w:r>
      <w:r>
        <w:t xml:space="preserve"> </w:t>
      </w:r>
      <w:r>
        <w:t xml:space="preserve">Grondwettelijk Hof 25 juni 2015, nr. 94/2015, </w:t>
      </w:r>
      <w:r w:rsidRPr="00F31354">
        <w:rPr>
          <w:i/>
          <w:color w:val="000000"/>
        </w:rPr>
        <w:t>Rev.trim.dr.fam</w:t>
      </w:r>
      <w:r w:rsidRPr="00F31354">
        <w:rPr>
          <w:color w:val="000000"/>
        </w:rPr>
        <w:t>. 2015, afl. 3, 580</w:t>
      </w:r>
      <w:r>
        <w:rPr>
          <w:color w:val="000000"/>
        </w:rPr>
        <w:t xml:space="preserve">, </w:t>
      </w:r>
      <w:r>
        <w:t xml:space="preserve">24-25, overw. B.23; </w:t>
      </w:r>
      <w:r>
        <w:rPr>
          <w:smallCaps/>
        </w:rPr>
        <w:t xml:space="preserve">P. </w:t>
      </w:r>
      <w:r>
        <w:rPr>
          <w:smallCaps/>
          <w:color w:val="000000"/>
        </w:rPr>
        <w:t xml:space="preserve">BORGHS, </w:t>
      </w:r>
      <w:r>
        <w:rPr>
          <w:color w:val="000000"/>
        </w:rPr>
        <w:t xml:space="preserve">“Rechtspositie meemoeder. Van adoptieve naar oorspronkelijke juridische afstamming”, </w:t>
      </w:r>
      <w:r w:rsidRPr="00705CA6">
        <w:rPr>
          <w:i/>
          <w:iCs/>
          <w:color w:val="000000"/>
        </w:rPr>
        <w:t xml:space="preserve">NJW </w:t>
      </w:r>
      <w:r>
        <w:rPr>
          <w:color w:val="000000"/>
        </w:rPr>
        <w:t>2013, afl. 282, (382) 387-388, nr. 23.</w:t>
      </w:r>
    </w:p>
  </w:footnote>
  <w:footnote w:id="65">
    <w:p w:rsidR="002A0E74" w:rsidRDefault="002A0E74" w:rsidP="006A1D7E">
      <w:pPr>
        <w:pStyle w:val="FootnoteText"/>
      </w:pPr>
      <w:r>
        <w:rPr>
          <w:rStyle w:val="FootnoteReference"/>
        </w:rPr>
        <w:footnoteRef/>
      </w:r>
      <w:r>
        <w:t xml:space="preserve"> </w:t>
      </w:r>
      <w:r>
        <w:t xml:space="preserve">Art. 356-1, lid 3 BW.; </w:t>
      </w:r>
      <w:r w:rsidRPr="00721EE1">
        <w:rPr>
          <w:smallCaps/>
        </w:rPr>
        <w:t>P.</w:t>
      </w:r>
      <w:r w:rsidRPr="00721EE1">
        <w:rPr>
          <w:color w:val="000000"/>
        </w:rPr>
        <w:t xml:space="preserve"> </w:t>
      </w:r>
      <w:r>
        <w:rPr>
          <w:smallCaps/>
          <w:color w:val="000000"/>
        </w:rPr>
        <w:t>SENAEVE,</w:t>
      </w:r>
      <w:r w:rsidRPr="00721EE1">
        <w:rPr>
          <w:smallCaps/>
          <w:color w:val="000000"/>
        </w:rPr>
        <w:t xml:space="preserve"> </w:t>
      </w:r>
      <w:r w:rsidRPr="00721EE1">
        <w:rPr>
          <w:i/>
          <w:iCs/>
          <w:color w:val="000000"/>
        </w:rPr>
        <w:t>Compendium van het Personen- en Familierecht</w:t>
      </w:r>
      <w:r w:rsidRPr="00721EE1">
        <w:rPr>
          <w:color w:val="000000"/>
        </w:rPr>
        <w:t xml:space="preserve">, Leuven, Acco, 2015, 314, nr. 990; </w:t>
      </w:r>
      <w:r w:rsidRPr="00721EE1">
        <w:rPr>
          <w:smallCaps/>
        </w:rPr>
        <w:t xml:space="preserve">F. </w:t>
      </w:r>
      <w:r>
        <w:rPr>
          <w:smallCaps/>
        </w:rPr>
        <w:t>SWENNEN</w:t>
      </w:r>
      <w:r w:rsidRPr="00721EE1">
        <w:rPr>
          <w:smallCaps/>
        </w:rPr>
        <w:t xml:space="preserve">, </w:t>
      </w:r>
      <w:r w:rsidRPr="00721EE1">
        <w:rPr>
          <w:i/>
          <w:iCs/>
        </w:rPr>
        <w:t>Het personen- en familierecht</w:t>
      </w:r>
      <w:r w:rsidRPr="00721EE1">
        <w:t>, Antwerpen, Intersentia, 2015, 490, nr. 811.</w:t>
      </w:r>
    </w:p>
  </w:footnote>
  <w:footnote w:id="66">
    <w:p w:rsidR="002A0E74" w:rsidRDefault="002A0E74" w:rsidP="006A1D7E">
      <w:pPr>
        <w:pStyle w:val="FootnoteText"/>
      </w:pPr>
      <w:r>
        <w:rPr>
          <w:rStyle w:val="FootnoteReference"/>
        </w:rPr>
        <w:footnoteRef/>
      </w:r>
      <w:r>
        <w:t xml:space="preserve"> </w:t>
      </w:r>
      <w:r>
        <w:rPr>
          <w:color w:val="000000"/>
        </w:rPr>
        <w:t xml:space="preserve">Grondwettelijk Hof 12 juli 2012, </w:t>
      </w:r>
      <w:r>
        <w:t xml:space="preserve">nr. 93/2012, </w:t>
      </w:r>
      <w:r>
        <w:rPr>
          <w:color w:val="000000"/>
        </w:rPr>
        <w:t xml:space="preserve"> </w:t>
      </w:r>
      <w:r w:rsidRPr="00725916">
        <w:rPr>
          <w:i/>
          <w:iCs/>
          <w:color w:val="000000"/>
        </w:rPr>
        <w:t>T.Fam.</w:t>
      </w:r>
      <w:r>
        <w:rPr>
          <w:color w:val="000000"/>
        </w:rPr>
        <w:t xml:space="preserve"> 2013, 158, overw. B. 17;</w:t>
      </w:r>
      <w:r>
        <w:t xml:space="preserve"> Grondwettelijk Hof 25 juni 2015, nr. 94/2015, </w:t>
      </w:r>
      <w:r w:rsidRPr="00F31354">
        <w:rPr>
          <w:i/>
          <w:color w:val="000000"/>
        </w:rPr>
        <w:t>Rev.trim.dr.fam</w:t>
      </w:r>
      <w:r w:rsidRPr="00F31354">
        <w:rPr>
          <w:color w:val="000000"/>
        </w:rPr>
        <w:t>. 2015, afl. 3, 580</w:t>
      </w:r>
      <w:r>
        <w:rPr>
          <w:color w:val="000000"/>
        </w:rPr>
        <w:t xml:space="preserve">, </w:t>
      </w:r>
      <w:r>
        <w:t>24-25, overw. B. 23.</w:t>
      </w:r>
    </w:p>
  </w:footnote>
  <w:footnote w:id="67">
    <w:p w:rsidR="002A0E74" w:rsidRDefault="002A0E74" w:rsidP="006A1D7E">
      <w:pPr>
        <w:pStyle w:val="FootnoteText"/>
      </w:pPr>
      <w:r>
        <w:rPr>
          <w:rStyle w:val="FootnoteReference"/>
        </w:rPr>
        <w:footnoteRef/>
      </w:r>
      <w:r>
        <w:t xml:space="preserve"> </w:t>
      </w:r>
      <w:r>
        <w:rPr>
          <w:smallCaps/>
        </w:rPr>
        <w:t xml:space="preserve">M. GOEGEBUER, </w:t>
      </w:r>
      <w:r>
        <w:t xml:space="preserve">“Nee moeder of meemoeder? De lesbische meemoeder versus een onverantwoorde adoptieweigering door de oorspronkelijke ouder” (noot onder Grondwettelijk Hof 12 juli 2012), </w:t>
      </w:r>
      <w:r w:rsidRPr="00B5442E">
        <w:rPr>
          <w:i/>
          <w:iCs/>
        </w:rPr>
        <w:t>T.Fam.</w:t>
      </w:r>
      <w:r>
        <w:t xml:space="preserve"> 2013, (158) 162, nr. 10.</w:t>
      </w:r>
    </w:p>
  </w:footnote>
  <w:footnote w:id="68">
    <w:p w:rsidR="002A0E74" w:rsidRDefault="002A0E74" w:rsidP="006A1D7E">
      <w:pPr>
        <w:pStyle w:val="FootnoteText"/>
      </w:pPr>
      <w:r>
        <w:rPr>
          <w:rStyle w:val="FootnoteReference"/>
        </w:rPr>
        <w:footnoteRef/>
      </w:r>
      <w:r>
        <w:t xml:space="preserve"> </w:t>
      </w:r>
      <w:r>
        <w:t xml:space="preserve">Voorstel van wet tot wijziging van artikel 348-11 van het Burgerlijk Wetboek, aangaande de weigering van de moeder of de vader om toe te stemmen in de adoptie, </w:t>
      </w:r>
      <w:r w:rsidRPr="00F55585">
        <w:rPr>
          <w:i/>
          <w:iCs/>
        </w:rPr>
        <w:t>Parl.St.</w:t>
      </w:r>
      <w:r>
        <w:rPr>
          <w:i/>
          <w:iCs/>
        </w:rPr>
        <w:t xml:space="preserve"> </w:t>
      </w:r>
      <w:r w:rsidRPr="00F55585">
        <w:t>Kamer 2015, nr.</w:t>
      </w:r>
      <w:r>
        <w:t xml:space="preserve"> 54-1152/001.</w:t>
      </w:r>
    </w:p>
  </w:footnote>
  <w:footnote w:id="69">
    <w:p w:rsidR="002A0E74" w:rsidRDefault="002A0E74" w:rsidP="006A1D7E">
      <w:pPr>
        <w:pStyle w:val="FootnoteText"/>
      </w:pPr>
      <w:r>
        <w:rPr>
          <w:rStyle w:val="FootnoteReference"/>
        </w:rPr>
        <w:footnoteRef/>
      </w:r>
      <w:r>
        <w:t xml:space="preserve"> </w:t>
      </w:r>
      <w:r>
        <w:t xml:space="preserve">Voorstel van wet tot wijziging van artikel 348-11 van het Burgerlijk Wetboek, aangaande de weigering van de moeder of de vader om toe te stemmen in de adoptie, </w:t>
      </w:r>
      <w:r w:rsidRPr="00F55585">
        <w:rPr>
          <w:i/>
          <w:iCs/>
        </w:rPr>
        <w:t>Parl.St.</w:t>
      </w:r>
      <w:r>
        <w:rPr>
          <w:i/>
          <w:iCs/>
        </w:rPr>
        <w:t xml:space="preserve"> </w:t>
      </w:r>
      <w:r w:rsidRPr="00F55585">
        <w:t>Kamer 2015, nr.</w:t>
      </w:r>
      <w:r>
        <w:t xml:space="preserve"> 54-1152/001, 5.</w:t>
      </w:r>
    </w:p>
  </w:footnote>
  <w:footnote w:id="70">
    <w:p w:rsidR="002A0E74" w:rsidRDefault="002A0E74" w:rsidP="000822F9">
      <w:pPr>
        <w:pStyle w:val="FootnoteText"/>
      </w:pPr>
      <w:r>
        <w:rPr>
          <w:rStyle w:val="FootnoteReference"/>
        </w:rPr>
        <w:footnoteRef/>
      </w:r>
      <w:r>
        <w:t xml:space="preserve"> </w:t>
      </w:r>
      <w:r w:rsidRPr="00CA54B9">
        <w:rPr>
          <w:smallCaps/>
        </w:rPr>
        <w:t>P.</w:t>
      </w:r>
      <w:r w:rsidRPr="00CA54B9">
        <w:rPr>
          <w:color w:val="000000"/>
        </w:rPr>
        <w:t xml:space="preserve"> </w:t>
      </w:r>
      <w:r>
        <w:rPr>
          <w:smallCaps/>
          <w:color w:val="000000"/>
        </w:rPr>
        <w:t>SENAEVE,</w:t>
      </w:r>
      <w:r w:rsidRPr="00CA54B9">
        <w:rPr>
          <w:smallCaps/>
          <w:color w:val="000000"/>
        </w:rPr>
        <w:t xml:space="preserve"> </w:t>
      </w:r>
      <w:r w:rsidRPr="00CA54B9">
        <w:rPr>
          <w:i/>
          <w:iCs/>
          <w:color w:val="000000"/>
        </w:rPr>
        <w:t>Compendium van het Personen- en Familierecht</w:t>
      </w:r>
      <w:r w:rsidRPr="00CA54B9">
        <w:rPr>
          <w:color w:val="000000"/>
        </w:rPr>
        <w:t>, Leuven, Acco, 2015, 310 en 313, nr. 975 en 988.</w:t>
      </w:r>
    </w:p>
  </w:footnote>
  <w:footnote w:id="71">
    <w:p w:rsidR="002A0E74" w:rsidRPr="0039103E" w:rsidRDefault="002A0E74" w:rsidP="000822F9">
      <w:pPr>
        <w:pStyle w:val="FootnoteText"/>
        <w:rPr>
          <w:lang w:val="en-US"/>
        </w:rPr>
      </w:pPr>
      <w:r>
        <w:rPr>
          <w:rStyle w:val="FootnoteReference"/>
        </w:rPr>
        <w:footnoteRef/>
      </w:r>
      <w:r>
        <w:rPr>
          <w:lang w:val="en-US"/>
        </w:rPr>
        <w:t xml:space="preserve"> </w:t>
      </w:r>
      <w:r w:rsidRPr="0039103E">
        <w:rPr>
          <w:lang w:val="en-US"/>
        </w:rPr>
        <w:t xml:space="preserve">Art. </w:t>
      </w:r>
      <w:proofErr w:type="gramStart"/>
      <w:r w:rsidRPr="0039103E">
        <w:rPr>
          <w:lang w:val="en-US"/>
        </w:rPr>
        <w:t>335 BW.</w:t>
      </w:r>
      <w:proofErr w:type="gramEnd"/>
      <w:r w:rsidRPr="0039103E">
        <w:rPr>
          <w:lang w:val="en-US"/>
        </w:rPr>
        <w:t xml:space="preserve"> </w:t>
      </w:r>
    </w:p>
  </w:footnote>
  <w:footnote w:id="72">
    <w:p w:rsidR="002A0E74" w:rsidRPr="007709A7" w:rsidRDefault="002A0E74" w:rsidP="000822F9">
      <w:pPr>
        <w:pStyle w:val="FootnoteText"/>
        <w:rPr>
          <w:lang w:val="en-US"/>
        </w:rPr>
      </w:pPr>
      <w:r>
        <w:rPr>
          <w:rStyle w:val="FootnoteReference"/>
        </w:rPr>
        <w:footnoteRef/>
      </w:r>
      <w:r w:rsidRPr="007709A7">
        <w:rPr>
          <w:lang w:val="en-US"/>
        </w:rPr>
        <w:t xml:space="preserve"> Art. 353-1, lid 2 BW.</w:t>
      </w:r>
    </w:p>
  </w:footnote>
  <w:footnote w:id="73">
    <w:p w:rsidR="002A0E74" w:rsidRPr="007709A7" w:rsidRDefault="002A0E74" w:rsidP="000822F9">
      <w:r w:rsidRPr="002C5AFD">
        <w:rPr>
          <w:rStyle w:val="FootnoteReference"/>
          <w:sz w:val="20"/>
          <w:szCs w:val="20"/>
        </w:rPr>
        <w:footnoteRef/>
      </w:r>
      <w:r w:rsidRPr="007709A7">
        <w:rPr>
          <w:sz w:val="20"/>
          <w:szCs w:val="20"/>
        </w:rPr>
        <w:t xml:space="preserve"> </w:t>
      </w:r>
      <w:r w:rsidRPr="007709A7">
        <w:rPr>
          <w:sz w:val="20"/>
          <w:szCs w:val="20"/>
        </w:rPr>
        <w:t>Art. 334 en 731 BW.</w:t>
      </w:r>
    </w:p>
  </w:footnote>
  <w:footnote w:id="74">
    <w:p w:rsidR="002A0E74" w:rsidRDefault="002A0E74" w:rsidP="000822F9">
      <w:pPr>
        <w:pStyle w:val="FootnoteText"/>
      </w:pPr>
      <w:r>
        <w:rPr>
          <w:rStyle w:val="FootnoteReference"/>
        </w:rPr>
        <w:footnoteRef/>
      </w:r>
      <w:r>
        <w:t xml:space="preserve"> </w:t>
      </w:r>
      <w:r w:rsidRPr="00721EE1">
        <w:rPr>
          <w:smallCaps/>
        </w:rPr>
        <w:t xml:space="preserve">F. </w:t>
      </w:r>
      <w:r>
        <w:rPr>
          <w:smallCaps/>
        </w:rPr>
        <w:t xml:space="preserve">SWENNEN, </w:t>
      </w:r>
      <w:r w:rsidRPr="00721EE1">
        <w:rPr>
          <w:i/>
          <w:iCs/>
        </w:rPr>
        <w:t>Het personen- en familierecht</w:t>
      </w:r>
      <w:r w:rsidRPr="00721EE1">
        <w:t>, Antwerpen, Intersentia, 2015, 490, nr. 811.</w:t>
      </w:r>
    </w:p>
  </w:footnote>
  <w:footnote w:id="75">
    <w:p w:rsidR="002A0E74" w:rsidRDefault="002A0E74" w:rsidP="000822F9">
      <w:pPr>
        <w:pStyle w:val="FootnoteText"/>
      </w:pPr>
      <w:r>
        <w:rPr>
          <w:rStyle w:val="FootnoteReference"/>
        </w:rPr>
        <w:footnoteRef/>
      </w:r>
      <w:r>
        <w:t xml:space="preserve"> </w:t>
      </w:r>
      <w:r w:rsidRPr="00721EE1">
        <w:rPr>
          <w:smallCaps/>
        </w:rPr>
        <w:t>P.</w:t>
      </w:r>
      <w:r w:rsidRPr="00721EE1">
        <w:rPr>
          <w:color w:val="000000"/>
        </w:rPr>
        <w:t xml:space="preserve"> </w:t>
      </w:r>
      <w:r>
        <w:rPr>
          <w:smallCaps/>
          <w:color w:val="000000"/>
        </w:rPr>
        <w:t>SENAEVE</w:t>
      </w:r>
      <w:r w:rsidRPr="00721EE1">
        <w:rPr>
          <w:smallCaps/>
          <w:color w:val="000000"/>
        </w:rPr>
        <w:t xml:space="preserve">, </w:t>
      </w:r>
      <w:r w:rsidRPr="00721EE1">
        <w:rPr>
          <w:i/>
          <w:iCs/>
          <w:color w:val="000000"/>
        </w:rPr>
        <w:t>Compendium van het Personen- en Familierecht</w:t>
      </w:r>
      <w:r w:rsidRPr="00721EE1">
        <w:rPr>
          <w:color w:val="000000"/>
        </w:rPr>
        <w:t xml:space="preserve">, Leuven, Acco, 2015, 314, nr. 989; </w:t>
      </w:r>
      <w:r w:rsidRPr="00721EE1">
        <w:rPr>
          <w:smallCaps/>
        </w:rPr>
        <w:t xml:space="preserve">F. </w:t>
      </w:r>
      <w:r>
        <w:rPr>
          <w:smallCaps/>
        </w:rPr>
        <w:t>SWENNEN</w:t>
      </w:r>
      <w:r w:rsidRPr="00721EE1">
        <w:rPr>
          <w:smallCaps/>
        </w:rPr>
        <w:t xml:space="preserve">, </w:t>
      </w:r>
      <w:r w:rsidRPr="00721EE1">
        <w:rPr>
          <w:i/>
          <w:iCs/>
        </w:rPr>
        <w:t>Het personen- en familierecht</w:t>
      </w:r>
      <w:r w:rsidRPr="00721EE1">
        <w:t>, Antwerpen, Intersentia, 2015, 490, nr. 811.</w:t>
      </w:r>
    </w:p>
  </w:footnote>
  <w:footnote w:id="76">
    <w:p w:rsidR="002A0E74" w:rsidRPr="0039103E" w:rsidRDefault="002A0E74" w:rsidP="000822F9">
      <w:pPr>
        <w:pStyle w:val="FootnoteText"/>
        <w:rPr>
          <w:lang w:val="en-US"/>
        </w:rPr>
      </w:pPr>
      <w:r>
        <w:rPr>
          <w:rStyle w:val="FootnoteReference"/>
        </w:rPr>
        <w:footnoteRef/>
      </w:r>
      <w:r w:rsidRPr="0039103E">
        <w:rPr>
          <w:lang w:val="en-US"/>
        </w:rPr>
        <w:t xml:space="preserve"> Art. </w:t>
      </w:r>
      <w:proofErr w:type="gramStart"/>
      <w:r w:rsidRPr="0039103E">
        <w:rPr>
          <w:lang w:val="en-US"/>
        </w:rPr>
        <w:t>353-15 BW.</w:t>
      </w:r>
      <w:proofErr w:type="gramEnd"/>
    </w:p>
  </w:footnote>
  <w:footnote w:id="77">
    <w:p w:rsidR="002A0E74" w:rsidRPr="008B1AB8" w:rsidRDefault="002A0E74" w:rsidP="000822F9">
      <w:pPr>
        <w:pStyle w:val="FootnoteText"/>
        <w:rPr>
          <w:lang w:val="en-US"/>
        </w:rPr>
      </w:pPr>
      <w:r>
        <w:rPr>
          <w:rStyle w:val="FootnoteReference"/>
        </w:rPr>
        <w:footnoteRef/>
      </w:r>
      <w:r w:rsidRPr="0039103E">
        <w:rPr>
          <w:lang w:val="en-US"/>
        </w:rPr>
        <w:t xml:space="preserve"> </w:t>
      </w:r>
      <w:r>
        <w:rPr>
          <w:lang w:val="en-US"/>
        </w:rPr>
        <w:t xml:space="preserve">Art. 1384, lid 2 BW. </w:t>
      </w:r>
    </w:p>
  </w:footnote>
  <w:footnote w:id="78">
    <w:p w:rsidR="002A0E74" w:rsidRDefault="002A0E74" w:rsidP="00794932">
      <w:pPr>
        <w:pStyle w:val="FootnoteText"/>
      </w:pPr>
      <w:r>
        <w:rPr>
          <w:rStyle w:val="FootnoteReference"/>
        </w:rPr>
        <w:footnoteRef/>
      </w:r>
      <w:r>
        <w:t xml:space="preserve"> </w:t>
      </w:r>
      <w:r w:rsidRPr="008F6472">
        <w:rPr>
          <w:color w:val="000000"/>
        </w:rPr>
        <w:t>Arbitragehof 8 oktober 2003,</w:t>
      </w:r>
      <w:r>
        <w:rPr>
          <w:color w:val="000000"/>
        </w:rPr>
        <w:t xml:space="preserve"> nr. 134/2003, </w:t>
      </w:r>
      <w:r w:rsidRPr="008F6472">
        <w:rPr>
          <w:i/>
          <w:iCs/>
          <w:color w:val="000000"/>
        </w:rPr>
        <w:t xml:space="preserve">NJW </w:t>
      </w:r>
      <w:r>
        <w:rPr>
          <w:color w:val="000000"/>
        </w:rPr>
        <w:t>2004, 80, overw. B.2.</w:t>
      </w:r>
    </w:p>
  </w:footnote>
  <w:footnote w:id="79">
    <w:p w:rsidR="002A0E74" w:rsidRDefault="002A0E74">
      <w:pPr>
        <w:pStyle w:val="FootnoteText"/>
      </w:pPr>
      <w:r>
        <w:rPr>
          <w:rStyle w:val="FootnoteReference"/>
        </w:rPr>
        <w:footnoteRef/>
      </w:r>
      <w:r>
        <w:t xml:space="preserve">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rsidRPr="00187999">
        <w:t xml:space="preserve"> 2006, afl. 10,</w:t>
      </w:r>
      <w:r>
        <w:t xml:space="preserve"> (567) 568-569, nr. 4-5.</w:t>
      </w:r>
    </w:p>
  </w:footnote>
  <w:footnote w:id="80">
    <w:p w:rsidR="002A0E74" w:rsidRPr="00A82EF8" w:rsidRDefault="002A0E74" w:rsidP="00A47924">
      <w:pPr>
        <w:pStyle w:val="FootnoteText"/>
        <w:rPr>
          <w:smallCaps/>
        </w:rPr>
      </w:pPr>
      <w:r w:rsidRPr="00187999">
        <w:rPr>
          <w:rStyle w:val="FootnoteReference"/>
        </w:rPr>
        <w:footnoteRef/>
      </w:r>
      <w:r>
        <w:t xml:space="preserve"> </w:t>
      </w:r>
      <w:r>
        <w:t xml:space="preserve">Art. </w:t>
      </w:r>
      <w:r w:rsidRPr="00187999">
        <w:t xml:space="preserve">203, §1 BW.; </w:t>
      </w:r>
      <w:r w:rsidRPr="00187999">
        <w:rPr>
          <w:smallCaps/>
        </w:rPr>
        <w:t xml:space="preserve">A. </w:t>
      </w:r>
      <w:r>
        <w:rPr>
          <w:smallCaps/>
        </w:rPr>
        <w:t>HEYVAERT</w:t>
      </w:r>
      <w:r w:rsidRPr="00187999">
        <w:rPr>
          <w:smallCaps/>
        </w:rPr>
        <w:t xml:space="preserve">, </w:t>
      </w:r>
      <w:r w:rsidRPr="00187999">
        <w:rPr>
          <w:i/>
          <w:iCs/>
        </w:rPr>
        <w:t>Het personen-</w:t>
      </w:r>
      <w:r>
        <w:rPr>
          <w:i/>
          <w:iCs/>
        </w:rPr>
        <w:t xml:space="preserve"> </w:t>
      </w:r>
      <w:r w:rsidRPr="00187999">
        <w:rPr>
          <w:i/>
          <w:iCs/>
        </w:rPr>
        <w:t>en gezinsrecht ont(k)leed</w:t>
      </w:r>
      <w:r w:rsidRPr="00187999">
        <w:t>, Gent, Mys &amp; Breesch, 2001, 243, nr. 613;</w:t>
      </w:r>
      <w:r>
        <w:t xml:space="preserve"> </w:t>
      </w:r>
      <w:r>
        <w:rPr>
          <w:smallCaps/>
        </w:rPr>
        <w:t xml:space="preserve">J. PUT, </w:t>
      </w:r>
      <w:r w:rsidRPr="00DB66D3">
        <w:rPr>
          <w:i/>
          <w:iCs/>
        </w:rPr>
        <w:t>Handboek Jeugdbeschermingsrecht</w:t>
      </w:r>
      <w:r>
        <w:t>, Brugge, Die Keure, 2015, 557, nr. 1101;</w:t>
      </w:r>
      <w:r w:rsidRPr="00187999">
        <w:rPr>
          <w:smallCaps/>
          <w:color w:val="000000"/>
        </w:rPr>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Leuven, Acco, 2015, 363</w:t>
      </w:r>
      <w:r w:rsidRPr="00187999">
        <w:rPr>
          <w:color w:val="000000"/>
        </w:rPr>
        <w:t xml:space="preserve">, nr. 1167; </w:t>
      </w:r>
      <w:r w:rsidRPr="00187999">
        <w:rPr>
          <w:smallCaps/>
          <w:color w:val="000000"/>
        </w:rPr>
        <w:t xml:space="preserve">G. </w:t>
      </w:r>
      <w:r>
        <w:rPr>
          <w:smallCaps/>
        </w:rPr>
        <w:t>VERSCHELDEN</w:t>
      </w:r>
      <w:r w:rsidRPr="00187999">
        <w:rPr>
          <w:smallCaps/>
        </w:rPr>
        <w:t xml:space="preserve">, </w:t>
      </w:r>
      <w:r w:rsidRPr="00187999">
        <w:rPr>
          <w:i/>
          <w:iCs/>
        </w:rPr>
        <w:t>Handboek Belgisch familierecht,</w:t>
      </w:r>
      <w:r w:rsidRPr="00187999">
        <w:t xml:space="preserve"> Brugge, Die Keure, 2010, 303, nr. 707.</w:t>
      </w:r>
    </w:p>
  </w:footnote>
  <w:footnote w:id="81">
    <w:p w:rsidR="002A0E74" w:rsidRDefault="002A0E74">
      <w:pPr>
        <w:pStyle w:val="FootnoteText"/>
      </w:pPr>
      <w:r>
        <w:rPr>
          <w:rStyle w:val="FootnoteReference"/>
        </w:rPr>
        <w:footnoteRef/>
      </w:r>
      <w:r>
        <w:t xml:space="preserve"> </w:t>
      </w:r>
      <w:r>
        <w:rPr>
          <w:smallCaps/>
        </w:rPr>
        <w:t xml:space="preserve">Y.-H. LELEU, </w:t>
      </w:r>
      <w:r w:rsidRPr="00794932">
        <w:rPr>
          <w:i/>
          <w:iCs/>
        </w:rPr>
        <w:t>Droit des personnes et des familles</w:t>
      </w:r>
      <w:r>
        <w:t xml:space="preserve">, Brussel, Larcier, 2015, 732, nr. 745; </w:t>
      </w:r>
      <w:r>
        <w:rPr>
          <w:smallCaps/>
        </w:rPr>
        <w:t xml:space="preserve">R. VASSEUR, </w:t>
      </w:r>
      <w:r>
        <w:t xml:space="preserve">“Ontzetting uit het ouderlijk gezag, geen straf, wel jeugdbeschermingsmaatregel. Een toepassing.” (noot onder Hof van beroep Gent 10 december 2014), </w:t>
      </w:r>
      <w:r w:rsidRPr="00BA2447">
        <w:rPr>
          <w:i/>
          <w:iCs/>
        </w:rPr>
        <w:t xml:space="preserve">TJK </w:t>
      </w:r>
      <w:r>
        <w:t>2015, (176) 176, nr. 1.</w:t>
      </w:r>
    </w:p>
  </w:footnote>
  <w:footnote w:id="82">
    <w:p w:rsidR="002A0E74" w:rsidRDefault="002A0E74" w:rsidP="00533540">
      <w:r w:rsidRPr="00187999">
        <w:rPr>
          <w:rStyle w:val="FootnoteReference"/>
          <w:sz w:val="20"/>
          <w:szCs w:val="20"/>
        </w:rPr>
        <w:footnoteRef/>
      </w:r>
      <w:r w:rsidRPr="00187999">
        <w:rPr>
          <w:sz w:val="20"/>
          <w:szCs w:val="20"/>
        </w:rPr>
        <w:t xml:space="preserve"> </w:t>
      </w:r>
      <w:r w:rsidRPr="00187999">
        <w:rPr>
          <w:smallCaps/>
          <w:sz w:val="20"/>
          <w:szCs w:val="20"/>
        </w:rPr>
        <w:t xml:space="preserve">A. </w:t>
      </w:r>
      <w:r>
        <w:rPr>
          <w:smallCaps/>
          <w:sz w:val="20"/>
          <w:szCs w:val="20"/>
        </w:rPr>
        <w:t>HEYVAERT</w:t>
      </w:r>
      <w:r w:rsidRPr="00187999">
        <w:rPr>
          <w:smallCaps/>
          <w:sz w:val="20"/>
          <w:szCs w:val="20"/>
        </w:rPr>
        <w:t xml:space="preserve">, </w:t>
      </w:r>
      <w:r w:rsidRPr="00187999">
        <w:rPr>
          <w:i/>
          <w:iCs/>
          <w:sz w:val="20"/>
          <w:szCs w:val="20"/>
        </w:rPr>
        <w:t>Het personen-</w:t>
      </w:r>
      <w:r>
        <w:rPr>
          <w:i/>
          <w:iCs/>
          <w:sz w:val="20"/>
          <w:szCs w:val="20"/>
        </w:rPr>
        <w:t xml:space="preserve"> </w:t>
      </w:r>
      <w:r w:rsidRPr="00187999">
        <w:rPr>
          <w:i/>
          <w:iCs/>
          <w:sz w:val="20"/>
          <w:szCs w:val="20"/>
        </w:rPr>
        <w:t>en gezinsrecht ont(k)leed</w:t>
      </w:r>
      <w:r w:rsidRPr="00187999">
        <w:rPr>
          <w:sz w:val="20"/>
          <w:szCs w:val="20"/>
        </w:rPr>
        <w:t xml:space="preserve">, Gent, Mys &amp; Breesch, 2001, 243, nr. 613; </w:t>
      </w:r>
      <w:r w:rsidRPr="00187999">
        <w:rPr>
          <w:smallCaps/>
          <w:sz w:val="20"/>
          <w:szCs w:val="20"/>
        </w:rPr>
        <w:t xml:space="preserve">A. </w:t>
      </w:r>
      <w:r>
        <w:rPr>
          <w:smallCaps/>
          <w:sz w:val="20"/>
          <w:szCs w:val="20"/>
        </w:rPr>
        <w:t>HUYGENS,</w:t>
      </w:r>
      <w:r w:rsidRPr="00187999">
        <w:rPr>
          <w:smallCaps/>
          <w:sz w:val="20"/>
          <w:szCs w:val="20"/>
        </w:rPr>
        <w:t xml:space="preserve"> </w:t>
      </w:r>
      <w:r w:rsidRPr="00187999">
        <w:rPr>
          <w:sz w:val="20"/>
          <w:szCs w:val="20"/>
        </w:rPr>
        <w:t xml:space="preserve">“Persoonlijk gezag over minderjarige kinderen: quo vadis?”, </w:t>
      </w:r>
      <w:r w:rsidRPr="00187999">
        <w:rPr>
          <w:i/>
          <w:iCs/>
          <w:sz w:val="20"/>
          <w:szCs w:val="20"/>
        </w:rPr>
        <w:t>TBBR</w:t>
      </w:r>
      <w:r w:rsidRPr="00187999">
        <w:rPr>
          <w:sz w:val="20"/>
          <w:szCs w:val="20"/>
        </w:rPr>
        <w:t xml:space="preserve"> 2006, afl. 10,</w:t>
      </w:r>
      <w:r>
        <w:rPr>
          <w:sz w:val="20"/>
          <w:szCs w:val="20"/>
        </w:rPr>
        <w:t xml:space="preserve"> (567)</w:t>
      </w:r>
      <w:r w:rsidRPr="00187999">
        <w:rPr>
          <w:sz w:val="20"/>
          <w:szCs w:val="20"/>
        </w:rPr>
        <w:t xml:space="preserve"> 568-569, nr</w:t>
      </w:r>
      <w:r w:rsidRPr="00187999">
        <w:rPr>
          <w:smallCaps/>
          <w:color w:val="000000"/>
          <w:sz w:val="20"/>
          <w:szCs w:val="20"/>
        </w:rPr>
        <w:t xml:space="preserve">. 5; G. </w:t>
      </w:r>
      <w:r>
        <w:rPr>
          <w:smallCaps/>
          <w:sz w:val="20"/>
          <w:szCs w:val="20"/>
        </w:rPr>
        <w:t>VERSCHELDEN</w:t>
      </w:r>
      <w:r w:rsidRPr="00187999">
        <w:rPr>
          <w:smallCaps/>
          <w:sz w:val="20"/>
          <w:szCs w:val="20"/>
        </w:rPr>
        <w:t xml:space="preserve">, </w:t>
      </w:r>
      <w:r w:rsidRPr="00187999">
        <w:rPr>
          <w:i/>
          <w:iCs/>
          <w:sz w:val="20"/>
          <w:szCs w:val="20"/>
        </w:rPr>
        <w:t>Handboek Belgisch familierecht,</w:t>
      </w:r>
      <w:r w:rsidRPr="00187999">
        <w:rPr>
          <w:sz w:val="20"/>
          <w:szCs w:val="20"/>
        </w:rPr>
        <w:t xml:space="preserve"> Brugge, Die Keure, 2010, 10, 303, nr. 707; </w:t>
      </w:r>
      <w:r w:rsidRPr="00187999">
        <w:rPr>
          <w:smallCaps/>
          <w:sz w:val="20"/>
          <w:szCs w:val="20"/>
        </w:rPr>
        <w:t xml:space="preserve">T. </w:t>
      </w:r>
      <w:r>
        <w:rPr>
          <w:smallCaps/>
          <w:sz w:val="20"/>
          <w:szCs w:val="20"/>
        </w:rPr>
        <w:t>WUYTS</w:t>
      </w:r>
      <w:r w:rsidRPr="00187999">
        <w:rPr>
          <w:smallCaps/>
          <w:sz w:val="20"/>
          <w:szCs w:val="20"/>
        </w:rPr>
        <w:t>,</w:t>
      </w:r>
      <w:r w:rsidRPr="00187999">
        <w:rPr>
          <w:sz w:val="20"/>
          <w:szCs w:val="20"/>
        </w:rPr>
        <w:t xml:space="preserve"> “Ouderlijk gezag moet op maat van het gezin georganiseerd kunnen worden”, </w:t>
      </w:r>
      <w:r w:rsidRPr="00187999">
        <w:rPr>
          <w:i/>
          <w:iCs/>
          <w:sz w:val="20"/>
          <w:szCs w:val="20"/>
        </w:rPr>
        <w:t xml:space="preserve">TJK </w:t>
      </w:r>
      <w:r w:rsidRPr="00187999">
        <w:rPr>
          <w:sz w:val="20"/>
          <w:szCs w:val="20"/>
        </w:rPr>
        <w:t>2014, afl. 1,</w:t>
      </w:r>
      <w:r>
        <w:rPr>
          <w:sz w:val="20"/>
          <w:szCs w:val="20"/>
        </w:rPr>
        <w:t xml:space="preserve"> (6)</w:t>
      </w:r>
      <w:r w:rsidRPr="00187999">
        <w:rPr>
          <w:sz w:val="20"/>
          <w:szCs w:val="20"/>
        </w:rPr>
        <w:t xml:space="preserve"> 8.</w:t>
      </w:r>
    </w:p>
  </w:footnote>
  <w:footnote w:id="83">
    <w:p w:rsidR="002A0E74" w:rsidRDefault="002A0E74" w:rsidP="00533540">
      <w:pPr>
        <w:pStyle w:val="FootnoteText"/>
      </w:pPr>
      <w:r w:rsidRPr="00187999">
        <w:rPr>
          <w:rStyle w:val="FootnoteReference"/>
        </w:rPr>
        <w:footnoteRef/>
      </w:r>
      <w:r w:rsidRPr="00187999">
        <w:t xml:space="preserve"> </w:t>
      </w:r>
      <w:r>
        <w:rPr>
          <w:smallCaps/>
        </w:rPr>
        <w:t xml:space="preserve">Y.-H. LELEU, </w:t>
      </w:r>
      <w:r w:rsidRPr="00794932">
        <w:rPr>
          <w:i/>
          <w:iCs/>
        </w:rPr>
        <w:t>Droit des personnes et des familles</w:t>
      </w:r>
      <w:r>
        <w:t xml:space="preserve">, Brussel, Larcier, 2015, 732, nr. 745; </w:t>
      </w:r>
      <w:r>
        <w:rPr>
          <w:smallCaps/>
        </w:rPr>
        <w:t>T. WUYTS</w:t>
      </w:r>
      <w:r w:rsidRPr="00187999">
        <w:rPr>
          <w:smallCaps/>
        </w:rPr>
        <w:t>,</w:t>
      </w:r>
      <w:r w:rsidRPr="00187999">
        <w:t xml:space="preserve"> “Ouderlijk gezag moet op maat van het gezin georganiseerd kunnen worden”, </w:t>
      </w:r>
      <w:r w:rsidRPr="00187999">
        <w:rPr>
          <w:i/>
          <w:iCs/>
        </w:rPr>
        <w:t xml:space="preserve">TJK </w:t>
      </w:r>
      <w:r w:rsidRPr="00187999">
        <w:t xml:space="preserve">2014, afl. 1, </w:t>
      </w:r>
      <w:r>
        <w:t xml:space="preserve">(6) </w:t>
      </w:r>
      <w:r w:rsidRPr="00187999">
        <w:t>17, nr. 4.</w:t>
      </w:r>
    </w:p>
  </w:footnote>
  <w:footnote w:id="84">
    <w:p w:rsidR="002A0E74" w:rsidRDefault="002A0E74" w:rsidP="00533540">
      <w:pPr>
        <w:pStyle w:val="FootnoteText"/>
      </w:pPr>
      <w:r w:rsidRPr="00187999">
        <w:rPr>
          <w:rStyle w:val="FootnoteReference"/>
        </w:rPr>
        <w:footnoteRef/>
      </w:r>
      <w:r w:rsidRPr="00187999">
        <w:t xml:space="preserve"> </w:t>
      </w:r>
      <w:r w:rsidRPr="00187999">
        <w:rPr>
          <w:smallCaps/>
        </w:rPr>
        <w:t xml:space="preserve">A. </w:t>
      </w:r>
      <w:r>
        <w:rPr>
          <w:smallCaps/>
        </w:rPr>
        <w:t>HEYVAERT</w:t>
      </w:r>
      <w:r w:rsidRPr="00187999">
        <w:rPr>
          <w:smallCaps/>
        </w:rPr>
        <w:t xml:space="preserve">, </w:t>
      </w:r>
      <w:r w:rsidRPr="00187999">
        <w:rPr>
          <w:i/>
          <w:iCs/>
        </w:rPr>
        <w:t>Het personen-</w:t>
      </w:r>
      <w:r>
        <w:rPr>
          <w:i/>
          <w:iCs/>
        </w:rPr>
        <w:t xml:space="preserve"> </w:t>
      </w:r>
      <w:r w:rsidRPr="00187999">
        <w:rPr>
          <w:i/>
          <w:iCs/>
        </w:rPr>
        <w:t>en gezinsrecht ont(k)leed</w:t>
      </w:r>
      <w:r w:rsidRPr="00187999">
        <w:t xml:space="preserve">, Gent, Mys &amp; Breesch, 2001, 243, nr. 613;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rsidRPr="00187999">
        <w:t xml:space="preserve"> 2006, afl. 10, </w:t>
      </w:r>
      <w:r>
        <w:t>(567)</w:t>
      </w:r>
      <w:r w:rsidRPr="00187999">
        <w:t xml:space="preserve"> 568-569, nr</w:t>
      </w:r>
      <w:r w:rsidRPr="00187999">
        <w:rPr>
          <w:smallCaps/>
          <w:color w:val="000000"/>
        </w:rPr>
        <w:t xml:space="preserve">. 5; G. </w:t>
      </w:r>
      <w:r>
        <w:rPr>
          <w:smallCaps/>
        </w:rPr>
        <w:t>VERSCHELDEN</w:t>
      </w:r>
      <w:r w:rsidRPr="00187999">
        <w:rPr>
          <w:smallCaps/>
        </w:rPr>
        <w:t xml:space="preserve">, </w:t>
      </w:r>
      <w:r w:rsidRPr="00187999">
        <w:rPr>
          <w:i/>
          <w:iCs/>
        </w:rPr>
        <w:t>Handboek Belgisch familierecht,</w:t>
      </w:r>
      <w:r w:rsidRPr="00187999">
        <w:t xml:space="preserve"> Brugge, Die Keure, 2010, 10, 303, nr. 707; </w:t>
      </w:r>
      <w:r w:rsidRPr="00187999">
        <w:rPr>
          <w:smallCaps/>
        </w:rPr>
        <w:t xml:space="preserve">T. </w:t>
      </w:r>
      <w:r>
        <w:rPr>
          <w:smallCaps/>
        </w:rPr>
        <w:t>WUYTS</w:t>
      </w:r>
      <w:r w:rsidRPr="00187999">
        <w:rPr>
          <w:smallCaps/>
        </w:rPr>
        <w:t>,</w:t>
      </w:r>
      <w:r w:rsidRPr="00187999">
        <w:t xml:space="preserve"> “Ouderlijk gezag moet op maat van het gezin georganiseerd kunnen worden”, </w:t>
      </w:r>
      <w:r w:rsidRPr="00187999">
        <w:rPr>
          <w:i/>
          <w:iCs/>
        </w:rPr>
        <w:t xml:space="preserve">TJK </w:t>
      </w:r>
      <w:r w:rsidRPr="00187999">
        <w:t xml:space="preserve">2014, afl. 1, </w:t>
      </w:r>
      <w:r>
        <w:t xml:space="preserve">(6) </w:t>
      </w:r>
      <w:r w:rsidRPr="00187999">
        <w:t>8.</w:t>
      </w:r>
    </w:p>
  </w:footnote>
  <w:footnote w:id="85">
    <w:p w:rsidR="002A0E74" w:rsidRPr="000822F9" w:rsidRDefault="002A0E74" w:rsidP="00533540">
      <w:pPr>
        <w:pStyle w:val="FootnoteText"/>
      </w:pPr>
      <w:r w:rsidRPr="00187999">
        <w:rPr>
          <w:rStyle w:val="FootnoteReference"/>
        </w:rPr>
        <w:footnoteRef/>
      </w:r>
      <w:r w:rsidRPr="00187999">
        <w:t xml:space="preserve"> </w:t>
      </w:r>
      <w:r w:rsidRPr="000822F9">
        <w:rPr>
          <w:smallCaps/>
        </w:rPr>
        <w:t xml:space="preserve">J. PUT, </w:t>
      </w:r>
      <w:r w:rsidRPr="000822F9">
        <w:rPr>
          <w:i/>
          <w:iCs/>
        </w:rPr>
        <w:t>Handboek Jeugdbeschermingsrecht</w:t>
      </w:r>
      <w:r w:rsidRPr="000822F9">
        <w:t xml:space="preserve">, Brugge, Die Keure, 2015, 558, nr. 1103;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Leuven, Acco, 2015, 328-329, nr. 1043 en 1046.</w:t>
      </w:r>
    </w:p>
  </w:footnote>
  <w:footnote w:id="86">
    <w:p w:rsidR="002A0E74" w:rsidRPr="000822F9" w:rsidRDefault="002A0E74">
      <w:pPr>
        <w:pStyle w:val="FootnoteText"/>
      </w:pPr>
      <w:r w:rsidRPr="000822F9">
        <w:rPr>
          <w:rStyle w:val="FootnoteReference"/>
        </w:rPr>
        <w:footnoteRef/>
      </w:r>
      <w:r w:rsidRPr="000822F9">
        <w:t xml:space="preserve"> </w:t>
      </w:r>
      <w:r w:rsidRPr="000822F9">
        <w:t xml:space="preserve">Art. 374, §1, lid 2 BW.;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xml:space="preserve">, Leuven, Acco, 2015, 329, nr. 104; </w:t>
      </w:r>
      <w:r w:rsidRPr="000822F9">
        <w:rPr>
          <w:smallCaps/>
        </w:rPr>
        <w:t xml:space="preserve">F. SWENNEN, </w:t>
      </w:r>
      <w:r w:rsidRPr="000822F9">
        <w:rPr>
          <w:i/>
          <w:iCs/>
        </w:rPr>
        <w:t>Het personen- en familierecht</w:t>
      </w:r>
      <w:r w:rsidRPr="000822F9">
        <w:t>, Antwerpen, Intersentia, 2015, 514, nr. 865.</w:t>
      </w:r>
      <w:r w:rsidRPr="000822F9">
        <w:rPr>
          <w:color w:val="000000"/>
        </w:rPr>
        <w:t xml:space="preserve"> </w:t>
      </w:r>
    </w:p>
  </w:footnote>
  <w:footnote w:id="87">
    <w:p w:rsidR="002A0E74" w:rsidRPr="000822F9" w:rsidRDefault="002A0E74">
      <w:pPr>
        <w:pStyle w:val="FootnoteText"/>
      </w:pPr>
      <w:r w:rsidRPr="000822F9">
        <w:rPr>
          <w:rStyle w:val="FootnoteReference"/>
        </w:rPr>
        <w:footnoteRef/>
      </w:r>
      <w:r w:rsidRPr="000822F9">
        <w:t xml:space="preserve"> </w:t>
      </w:r>
      <w:r w:rsidRPr="000822F9">
        <w:rPr>
          <w:smallCaps/>
        </w:rPr>
        <w:t xml:space="preserve">Y.-H. LELEU, </w:t>
      </w:r>
      <w:r w:rsidRPr="000822F9">
        <w:rPr>
          <w:i/>
          <w:iCs/>
        </w:rPr>
        <w:t>Droit des personnes et des familles</w:t>
      </w:r>
      <w:r w:rsidRPr="000822F9">
        <w:t xml:space="preserve">, Brussel, Larcier, 2015, 739, nr. 749-750;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xml:space="preserve">, Leuven, Acco, 2015, 328, nr. 1044; </w:t>
      </w:r>
      <w:r w:rsidRPr="000822F9">
        <w:rPr>
          <w:smallCaps/>
        </w:rPr>
        <w:t xml:space="preserve">G. VERSCHELDEN, </w:t>
      </w:r>
      <w:r w:rsidRPr="000822F9">
        <w:rPr>
          <w:i/>
          <w:iCs/>
        </w:rPr>
        <w:t>Handboek Belgisch familierecht,</w:t>
      </w:r>
      <w:r w:rsidRPr="000822F9">
        <w:t xml:space="preserve"> Brugge, Die Keure, 2010, 304, nr. 710.</w:t>
      </w:r>
    </w:p>
  </w:footnote>
  <w:footnote w:id="88">
    <w:p w:rsidR="002A0E74" w:rsidRPr="000822F9" w:rsidRDefault="002A0E74" w:rsidP="00533540">
      <w:pPr>
        <w:pStyle w:val="FootnoteText"/>
      </w:pPr>
      <w:r w:rsidRPr="000822F9">
        <w:rPr>
          <w:rStyle w:val="FootnoteReference"/>
        </w:rPr>
        <w:footnoteRef/>
      </w:r>
      <w:r w:rsidRPr="000822F9">
        <w:t xml:space="preserve"> </w:t>
      </w:r>
      <w:r w:rsidRPr="000822F9">
        <w:rPr>
          <w:smallCaps/>
        </w:rPr>
        <w:t xml:space="preserve">J. PUT, </w:t>
      </w:r>
      <w:r w:rsidRPr="000822F9">
        <w:rPr>
          <w:i/>
          <w:iCs/>
        </w:rPr>
        <w:t>Handboek Jeugdbeschermingsrecht</w:t>
      </w:r>
      <w:r w:rsidRPr="000822F9">
        <w:t xml:space="preserve">, Brugge, Die Keure, 2015, 558, nr. 1103;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xml:space="preserve">, Leuven, Acco, 2015, 328-329, nr. 1044-1045; </w:t>
      </w:r>
      <w:r w:rsidRPr="000822F9">
        <w:rPr>
          <w:smallCaps/>
        </w:rPr>
        <w:t xml:space="preserve">G. VERSCHELDEN, </w:t>
      </w:r>
      <w:r w:rsidRPr="000822F9">
        <w:rPr>
          <w:i/>
          <w:iCs/>
        </w:rPr>
        <w:t>Handboek Belgisch familierecht,</w:t>
      </w:r>
      <w:r w:rsidRPr="000822F9">
        <w:t xml:space="preserve"> Brugge, Die Keure, 2010, 304, nr. 710.</w:t>
      </w:r>
    </w:p>
  </w:footnote>
  <w:footnote w:id="89">
    <w:p w:rsidR="002A0E74" w:rsidRPr="000822F9" w:rsidRDefault="002A0E74" w:rsidP="001D1E85">
      <w:pPr>
        <w:rPr>
          <w:sz w:val="20"/>
          <w:szCs w:val="20"/>
        </w:rPr>
      </w:pPr>
      <w:r w:rsidRPr="000822F9">
        <w:rPr>
          <w:rStyle w:val="FootnoteReference"/>
          <w:sz w:val="20"/>
          <w:szCs w:val="20"/>
        </w:rPr>
        <w:footnoteRef/>
      </w:r>
      <w:r w:rsidRPr="000822F9">
        <w:rPr>
          <w:sz w:val="20"/>
          <w:szCs w:val="20"/>
        </w:rPr>
        <w:t xml:space="preserve"> </w:t>
      </w:r>
      <w:r w:rsidRPr="000822F9">
        <w:rPr>
          <w:smallCaps/>
          <w:sz w:val="20"/>
          <w:szCs w:val="20"/>
        </w:rPr>
        <w:t xml:space="preserve">F. SWENNEN, </w:t>
      </w:r>
      <w:r w:rsidRPr="000822F9">
        <w:rPr>
          <w:i/>
          <w:iCs/>
          <w:sz w:val="20"/>
          <w:szCs w:val="20"/>
        </w:rPr>
        <w:t>Het personen- en familierecht</w:t>
      </w:r>
      <w:r w:rsidRPr="000822F9">
        <w:rPr>
          <w:sz w:val="20"/>
          <w:szCs w:val="20"/>
        </w:rPr>
        <w:t xml:space="preserve">, Antwerpen, Intersentia, 2015, 515-516, nr. 866; </w:t>
      </w:r>
      <w:r w:rsidRPr="000822F9">
        <w:rPr>
          <w:smallCaps/>
          <w:sz w:val="20"/>
          <w:szCs w:val="20"/>
        </w:rPr>
        <w:t xml:space="preserve">A., </w:t>
      </w:r>
      <w:r w:rsidRPr="000822F9">
        <w:rPr>
          <w:smallCaps/>
          <w:color w:val="000000"/>
          <w:sz w:val="20"/>
          <w:szCs w:val="20"/>
        </w:rPr>
        <w:t>VANDEKERCKHOVE, “</w:t>
      </w:r>
      <w:r w:rsidRPr="000822F9">
        <w:rPr>
          <w:color w:val="000000"/>
          <w:sz w:val="20"/>
          <w:szCs w:val="20"/>
        </w:rPr>
        <w:t xml:space="preserve">Zorgouderschap? Meerdere ouderschapsstatuten voor één kind?”, </w:t>
      </w:r>
      <w:r w:rsidRPr="000822F9">
        <w:rPr>
          <w:i/>
          <w:iCs/>
          <w:color w:val="000000"/>
          <w:sz w:val="20"/>
          <w:szCs w:val="20"/>
        </w:rPr>
        <w:t>TJK</w:t>
      </w:r>
      <w:r w:rsidRPr="000822F9">
        <w:rPr>
          <w:color w:val="000000"/>
          <w:sz w:val="20"/>
          <w:szCs w:val="20"/>
        </w:rPr>
        <w:t xml:space="preserve"> 2006, (256) 256-260.</w:t>
      </w:r>
    </w:p>
  </w:footnote>
  <w:footnote w:id="90">
    <w:p w:rsidR="002A0E74" w:rsidRPr="000822F9" w:rsidRDefault="002A0E74">
      <w:pPr>
        <w:pStyle w:val="FootnoteText"/>
      </w:pPr>
      <w:r w:rsidRPr="000822F9">
        <w:rPr>
          <w:rStyle w:val="FootnoteReference"/>
        </w:rPr>
        <w:footnoteRef/>
      </w:r>
      <w:r w:rsidRPr="000822F9">
        <w:rPr>
          <w:smallCaps/>
        </w:rPr>
        <w:t xml:space="preserve"> </w:t>
      </w:r>
      <w:r w:rsidRPr="000822F9">
        <w:rPr>
          <w:smallCaps/>
        </w:rPr>
        <w:t xml:space="preserve">F. SWENNEN, </w:t>
      </w:r>
      <w:r w:rsidRPr="000822F9">
        <w:rPr>
          <w:i/>
          <w:iCs/>
        </w:rPr>
        <w:t>Het personen- en familierecht</w:t>
      </w:r>
      <w:r w:rsidRPr="000822F9">
        <w:t xml:space="preserve">, Antwerpen, Intersentia, 2015, 515-516, nr. 866; </w:t>
      </w:r>
      <w:r w:rsidRPr="000822F9">
        <w:rPr>
          <w:smallCaps/>
        </w:rPr>
        <w:t xml:space="preserve">G. VERSCHELDEN, </w:t>
      </w:r>
      <w:r w:rsidRPr="000822F9">
        <w:rPr>
          <w:i/>
          <w:iCs/>
        </w:rPr>
        <w:t>Handboek Belgisch familierecht,</w:t>
      </w:r>
      <w:r w:rsidRPr="000822F9">
        <w:t xml:space="preserve"> Brugge, Die Keure, 2010, 304, nr. 710.</w:t>
      </w:r>
    </w:p>
  </w:footnote>
  <w:footnote w:id="91">
    <w:p w:rsidR="002A0E74" w:rsidRPr="000822F9" w:rsidRDefault="002A0E74">
      <w:pPr>
        <w:pStyle w:val="FootnoteText"/>
        <w:rPr>
          <w:lang w:val="fr-FR"/>
        </w:rPr>
      </w:pPr>
      <w:r w:rsidRPr="000822F9">
        <w:rPr>
          <w:rStyle w:val="FootnoteReference"/>
        </w:rPr>
        <w:footnoteRef/>
      </w:r>
      <w:r w:rsidRPr="000822F9">
        <w:rPr>
          <w:lang w:val="fr-FR"/>
        </w:rPr>
        <w:t xml:space="preserve"> </w:t>
      </w:r>
      <w:r w:rsidRPr="000822F9">
        <w:rPr>
          <w:smallCaps/>
          <w:lang w:val="fr-FR"/>
        </w:rPr>
        <w:t xml:space="preserve">Y.-H. LELEU, </w:t>
      </w:r>
      <w:r w:rsidRPr="000822F9">
        <w:rPr>
          <w:i/>
          <w:iCs/>
          <w:lang w:val="fr-FR"/>
        </w:rPr>
        <w:t>Droit des personnes et des familles</w:t>
      </w:r>
      <w:r w:rsidRPr="000822F9">
        <w:rPr>
          <w:lang w:val="fr-FR"/>
        </w:rPr>
        <w:t xml:space="preserve">, Brussel, Larcier, 2015, 742-743, nr. 751-752; </w:t>
      </w:r>
      <w:r w:rsidRPr="000822F9">
        <w:rPr>
          <w:smallCaps/>
          <w:lang w:val="fr-FR"/>
        </w:rPr>
        <w:t>P.</w:t>
      </w:r>
      <w:r w:rsidRPr="000822F9">
        <w:rPr>
          <w:color w:val="000000"/>
          <w:lang w:val="fr-FR"/>
        </w:rPr>
        <w:t xml:space="preserve"> </w:t>
      </w:r>
      <w:r w:rsidRPr="000822F9">
        <w:rPr>
          <w:smallCaps/>
          <w:color w:val="000000"/>
          <w:lang w:val="fr-FR"/>
        </w:rPr>
        <w:t xml:space="preserve">SENAEVE, </w:t>
      </w:r>
      <w:r w:rsidRPr="000822F9">
        <w:rPr>
          <w:i/>
          <w:iCs/>
          <w:color w:val="000000"/>
          <w:lang w:val="fr-FR"/>
        </w:rPr>
        <w:t>Compendium van het Personen- en Familierecht</w:t>
      </w:r>
      <w:r w:rsidRPr="000822F9">
        <w:rPr>
          <w:color w:val="000000"/>
          <w:lang w:val="fr-FR"/>
        </w:rPr>
        <w:t>, Leuven, Acco, 2015, 329, nr. 1047.</w:t>
      </w:r>
    </w:p>
  </w:footnote>
  <w:footnote w:id="92">
    <w:p w:rsidR="002A0E74" w:rsidRPr="00A6770A" w:rsidRDefault="002A0E74">
      <w:pPr>
        <w:pStyle w:val="FootnoteText"/>
        <w:rPr>
          <w:lang w:val="fr-FR"/>
        </w:rPr>
      </w:pPr>
      <w:r w:rsidRPr="000822F9">
        <w:rPr>
          <w:rStyle w:val="FootnoteReference"/>
        </w:rPr>
        <w:footnoteRef/>
      </w:r>
      <w:r w:rsidRPr="000822F9">
        <w:rPr>
          <w:lang w:val="fr-FR"/>
        </w:rPr>
        <w:t xml:space="preserve"> </w:t>
      </w:r>
      <w:r w:rsidRPr="000822F9">
        <w:rPr>
          <w:smallCaps/>
          <w:lang w:val="fr-FR"/>
        </w:rPr>
        <w:t xml:space="preserve">Y.-H. LELEU, </w:t>
      </w:r>
      <w:r w:rsidRPr="000822F9">
        <w:rPr>
          <w:i/>
          <w:iCs/>
          <w:lang w:val="fr-FR"/>
        </w:rPr>
        <w:t>Droit des personnes et des familles</w:t>
      </w:r>
      <w:r w:rsidRPr="000822F9">
        <w:rPr>
          <w:lang w:val="fr-FR"/>
        </w:rPr>
        <w:t xml:space="preserve">, Brussel, Larcier, 2015, 742-743, nr. 751-752; </w:t>
      </w:r>
      <w:r w:rsidRPr="000822F9">
        <w:rPr>
          <w:smallCaps/>
          <w:lang w:val="fr-FR"/>
        </w:rPr>
        <w:t>P.</w:t>
      </w:r>
      <w:r w:rsidRPr="000822F9">
        <w:rPr>
          <w:color w:val="000000"/>
          <w:lang w:val="fr-FR"/>
        </w:rPr>
        <w:t xml:space="preserve"> </w:t>
      </w:r>
      <w:r w:rsidRPr="000822F9">
        <w:rPr>
          <w:smallCaps/>
          <w:color w:val="000000"/>
          <w:lang w:val="fr-FR"/>
        </w:rPr>
        <w:t xml:space="preserve">SENAEVE, </w:t>
      </w:r>
      <w:r w:rsidRPr="000822F9">
        <w:rPr>
          <w:i/>
          <w:iCs/>
          <w:color w:val="000000"/>
          <w:lang w:val="fr-FR"/>
        </w:rPr>
        <w:t>Compendium van het Personen- en Familierecht</w:t>
      </w:r>
      <w:r w:rsidRPr="000822F9">
        <w:rPr>
          <w:color w:val="000000"/>
          <w:lang w:val="fr-FR"/>
        </w:rPr>
        <w:t>, Leuven, Acco, 2015, 329, nr. 1049.</w:t>
      </w:r>
    </w:p>
  </w:footnote>
  <w:footnote w:id="93">
    <w:p w:rsidR="002A0E74" w:rsidRDefault="002A0E74">
      <w:pPr>
        <w:pStyle w:val="FootnoteText"/>
      </w:pPr>
      <w:r w:rsidRPr="000D31F4">
        <w:rPr>
          <w:rStyle w:val="FootnoteReference"/>
        </w:rPr>
        <w:footnoteRef/>
      </w:r>
      <w:r w:rsidRPr="000D31F4">
        <w:t xml:space="preserve"> </w:t>
      </w:r>
      <w:r w:rsidRPr="000D31F4">
        <w:rPr>
          <w:smallCaps/>
        </w:rPr>
        <w:t>P.</w:t>
      </w:r>
      <w:r w:rsidRPr="000D31F4">
        <w:rPr>
          <w:color w:val="000000"/>
        </w:rPr>
        <w:t xml:space="preserve"> </w:t>
      </w:r>
      <w:r>
        <w:rPr>
          <w:smallCaps/>
          <w:color w:val="000000"/>
        </w:rPr>
        <w:t>SENAEVE</w:t>
      </w:r>
      <w:r w:rsidRPr="000D31F4">
        <w:rPr>
          <w:smallCaps/>
          <w:color w:val="000000"/>
        </w:rPr>
        <w:t xml:space="preserve">, </w:t>
      </w:r>
      <w:r w:rsidRPr="000D31F4">
        <w:rPr>
          <w:i/>
          <w:iCs/>
          <w:color w:val="000000"/>
        </w:rPr>
        <w:t>Compendium van het Personen- en Familierecht</w:t>
      </w:r>
      <w:r w:rsidRPr="000D31F4">
        <w:rPr>
          <w:color w:val="000000"/>
        </w:rPr>
        <w:t>, Leuven, Acco, 2015, 330, nr. 1050.</w:t>
      </w:r>
    </w:p>
  </w:footnote>
  <w:footnote w:id="94">
    <w:p w:rsidR="002A0E74" w:rsidRDefault="002A0E74">
      <w:pPr>
        <w:pStyle w:val="FootnoteText"/>
      </w:pPr>
      <w:r>
        <w:rPr>
          <w:rStyle w:val="FootnoteReference"/>
        </w:rPr>
        <w:footnoteRef/>
      </w:r>
      <w:r>
        <w:t xml:space="preserve"> </w:t>
      </w:r>
      <w:r w:rsidRPr="000D31F4">
        <w:rPr>
          <w:smallCaps/>
        </w:rPr>
        <w:t>P.</w:t>
      </w:r>
      <w:r w:rsidRPr="000D31F4">
        <w:rPr>
          <w:color w:val="000000"/>
        </w:rPr>
        <w:t xml:space="preserve"> </w:t>
      </w:r>
      <w:r>
        <w:rPr>
          <w:smallCaps/>
          <w:color w:val="000000"/>
        </w:rPr>
        <w:t>SENAEVE</w:t>
      </w:r>
      <w:r w:rsidRPr="000D31F4">
        <w:rPr>
          <w:smallCaps/>
          <w:color w:val="000000"/>
        </w:rPr>
        <w:t xml:space="preserve">, </w:t>
      </w:r>
      <w:r w:rsidRPr="000D31F4">
        <w:rPr>
          <w:i/>
          <w:iCs/>
          <w:color w:val="000000"/>
        </w:rPr>
        <w:t>Compendium van het Personen- en Familierecht</w:t>
      </w:r>
      <w:r w:rsidRPr="000D31F4">
        <w:rPr>
          <w:color w:val="000000"/>
        </w:rPr>
        <w:t>, Leuven, Acco, 2015, 330, nr. 1052.</w:t>
      </w:r>
    </w:p>
  </w:footnote>
  <w:footnote w:id="95">
    <w:p w:rsidR="002A0E74" w:rsidRDefault="002A0E74" w:rsidP="00AE5D3F">
      <w:pPr>
        <w:pStyle w:val="FootnoteText"/>
      </w:pPr>
      <w:r w:rsidRPr="00187999">
        <w:rPr>
          <w:rStyle w:val="FootnoteReference"/>
        </w:rPr>
        <w:footnoteRef/>
      </w:r>
      <w:r w:rsidRPr="00187999">
        <w:t xml:space="preserve">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Pr>
          <w:color w:val="000000"/>
        </w:rPr>
        <w:t>, Leuven, Acco, 2015, 644-645</w:t>
      </w:r>
      <w:r w:rsidRPr="00187999">
        <w:rPr>
          <w:color w:val="000000"/>
        </w:rPr>
        <w:t xml:space="preserve">, nr. 2109; </w:t>
      </w:r>
      <w:r>
        <w:rPr>
          <w:smallCaps/>
        </w:rPr>
        <w:t xml:space="preserve">G. VERSCHELDEN, </w:t>
      </w:r>
      <w:r w:rsidRPr="00187999">
        <w:rPr>
          <w:i/>
          <w:iCs/>
        </w:rPr>
        <w:t>Handboek Belgisch familierecht,</w:t>
      </w:r>
      <w:r w:rsidRPr="00187999">
        <w:t xml:space="preserve"> Brugge, Die Keure, 2010, 321, nr.</w:t>
      </w:r>
      <w:r>
        <w:t xml:space="preserve"> </w:t>
      </w:r>
      <w:r w:rsidRPr="00187999">
        <w:t>758.</w:t>
      </w:r>
    </w:p>
  </w:footnote>
  <w:footnote w:id="96">
    <w:p w:rsidR="002A0E74" w:rsidRDefault="002A0E74">
      <w:pPr>
        <w:pStyle w:val="FootnoteText"/>
      </w:pPr>
      <w:r w:rsidRPr="000D31F4">
        <w:rPr>
          <w:rStyle w:val="FootnoteReference"/>
        </w:rPr>
        <w:footnoteRef/>
      </w:r>
      <w:r w:rsidRPr="000D31F4">
        <w:t xml:space="preserve"> </w:t>
      </w:r>
      <w:r w:rsidRPr="000D31F4">
        <w:rPr>
          <w:smallCaps/>
        </w:rPr>
        <w:t>P.</w:t>
      </w:r>
      <w:r w:rsidRPr="000D31F4">
        <w:rPr>
          <w:color w:val="000000"/>
        </w:rPr>
        <w:t xml:space="preserve"> </w:t>
      </w:r>
      <w:r>
        <w:rPr>
          <w:smallCaps/>
          <w:color w:val="000000"/>
        </w:rPr>
        <w:t>SENAEVE</w:t>
      </w:r>
      <w:r w:rsidRPr="000D31F4">
        <w:rPr>
          <w:smallCaps/>
          <w:color w:val="000000"/>
        </w:rPr>
        <w:t xml:space="preserve">, </w:t>
      </w:r>
      <w:r w:rsidRPr="000D31F4">
        <w:rPr>
          <w:i/>
          <w:iCs/>
          <w:color w:val="000000"/>
        </w:rPr>
        <w:t>Compendium van het Personen- en Familierecht</w:t>
      </w:r>
      <w:r w:rsidRPr="000D31F4">
        <w:rPr>
          <w:color w:val="000000"/>
        </w:rPr>
        <w:t>, Le</w:t>
      </w:r>
      <w:r>
        <w:rPr>
          <w:color w:val="000000"/>
        </w:rPr>
        <w:t xml:space="preserve">uven, Acco, 2015, 328, nr. 1040;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287, nr. 414.</w:t>
      </w:r>
    </w:p>
  </w:footnote>
  <w:footnote w:id="97">
    <w:p w:rsidR="002A0E74" w:rsidRDefault="002A0E74">
      <w:pPr>
        <w:pStyle w:val="FootnoteText"/>
      </w:pPr>
      <w:r w:rsidRPr="000D31F4">
        <w:rPr>
          <w:rStyle w:val="FootnoteReference"/>
        </w:rPr>
        <w:footnoteRef/>
      </w:r>
      <w:r w:rsidRPr="000D31F4">
        <w:t xml:space="preserve"> </w:t>
      </w:r>
      <w:r w:rsidRPr="000D31F4">
        <w:rPr>
          <w:smallCaps/>
        </w:rPr>
        <w:t>P.</w:t>
      </w:r>
      <w:r w:rsidRPr="000D31F4">
        <w:rPr>
          <w:color w:val="000000"/>
        </w:rPr>
        <w:t xml:space="preserve"> </w:t>
      </w:r>
      <w:r>
        <w:rPr>
          <w:smallCaps/>
          <w:color w:val="000000"/>
        </w:rPr>
        <w:t>SENAEVE</w:t>
      </w:r>
      <w:r w:rsidRPr="000D31F4">
        <w:rPr>
          <w:smallCaps/>
          <w:color w:val="000000"/>
        </w:rPr>
        <w:t xml:space="preserve">, </w:t>
      </w:r>
      <w:r w:rsidRPr="000D31F4">
        <w:rPr>
          <w:i/>
          <w:iCs/>
          <w:color w:val="000000"/>
        </w:rPr>
        <w:t>Compendium van het Personen- en Familierecht</w:t>
      </w:r>
      <w:r w:rsidRPr="000D31F4">
        <w:rPr>
          <w:color w:val="000000"/>
        </w:rPr>
        <w:t>, Le</w:t>
      </w:r>
      <w:r>
        <w:rPr>
          <w:color w:val="000000"/>
        </w:rPr>
        <w:t xml:space="preserve">uven, Acco, 2015, 328, nr. 1040;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287, nr. 414.</w:t>
      </w:r>
    </w:p>
  </w:footnote>
  <w:footnote w:id="98">
    <w:p w:rsidR="002A0E74" w:rsidRPr="009A4E74" w:rsidRDefault="002A0E74" w:rsidP="007C2A5C">
      <w:pPr>
        <w:pStyle w:val="FootnoteText"/>
      </w:pPr>
      <w:r w:rsidRPr="00187999">
        <w:rPr>
          <w:rStyle w:val="FootnoteReference"/>
        </w:rPr>
        <w:footnoteRef/>
      </w:r>
      <w:r>
        <w:t xml:space="preserve"> </w:t>
      </w:r>
      <w:r>
        <w:t xml:space="preserve">Art. </w:t>
      </w:r>
      <w:r w:rsidRPr="00187999">
        <w:t>374, §1, lid 4 BW</w:t>
      </w:r>
      <w:r>
        <w:t>.</w:t>
      </w:r>
      <w:r w:rsidRPr="00187999">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xml:space="preserve">, Leuven, Acco, 2015, 646, nr. 2116;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287, nr. 414.</w:t>
      </w:r>
    </w:p>
  </w:footnote>
  <w:footnote w:id="99">
    <w:p w:rsidR="002A0E74" w:rsidRDefault="002A0E74">
      <w:pPr>
        <w:pStyle w:val="FootnoteText"/>
      </w:pPr>
      <w:r>
        <w:rPr>
          <w:rStyle w:val="FootnoteReference"/>
        </w:rPr>
        <w:footnoteRef/>
      </w:r>
      <w:r>
        <w:t xml:space="preserve"> </w:t>
      </w:r>
      <w:r>
        <w:t>Art. 374, §1, lid 4 BW.</w:t>
      </w:r>
    </w:p>
  </w:footnote>
  <w:footnote w:id="100">
    <w:p w:rsidR="002A0E74" w:rsidRDefault="002A0E74" w:rsidP="004D06E0">
      <w:pPr>
        <w:pStyle w:val="FootnoteText"/>
      </w:pPr>
      <w:r>
        <w:rPr>
          <w:rStyle w:val="FootnoteReference"/>
        </w:rPr>
        <w:footnoteRef/>
      </w:r>
      <w:r>
        <w:t xml:space="preserve">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sidRPr="00187999">
        <w:rPr>
          <w:color w:val="000000"/>
        </w:rPr>
        <w:t>, Le</w:t>
      </w:r>
      <w:r>
        <w:rPr>
          <w:color w:val="000000"/>
        </w:rPr>
        <w:t>uven, Acco, 2015, 648, nr. 2125.</w:t>
      </w:r>
    </w:p>
  </w:footnote>
  <w:footnote w:id="101">
    <w:p w:rsidR="002A0E74" w:rsidRDefault="002A0E74" w:rsidP="000822F9">
      <w:pPr>
        <w:pStyle w:val="FootnoteText"/>
      </w:pPr>
      <w:r>
        <w:rPr>
          <w:rStyle w:val="FootnoteReference"/>
        </w:rPr>
        <w:footnoteRef/>
      </w:r>
      <w:r>
        <w:t xml:space="preserve">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sidRPr="00187999">
        <w:rPr>
          <w:color w:val="000000"/>
        </w:rPr>
        <w:t>, Le</w:t>
      </w:r>
      <w:r>
        <w:rPr>
          <w:color w:val="000000"/>
        </w:rPr>
        <w:t>uven, Acco, 2015, 649, nr. 2128.</w:t>
      </w:r>
    </w:p>
  </w:footnote>
  <w:footnote w:id="102">
    <w:p w:rsidR="002A0E74" w:rsidRDefault="002A0E74" w:rsidP="000822F9">
      <w:pPr>
        <w:pStyle w:val="FootnoteText"/>
      </w:pPr>
      <w:r w:rsidRPr="00187999">
        <w:rPr>
          <w:rStyle w:val="FootnoteReference"/>
        </w:rPr>
        <w:footnoteRef/>
      </w:r>
      <w:r w:rsidRPr="00187999">
        <w:t xml:space="preserve"> </w:t>
      </w:r>
      <w:r w:rsidRPr="000D31F4">
        <w:rPr>
          <w:smallCaps/>
        </w:rPr>
        <w:t xml:space="preserve">G. </w:t>
      </w:r>
      <w:r>
        <w:rPr>
          <w:smallCaps/>
        </w:rPr>
        <w:t>VERSCHELDEN</w:t>
      </w:r>
      <w:r w:rsidRPr="000D31F4">
        <w:rPr>
          <w:smallCaps/>
        </w:rPr>
        <w:t xml:space="preserve">, </w:t>
      </w:r>
      <w:r w:rsidRPr="000D31F4">
        <w:rPr>
          <w:i/>
          <w:iCs/>
        </w:rPr>
        <w:t>Handboek Belgisch familierecht,</w:t>
      </w:r>
      <w:r w:rsidRPr="000D31F4">
        <w:t xml:space="preserve"> Brugge, Die Keure, 2010, 304, nr. 710.</w:t>
      </w:r>
    </w:p>
  </w:footnote>
  <w:footnote w:id="103">
    <w:p w:rsidR="002A0E74" w:rsidRDefault="002A0E74" w:rsidP="000822F9">
      <w:pPr>
        <w:pStyle w:val="FootnoteText"/>
      </w:pPr>
      <w:r w:rsidRPr="000D31F4">
        <w:rPr>
          <w:rStyle w:val="FootnoteReference"/>
        </w:rPr>
        <w:footnoteRef/>
      </w:r>
      <w:r w:rsidRPr="000D31F4">
        <w:t xml:space="preserve"> </w:t>
      </w:r>
      <w:r w:rsidRPr="000D31F4">
        <w:rPr>
          <w:smallCaps/>
        </w:rPr>
        <w:t>P.</w:t>
      </w:r>
      <w:r w:rsidRPr="000D31F4">
        <w:rPr>
          <w:color w:val="000000"/>
        </w:rPr>
        <w:t xml:space="preserve"> </w:t>
      </w:r>
      <w:r>
        <w:rPr>
          <w:smallCaps/>
          <w:color w:val="000000"/>
        </w:rPr>
        <w:t>SENAEVE</w:t>
      </w:r>
      <w:r w:rsidRPr="000D31F4">
        <w:rPr>
          <w:smallCaps/>
          <w:color w:val="000000"/>
        </w:rPr>
        <w:t xml:space="preserve">, </w:t>
      </w:r>
      <w:r w:rsidRPr="000D31F4">
        <w:rPr>
          <w:i/>
          <w:iCs/>
          <w:color w:val="000000"/>
        </w:rPr>
        <w:t>Compendium van het Personen- en Familierecht</w:t>
      </w:r>
      <w:r w:rsidRPr="000D31F4">
        <w:rPr>
          <w:color w:val="000000"/>
        </w:rPr>
        <w:t>, Leuven, Acco, 2015, 326-327, nr. 1039.</w:t>
      </w:r>
    </w:p>
  </w:footnote>
  <w:footnote w:id="104">
    <w:p w:rsidR="002A0E74" w:rsidRDefault="002A0E74" w:rsidP="000822F9">
      <w:pPr>
        <w:pStyle w:val="FootnoteText"/>
      </w:pPr>
      <w:r w:rsidRPr="00E219FE">
        <w:rPr>
          <w:rStyle w:val="FootnoteReference"/>
        </w:rPr>
        <w:footnoteRef/>
      </w:r>
      <w:r w:rsidRPr="00E219FE">
        <w:t xml:space="preserve"> </w:t>
      </w:r>
      <w:r w:rsidRPr="00E219FE">
        <w:rPr>
          <w:smallCaps/>
        </w:rPr>
        <w:t xml:space="preserve">F. </w:t>
      </w:r>
      <w:r>
        <w:rPr>
          <w:smallCaps/>
        </w:rPr>
        <w:t>SWENNEN</w:t>
      </w:r>
      <w:r w:rsidRPr="00E219FE">
        <w:rPr>
          <w:smallCaps/>
        </w:rPr>
        <w:t xml:space="preserve">, </w:t>
      </w:r>
      <w:r w:rsidRPr="00E219FE">
        <w:rPr>
          <w:i/>
          <w:iCs/>
        </w:rPr>
        <w:t>Het personen- en familierecht</w:t>
      </w:r>
      <w:r w:rsidRPr="00E219FE">
        <w:t xml:space="preserve">, Antwerpen, Intersentia, 2015, 513-514, nr. 864; </w:t>
      </w:r>
      <w:r>
        <w:rPr>
          <w:smallCaps/>
        </w:rPr>
        <w:t xml:space="preserve">G. VERSCHELDEN, </w:t>
      </w:r>
      <w:r w:rsidRPr="00187999">
        <w:rPr>
          <w:i/>
          <w:iCs/>
        </w:rPr>
        <w:t>Handboek Belgisch familierecht,</w:t>
      </w:r>
      <w:r w:rsidRPr="00187999">
        <w:t xml:space="preserve"> Brugge, Die Keure, 2010, 304, nr. 710</w:t>
      </w:r>
      <w:r>
        <w:t>.</w:t>
      </w:r>
    </w:p>
  </w:footnote>
  <w:footnote w:id="105">
    <w:p w:rsidR="002A0E74" w:rsidRDefault="002A0E74" w:rsidP="000822F9">
      <w:pPr>
        <w:pStyle w:val="FootnoteText"/>
      </w:pPr>
      <w:r>
        <w:rPr>
          <w:rStyle w:val="FootnoteReference"/>
        </w:rPr>
        <w:footnoteRef/>
      </w:r>
      <w:r>
        <w:t xml:space="preserve"> </w:t>
      </w:r>
      <w:r>
        <w:rPr>
          <w:smallCaps/>
        </w:rPr>
        <w:t>C. DE BUSSCHERE,</w:t>
      </w:r>
      <w:r w:rsidRPr="002F0843">
        <w:t xml:space="preserve"> </w:t>
      </w:r>
      <w:r>
        <w:t>“</w:t>
      </w:r>
      <w:r w:rsidRPr="002F0843">
        <w:t>Het nieuwe Belgische recht inzake de voogdij over minderjarigen: enkele aspecten en enkele beschouwingen</w:t>
      </w:r>
      <w:r>
        <w:t xml:space="preserve">”, </w:t>
      </w:r>
      <w:r w:rsidRPr="002F0843">
        <w:rPr>
          <w:i/>
          <w:iCs/>
        </w:rPr>
        <w:t>T.Not.</w:t>
      </w:r>
      <w:r>
        <w:t xml:space="preserve"> 2001, (349) 372, nr. 30.</w:t>
      </w:r>
    </w:p>
  </w:footnote>
  <w:footnote w:id="106">
    <w:p w:rsidR="002A0E74" w:rsidRDefault="002A0E74" w:rsidP="000822F9">
      <w:pPr>
        <w:pStyle w:val="FootnoteText"/>
      </w:pPr>
      <w:r>
        <w:rPr>
          <w:rStyle w:val="FootnoteReference"/>
        </w:rPr>
        <w:footnoteRef/>
      </w:r>
      <w:r>
        <w:t xml:space="preserve"> </w:t>
      </w:r>
      <w:r>
        <w:rPr>
          <w:smallCaps/>
        </w:rPr>
        <w:t>C. DE BUSSCHERE,</w:t>
      </w:r>
      <w:r w:rsidRPr="002F0843">
        <w:t xml:space="preserve"> </w:t>
      </w:r>
      <w:r>
        <w:t>“</w:t>
      </w:r>
      <w:r w:rsidRPr="002F0843">
        <w:t>Het nieuwe Belgische recht inzake de voogdij over minderjarigen: enkele aspecten en enkele beschouwingen</w:t>
      </w:r>
      <w:r>
        <w:t xml:space="preserve">”, </w:t>
      </w:r>
      <w:r w:rsidRPr="002F0843">
        <w:rPr>
          <w:i/>
          <w:iCs/>
        </w:rPr>
        <w:t>T.Not.</w:t>
      </w:r>
      <w:r>
        <w:t xml:space="preserve"> 2001, (349) 368, nr. 21.</w:t>
      </w:r>
    </w:p>
  </w:footnote>
  <w:footnote w:id="107">
    <w:p w:rsidR="002A0E74" w:rsidRPr="000822F9" w:rsidRDefault="002A0E74" w:rsidP="000822F9">
      <w:pPr>
        <w:pStyle w:val="FootnoteText"/>
      </w:pPr>
      <w:r w:rsidRPr="00187999">
        <w:rPr>
          <w:rStyle w:val="FootnoteReference"/>
        </w:rPr>
        <w:footnoteRef/>
      </w:r>
      <w:r w:rsidRPr="00187999">
        <w:t xml:space="preserve"> </w:t>
      </w:r>
      <w:r w:rsidRPr="00376465">
        <w:rPr>
          <w:smallCaps/>
        </w:rPr>
        <w:t xml:space="preserve">F. </w:t>
      </w:r>
      <w:r>
        <w:rPr>
          <w:smallCaps/>
        </w:rPr>
        <w:t>GILLOT-DE VRIES</w:t>
      </w:r>
      <w:r w:rsidRPr="00376465">
        <w:rPr>
          <w:smallCaps/>
        </w:rPr>
        <w:t xml:space="preserve"> </w:t>
      </w:r>
      <w:r w:rsidRPr="00376465">
        <w:t xml:space="preserve">en C. </w:t>
      </w:r>
      <w:r>
        <w:rPr>
          <w:smallCaps/>
        </w:rPr>
        <w:t>MOTTRIE</w:t>
      </w:r>
      <w:r w:rsidRPr="00376465">
        <w:rPr>
          <w:smallCaps/>
        </w:rPr>
        <w:t xml:space="preserve">, </w:t>
      </w:r>
      <w:r w:rsidRPr="00376465">
        <w:t xml:space="preserve">“Analyse conceptuelle des notions de parentalité et de filiation du point de vue psychologique” in </w:t>
      </w:r>
      <w:r>
        <w:rPr>
          <w:smallCaps/>
        </w:rPr>
        <w:t>GALLUS, N</w:t>
      </w:r>
      <w:r w:rsidRPr="00376465">
        <w:rPr>
          <w:smallCaps/>
        </w:rPr>
        <w:t>. (</w:t>
      </w:r>
      <w:r w:rsidRPr="00376465">
        <w:t>ed.),</w:t>
      </w:r>
      <w:r w:rsidRPr="00376465">
        <w:rPr>
          <w:i/>
          <w:iCs/>
        </w:rPr>
        <w:t xml:space="preserve"> Les recompositions familiales, </w:t>
      </w:r>
      <w:r w:rsidRPr="00376465">
        <w:t xml:space="preserve">Limal, Anthemis, 2015, </w:t>
      </w:r>
      <w:r>
        <w:t xml:space="preserve">(25) 29; </w:t>
      </w:r>
      <w:r w:rsidRPr="000822F9">
        <w:rPr>
          <w:smallCaps/>
        </w:rPr>
        <w:t xml:space="preserve">A. HEYVAERT, </w:t>
      </w:r>
      <w:r w:rsidRPr="000822F9">
        <w:rPr>
          <w:i/>
          <w:iCs/>
        </w:rPr>
        <w:t>Het personen- en gezinsrecht ont(k)leed</w:t>
      </w:r>
      <w:r w:rsidRPr="000822F9">
        <w:t xml:space="preserve">, Gent, Mys &amp; Breesch, 2001, 149-150, nr. 371; </w:t>
      </w:r>
      <w:r w:rsidRPr="000822F9">
        <w:rPr>
          <w:smallCaps/>
          <w:color w:val="000000"/>
        </w:rPr>
        <w:t>KINDERRECHTENCOMMISSARIAAT</w:t>
      </w:r>
      <w:r w:rsidRPr="000822F9">
        <w:rPr>
          <w:i/>
          <w:iCs/>
          <w:smallCaps/>
          <w:color w:val="000000"/>
        </w:rPr>
        <w:t xml:space="preserve">, </w:t>
      </w:r>
      <w:r w:rsidRPr="000822F9">
        <w:rPr>
          <w:i/>
          <w:iCs/>
          <w:color w:val="000000"/>
        </w:rPr>
        <w:t>Kinderen &amp; scheiding</w:t>
      </w:r>
      <w:r w:rsidRPr="000822F9">
        <w:rPr>
          <w:color w:val="000000"/>
        </w:rPr>
        <w:t xml:space="preserve">, Brussel, Kinderrechtencommissariaat, 2006, 59-60; </w:t>
      </w:r>
      <w:r w:rsidRPr="000822F9">
        <w:rPr>
          <w:smallCaps/>
        </w:rPr>
        <w:t xml:space="preserve">Y.-H. </w:t>
      </w:r>
      <w:r w:rsidRPr="000822F9">
        <w:rPr>
          <w:smallCaps/>
          <w:color w:val="000000"/>
        </w:rPr>
        <w:t xml:space="preserve">LELEU,  </w:t>
      </w:r>
      <w:r w:rsidRPr="000822F9">
        <w:rPr>
          <w:i/>
          <w:iCs/>
          <w:color w:val="000000"/>
        </w:rPr>
        <w:t>Droit des personnes et des familles</w:t>
      </w:r>
      <w:r w:rsidRPr="000822F9">
        <w:rPr>
          <w:color w:val="000000"/>
        </w:rPr>
        <w:t xml:space="preserve">, Brussel, Larcier, 2015, 745, nr. 753; </w:t>
      </w:r>
      <w:r w:rsidRPr="000822F9">
        <w:rPr>
          <w:smallCaps/>
          <w:color w:val="000000"/>
        </w:rPr>
        <w:t xml:space="preserve">F. </w:t>
      </w:r>
      <w:r w:rsidRPr="000822F9">
        <w:rPr>
          <w:smallCaps/>
        </w:rPr>
        <w:t xml:space="preserve">SWENNEN, </w:t>
      </w:r>
      <w:r w:rsidRPr="000822F9">
        <w:t xml:space="preserve">“Rechten van niet-ouders met betrekking tot minderjarigen” in </w:t>
      </w:r>
      <w:r w:rsidRPr="000822F9">
        <w:rPr>
          <w:smallCaps/>
        </w:rPr>
        <w:t xml:space="preserve">SENAEVE, P., SWENNEN, F. </w:t>
      </w:r>
      <w:r w:rsidRPr="000822F9">
        <w:t xml:space="preserve">en </w:t>
      </w:r>
      <w:r w:rsidRPr="000822F9">
        <w:rPr>
          <w:smallCaps/>
        </w:rPr>
        <w:t xml:space="preserve"> VERSCHELDEN, G.</w:t>
      </w:r>
      <w:r w:rsidRPr="000822F9">
        <w:t xml:space="preserve"> (eds.), </w:t>
      </w:r>
      <w:r w:rsidRPr="000822F9">
        <w:rPr>
          <w:i/>
          <w:iCs/>
        </w:rPr>
        <w:t>Ouders en kinderen</w:t>
      </w:r>
      <w:r w:rsidRPr="000822F9">
        <w:t xml:space="preserve">, Antwerpen, Intersentia, 2013, </w:t>
      </w:r>
      <w:r>
        <w:t xml:space="preserve">(257) </w:t>
      </w:r>
      <w:r w:rsidRPr="000822F9">
        <w:t xml:space="preserve">264, nr. 326; </w:t>
      </w:r>
      <w:r w:rsidRPr="000822F9">
        <w:rPr>
          <w:smallCaps/>
          <w:color w:val="000000"/>
        </w:rPr>
        <w:t xml:space="preserve">K. </w:t>
      </w:r>
      <w:r w:rsidRPr="000822F9">
        <w:rPr>
          <w:smallCaps/>
        </w:rPr>
        <w:t xml:space="preserve">UYTTERHOEVEN, </w:t>
      </w:r>
      <w:r w:rsidRPr="000822F9">
        <w:t xml:space="preserve">“Worden stiefouders stiefmoederlijk behandeld?”, </w:t>
      </w:r>
      <w:r w:rsidRPr="000822F9">
        <w:rPr>
          <w:i/>
          <w:iCs/>
        </w:rPr>
        <w:t>T.Fam</w:t>
      </w:r>
      <w:r w:rsidRPr="000822F9">
        <w:t xml:space="preserve">. 2009, afl. 7, (125) 125; </w:t>
      </w:r>
      <w:r w:rsidRPr="000822F9">
        <w:rPr>
          <w:smallCaps/>
        </w:rPr>
        <w:t>T. WUYTS, “</w:t>
      </w:r>
      <w:r w:rsidRPr="000822F9">
        <w:t xml:space="preserve">De rechtspositie van meemoeders en hun kinderen” in </w:t>
      </w:r>
      <w:r w:rsidRPr="000822F9">
        <w:rPr>
          <w:smallCaps/>
        </w:rPr>
        <w:t xml:space="preserve">SENAEVE, P., SWENNEN, F. </w:t>
      </w:r>
      <w:r w:rsidRPr="000822F9">
        <w:t xml:space="preserve">en </w:t>
      </w:r>
      <w:r w:rsidRPr="000822F9">
        <w:rPr>
          <w:smallCaps/>
        </w:rPr>
        <w:t>VERSCHELDEN, G.</w:t>
      </w:r>
      <w:r w:rsidRPr="000822F9">
        <w:t xml:space="preserve"> (eds.), </w:t>
      </w:r>
      <w:r w:rsidRPr="000822F9">
        <w:rPr>
          <w:i/>
          <w:iCs/>
        </w:rPr>
        <w:t>Ouders en kinderen</w:t>
      </w:r>
      <w:r w:rsidRPr="000822F9">
        <w:t xml:space="preserve">, Antwerpen, Intersentia, 2013, </w:t>
      </w:r>
      <w:r>
        <w:t xml:space="preserve">(71) </w:t>
      </w:r>
      <w:r w:rsidRPr="000822F9">
        <w:t xml:space="preserve">119, nr. 135; </w:t>
      </w:r>
      <w:r w:rsidRPr="000822F9">
        <w:rPr>
          <w:smallCaps/>
        </w:rPr>
        <w:t>T. WUYTS,</w:t>
      </w:r>
      <w:r w:rsidRPr="000822F9">
        <w:t xml:space="preserve"> “Ouderlijk gezag moet op maat van het gezin georganiseerd kunnen worden”, </w:t>
      </w:r>
      <w:r w:rsidRPr="000822F9">
        <w:rPr>
          <w:i/>
          <w:iCs/>
        </w:rPr>
        <w:t xml:space="preserve">TJK </w:t>
      </w:r>
      <w:r w:rsidRPr="000822F9">
        <w:t>2014, afl. 1, (6) 8.</w:t>
      </w:r>
    </w:p>
  </w:footnote>
  <w:footnote w:id="108">
    <w:p w:rsidR="002A0E74" w:rsidRPr="000822F9" w:rsidRDefault="002A0E74" w:rsidP="00B22D44">
      <w:pPr>
        <w:rPr>
          <w:sz w:val="20"/>
          <w:szCs w:val="20"/>
        </w:rPr>
      </w:pPr>
      <w:r w:rsidRPr="000822F9">
        <w:rPr>
          <w:rStyle w:val="FootnoteReference"/>
          <w:sz w:val="20"/>
          <w:szCs w:val="20"/>
        </w:rPr>
        <w:footnoteRef/>
      </w:r>
      <w:r w:rsidRPr="000822F9">
        <w:rPr>
          <w:sz w:val="20"/>
          <w:szCs w:val="20"/>
        </w:rPr>
        <w:t xml:space="preserve"> </w:t>
      </w:r>
      <w:r w:rsidRPr="000822F9">
        <w:rPr>
          <w:smallCaps/>
          <w:color w:val="000000"/>
          <w:sz w:val="20"/>
          <w:szCs w:val="20"/>
        </w:rPr>
        <w:t xml:space="preserve">F. </w:t>
      </w:r>
      <w:r w:rsidRPr="000822F9">
        <w:rPr>
          <w:smallCaps/>
          <w:sz w:val="20"/>
          <w:szCs w:val="20"/>
        </w:rPr>
        <w:t xml:space="preserve">SWENNEN, </w:t>
      </w:r>
      <w:r w:rsidRPr="000822F9">
        <w:rPr>
          <w:sz w:val="20"/>
          <w:szCs w:val="20"/>
        </w:rPr>
        <w:t xml:space="preserve">“Rechten van niet-ouders met betrekking tot minderjarigen” in </w:t>
      </w:r>
      <w:r w:rsidRPr="000822F9">
        <w:rPr>
          <w:smallCaps/>
          <w:sz w:val="20"/>
          <w:szCs w:val="20"/>
        </w:rPr>
        <w:t xml:space="preserve">SENAEVE, P., SWENNEN, F. </w:t>
      </w:r>
      <w:r w:rsidRPr="000822F9">
        <w:rPr>
          <w:sz w:val="20"/>
          <w:szCs w:val="20"/>
        </w:rPr>
        <w:t xml:space="preserve">en </w:t>
      </w:r>
      <w:r w:rsidRPr="000822F9">
        <w:rPr>
          <w:smallCaps/>
          <w:sz w:val="20"/>
          <w:szCs w:val="20"/>
        </w:rPr>
        <w:t>VERSCHELDEN, G.</w:t>
      </w:r>
      <w:r w:rsidRPr="000822F9">
        <w:rPr>
          <w:sz w:val="20"/>
          <w:szCs w:val="20"/>
        </w:rPr>
        <w:t xml:space="preserve"> (eds.), </w:t>
      </w:r>
      <w:r w:rsidRPr="000822F9">
        <w:rPr>
          <w:i/>
          <w:iCs/>
          <w:sz w:val="20"/>
          <w:szCs w:val="20"/>
        </w:rPr>
        <w:t>Ouders en kinderen</w:t>
      </w:r>
      <w:r w:rsidRPr="000822F9">
        <w:rPr>
          <w:sz w:val="20"/>
          <w:szCs w:val="20"/>
        </w:rPr>
        <w:t xml:space="preserve">, Antwerpen, Intersentia, 2013, </w:t>
      </w:r>
      <w:r>
        <w:rPr>
          <w:sz w:val="20"/>
          <w:szCs w:val="20"/>
        </w:rPr>
        <w:t xml:space="preserve">(257) </w:t>
      </w:r>
      <w:r w:rsidRPr="000822F9">
        <w:rPr>
          <w:sz w:val="20"/>
          <w:szCs w:val="20"/>
        </w:rPr>
        <w:t xml:space="preserve">264, nr. 326; </w:t>
      </w:r>
      <w:r w:rsidRPr="000822F9">
        <w:rPr>
          <w:smallCaps/>
          <w:sz w:val="20"/>
          <w:szCs w:val="20"/>
        </w:rPr>
        <w:t>T. WUYTS,</w:t>
      </w:r>
      <w:r w:rsidRPr="000822F9">
        <w:rPr>
          <w:sz w:val="20"/>
          <w:szCs w:val="20"/>
        </w:rPr>
        <w:t xml:space="preserve"> “Ouderlijk gezag moet op maat van het gezin georganiseerd kunnen worden”, </w:t>
      </w:r>
      <w:r w:rsidRPr="000822F9">
        <w:rPr>
          <w:i/>
          <w:iCs/>
          <w:sz w:val="20"/>
          <w:szCs w:val="20"/>
        </w:rPr>
        <w:t xml:space="preserve">TJK </w:t>
      </w:r>
      <w:r w:rsidRPr="000822F9">
        <w:rPr>
          <w:sz w:val="20"/>
          <w:szCs w:val="20"/>
        </w:rPr>
        <w:t>2014, afl. 1, (6) 8, nr. 3.</w:t>
      </w:r>
    </w:p>
  </w:footnote>
  <w:footnote w:id="109">
    <w:p w:rsidR="002A0E74" w:rsidRPr="000822F9" w:rsidRDefault="002A0E74" w:rsidP="00B22D44">
      <w:pPr>
        <w:pStyle w:val="FootnoteText"/>
      </w:pPr>
      <w:r w:rsidRPr="000822F9">
        <w:rPr>
          <w:rStyle w:val="FootnoteReference"/>
        </w:rPr>
        <w:footnoteRef/>
      </w:r>
      <w:r w:rsidRPr="000822F9">
        <w:rPr>
          <w:smallCaps/>
        </w:rPr>
        <w:t xml:space="preserve">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xml:space="preserve">, Leuven, Acco, 2015, 336, nr. 1070; </w:t>
      </w:r>
      <w:r w:rsidRPr="000822F9">
        <w:rPr>
          <w:smallCaps/>
          <w:color w:val="000000"/>
        </w:rPr>
        <w:t xml:space="preserve">F. </w:t>
      </w:r>
      <w:r w:rsidRPr="000822F9">
        <w:rPr>
          <w:smallCaps/>
        </w:rPr>
        <w:t xml:space="preserve">SWENNEN, </w:t>
      </w:r>
      <w:r w:rsidRPr="000822F9">
        <w:t xml:space="preserve">“Rechten van niet-ouders met betrekking tot minderjarigen” in </w:t>
      </w:r>
      <w:r w:rsidRPr="000822F9">
        <w:rPr>
          <w:smallCaps/>
        </w:rPr>
        <w:t xml:space="preserve">SENAEVE, P., SWENNEN, F. </w:t>
      </w:r>
      <w:r w:rsidRPr="000822F9">
        <w:t xml:space="preserve">en </w:t>
      </w:r>
      <w:r w:rsidRPr="000822F9">
        <w:rPr>
          <w:smallCaps/>
        </w:rPr>
        <w:t>VERSCHELDEN, G.</w:t>
      </w:r>
      <w:r w:rsidRPr="000822F9">
        <w:t xml:space="preserve"> (eds.), </w:t>
      </w:r>
      <w:r w:rsidRPr="000822F9">
        <w:rPr>
          <w:i/>
          <w:iCs/>
        </w:rPr>
        <w:t>Ouders en kinderen</w:t>
      </w:r>
      <w:r w:rsidRPr="000822F9">
        <w:t xml:space="preserve">, Antwerpen, Intersentia, 2013, </w:t>
      </w:r>
      <w:r>
        <w:t xml:space="preserve">(257) </w:t>
      </w:r>
      <w:r w:rsidRPr="000822F9">
        <w:t xml:space="preserve">264, nr. 326; </w:t>
      </w:r>
      <w:r w:rsidRPr="000822F9">
        <w:rPr>
          <w:smallCaps/>
        </w:rPr>
        <w:t>T. WUYTS, “</w:t>
      </w:r>
      <w:r w:rsidRPr="000822F9">
        <w:t xml:space="preserve">De rechtspositie van meemoeders en hun kinderen” in </w:t>
      </w:r>
      <w:r w:rsidRPr="000822F9">
        <w:rPr>
          <w:smallCaps/>
        </w:rPr>
        <w:t xml:space="preserve">SENAEVE, P., SWENNEN, F. </w:t>
      </w:r>
      <w:r w:rsidRPr="000822F9">
        <w:t xml:space="preserve">en </w:t>
      </w:r>
      <w:r w:rsidRPr="000822F9">
        <w:rPr>
          <w:smallCaps/>
        </w:rPr>
        <w:t>VERSCHELDEN, G.</w:t>
      </w:r>
      <w:r w:rsidRPr="000822F9">
        <w:t xml:space="preserve"> (eds.), </w:t>
      </w:r>
      <w:r w:rsidRPr="000822F9">
        <w:rPr>
          <w:i/>
          <w:iCs/>
        </w:rPr>
        <w:t>Ouders en kinderen</w:t>
      </w:r>
      <w:r w:rsidRPr="000822F9">
        <w:t xml:space="preserve">, Antwerpen, Intersentia, 2013, </w:t>
      </w:r>
      <w:r>
        <w:t xml:space="preserve">(71) </w:t>
      </w:r>
      <w:r w:rsidRPr="000822F9">
        <w:t>119, nr. 135.</w:t>
      </w:r>
    </w:p>
  </w:footnote>
  <w:footnote w:id="110">
    <w:p w:rsidR="002A0E74" w:rsidRPr="000822F9" w:rsidRDefault="002A0E74" w:rsidP="00A11CC5">
      <w:pPr>
        <w:rPr>
          <w:sz w:val="20"/>
          <w:szCs w:val="20"/>
        </w:rPr>
      </w:pPr>
      <w:r w:rsidRPr="000822F9">
        <w:rPr>
          <w:rStyle w:val="FootnoteReference"/>
          <w:sz w:val="20"/>
          <w:szCs w:val="20"/>
        </w:rPr>
        <w:footnoteRef/>
      </w:r>
      <w:r w:rsidRPr="000822F9">
        <w:rPr>
          <w:sz w:val="20"/>
          <w:szCs w:val="20"/>
        </w:rPr>
        <w:t xml:space="preserve"> </w:t>
      </w:r>
      <w:r w:rsidRPr="000822F9">
        <w:rPr>
          <w:smallCaps/>
          <w:sz w:val="20"/>
          <w:szCs w:val="20"/>
        </w:rPr>
        <w:t>H. CASMAN,</w:t>
      </w:r>
      <w:r w:rsidRPr="000822F9">
        <w:rPr>
          <w:sz w:val="20"/>
          <w:szCs w:val="20"/>
        </w:rPr>
        <w:t xml:space="preserve"> “Gehuwd, wettelijk of feitelijk samenwonend: wat maakt het uit? Gevolgen ten aanzien van de kinderen.” in </w:t>
      </w:r>
      <w:r w:rsidRPr="000822F9">
        <w:rPr>
          <w:smallCaps/>
          <w:sz w:val="20"/>
          <w:szCs w:val="20"/>
        </w:rPr>
        <w:t xml:space="preserve">FORDER, C. </w:t>
      </w:r>
      <w:r w:rsidRPr="000822F9">
        <w:rPr>
          <w:sz w:val="20"/>
          <w:szCs w:val="20"/>
        </w:rPr>
        <w:t xml:space="preserve">en </w:t>
      </w:r>
      <w:r w:rsidRPr="000822F9">
        <w:rPr>
          <w:smallCaps/>
          <w:sz w:val="20"/>
          <w:szCs w:val="20"/>
        </w:rPr>
        <w:t>VERBEKE, A. (</w:t>
      </w:r>
      <w:r w:rsidRPr="000822F9">
        <w:rPr>
          <w:sz w:val="20"/>
          <w:szCs w:val="20"/>
        </w:rPr>
        <w:t xml:space="preserve">eds.), </w:t>
      </w:r>
      <w:r w:rsidRPr="000822F9">
        <w:rPr>
          <w:i/>
          <w:iCs/>
          <w:sz w:val="20"/>
          <w:szCs w:val="20"/>
        </w:rPr>
        <w:t xml:space="preserve">Gehuwd of niet: maakt het iets uit?, </w:t>
      </w:r>
      <w:r w:rsidRPr="000822F9">
        <w:rPr>
          <w:sz w:val="20"/>
          <w:szCs w:val="20"/>
        </w:rPr>
        <w:t xml:space="preserve">Antwerpen-Groningen, Intersentia, 2005, </w:t>
      </w:r>
      <w:r>
        <w:rPr>
          <w:sz w:val="20"/>
          <w:szCs w:val="20"/>
        </w:rPr>
        <w:t xml:space="preserve">(231) </w:t>
      </w:r>
      <w:r w:rsidRPr="000822F9">
        <w:rPr>
          <w:sz w:val="20"/>
          <w:szCs w:val="20"/>
        </w:rPr>
        <w:t xml:space="preserve">247, nr. 60; </w:t>
      </w:r>
      <w:r w:rsidRPr="000822F9">
        <w:rPr>
          <w:smallCaps/>
          <w:color w:val="000000"/>
          <w:sz w:val="20"/>
          <w:szCs w:val="20"/>
        </w:rPr>
        <w:t>KINDERRECHTENCOMMISSARIAAT</w:t>
      </w:r>
      <w:r w:rsidRPr="000822F9">
        <w:rPr>
          <w:i/>
          <w:iCs/>
          <w:smallCaps/>
          <w:color w:val="000000"/>
          <w:sz w:val="20"/>
          <w:szCs w:val="20"/>
        </w:rPr>
        <w:t xml:space="preserve">, </w:t>
      </w:r>
      <w:r w:rsidRPr="000822F9">
        <w:rPr>
          <w:i/>
          <w:iCs/>
          <w:color w:val="000000"/>
          <w:sz w:val="20"/>
          <w:szCs w:val="20"/>
        </w:rPr>
        <w:t>Kinderen &amp; scheiding</w:t>
      </w:r>
      <w:r w:rsidRPr="000822F9">
        <w:rPr>
          <w:color w:val="000000"/>
          <w:sz w:val="20"/>
          <w:szCs w:val="20"/>
        </w:rPr>
        <w:t xml:space="preserve">, Brussel, Kinderrechtencommissariaat, 2006, 59-60; </w:t>
      </w:r>
      <w:r w:rsidRPr="000822F9">
        <w:rPr>
          <w:smallCaps/>
          <w:color w:val="000000"/>
          <w:sz w:val="20"/>
          <w:szCs w:val="20"/>
        </w:rPr>
        <w:t xml:space="preserve">A.-C. </w:t>
      </w:r>
      <w:r w:rsidRPr="000822F9">
        <w:rPr>
          <w:smallCaps/>
          <w:sz w:val="20"/>
          <w:szCs w:val="20"/>
        </w:rPr>
        <w:t xml:space="preserve">VAN GYSEL, </w:t>
      </w:r>
      <w:r w:rsidRPr="000822F9">
        <w:rPr>
          <w:i/>
          <w:iCs/>
          <w:sz w:val="20"/>
          <w:szCs w:val="20"/>
        </w:rPr>
        <w:t>Précis de droit des personnes et de la famille</w:t>
      </w:r>
      <w:r w:rsidRPr="000822F9">
        <w:rPr>
          <w:sz w:val="20"/>
          <w:szCs w:val="20"/>
        </w:rPr>
        <w:t xml:space="preserve">, Limal, Anthemis s.a., 2013, 421; </w:t>
      </w:r>
      <w:r w:rsidRPr="000822F9">
        <w:rPr>
          <w:smallCaps/>
          <w:sz w:val="20"/>
          <w:szCs w:val="20"/>
        </w:rPr>
        <w:t xml:space="preserve">K. </w:t>
      </w:r>
      <w:r w:rsidRPr="000822F9">
        <w:rPr>
          <w:smallCaps/>
          <w:color w:val="000000"/>
          <w:sz w:val="20"/>
          <w:szCs w:val="20"/>
        </w:rPr>
        <w:t>VERSTRAETE, “</w:t>
      </w:r>
      <w:r w:rsidRPr="000822F9">
        <w:rPr>
          <w:color w:val="000000"/>
          <w:sz w:val="20"/>
          <w:szCs w:val="20"/>
        </w:rPr>
        <w:t xml:space="preserve">Ouderlijk gezag en omgangsrecht” </w:t>
      </w:r>
      <w:r w:rsidRPr="000822F9">
        <w:rPr>
          <w:color w:val="4E4E4E"/>
          <w:sz w:val="20"/>
          <w:szCs w:val="20"/>
        </w:rPr>
        <w:t>i</w:t>
      </w:r>
      <w:r w:rsidRPr="000822F9">
        <w:rPr>
          <w:color w:val="000000"/>
          <w:sz w:val="20"/>
          <w:szCs w:val="20"/>
        </w:rPr>
        <w:t xml:space="preserve">n </w:t>
      </w:r>
      <w:r w:rsidRPr="000822F9">
        <w:rPr>
          <w:smallCaps/>
          <w:color w:val="000000"/>
          <w:sz w:val="20"/>
          <w:szCs w:val="20"/>
        </w:rPr>
        <w:t xml:space="preserve">VERSCHELDEN, G., BROUWERS, S., BOONE, K., MARTENS, I. </w:t>
      </w:r>
      <w:r w:rsidRPr="000822F9">
        <w:rPr>
          <w:color w:val="000000"/>
          <w:sz w:val="20"/>
          <w:szCs w:val="20"/>
        </w:rPr>
        <w:t xml:space="preserve">en </w:t>
      </w:r>
      <w:r w:rsidRPr="000822F9">
        <w:rPr>
          <w:smallCaps/>
          <w:color w:val="000000"/>
          <w:sz w:val="20"/>
          <w:szCs w:val="20"/>
        </w:rPr>
        <w:t>VERSTRAETE, K. (</w:t>
      </w:r>
      <w:r w:rsidRPr="000822F9">
        <w:rPr>
          <w:color w:val="000000"/>
          <w:sz w:val="20"/>
          <w:szCs w:val="20"/>
        </w:rPr>
        <w:t>eds.)</w:t>
      </w:r>
      <w:hyperlink r:id="rId2" w:history="1">
        <w:r w:rsidRPr="000822F9">
          <w:rPr>
            <w:color w:val="000000"/>
            <w:sz w:val="20"/>
            <w:szCs w:val="20"/>
          </w:rPr>
          <w:t>,” Overzicht rechtspraak. Familierecht (2001-2006)”,</w:t>
        </w:r>
        <w:r w:rsidRPr="000822F9">
          <w:rPr>
            <w:i/>
            <w:iCs/>
            <w:color w:val="000000"/>
            <w:sz w:val="20"/>
            <w:szCs w:val="20"/>
          </w:rPr>
          <w:t xml:space="preserve"> TPR </w:t>
        </w:r>
        <w:r w:rsidRPr="000822F9">
          <w:rPr>
            <w:color w:val="000000"/>
            <w:sz w:val="20"/>
            <w:szCs w:val="20"/>
          </w:rPr>
          <w:t>2007, afl. 1, (670) 67</w:t>
        </w:r>
      </w:hyperlink>
      <w:r w:rsidRPr="000822F9">
        <w:rPr>
          <w:color w:val="000000"/>
          <w:sz w:val="20"/>
          <w:szCs w:val="20"/>
        </w:rPr>
        <w:t xml:space="preserve">4-675, nr. 768. </w:t>
      </w:r>
    </w:p>
  </w:footnote>
  <w:footnote w:id="111">
    <w:p w:rsidR="002A0E74" w:rsidRPr="000822F9" w:rsidRDefault="002A0E74" w:rsidP="00A11CC5">
      <w:pPr>
        <w:rPr>
          <w:sz w:val="20"/>
          <w:szCs w:val="20"/>
        </w:rPr>
      </w:pPr>
      <w:r w:rsidRPr="000822F9">
        <w:rPr>
          <w:rStyle w:val="FootnoteReference"/>
          <w:sz w:val="20"/>
          <w:szCs w:val="20"/>
        </w:rPr>
        <w:footnoteRef/>
      </w:r>
      <w:r w:rsidRPr="000822F9">
        <w:rPr>
          <w:sz w:val="20"/>
          <w:szCs w:val="20"/>
        </w:rPr>
        <w:t xml:space="preserve"> </w:t>
      </w:r>
      <w:r w:rsidRPr="000822F9">
        <w:rPr>
          <w:smallCaps/>
          <w:sz w:val="20"/>
          <w:szCs w:val="20"/>
        </w:rPr>
        <w:t>H. CASMAN,</w:t>
      </w:r>
      <w:r w:rsidRPr="000822F9">
        <w:rPr>
          <w:sz w:val="20"/>
          <w:szCs w:val="20"/>
        </w:rPr>
        <w:t xml:space="preserve"> “Gehuwd, wettelijk of feitelijk samenwonend: wat maakt het uit? Gevolgen ten aanzien van de kinderen.” in </w:t>
      </w:r>
      <w:r w:rsidRPr="000822F9">
        <w:rPr>
          <w:smallCaps/>
          <w:sz w:val="20"/>
          <w:szCs w:val="20"/>
        </w:rPr>
        <w:t xml:space="preserve">FORDER, C. </w:t>
      </w:r>
      <w:r w:rsidRPr="000822F9">
        <w:rPr>
          <w:sz w:val="20"/>
          <w:szCs w:val="20"/>
        </w:rPr>
        <w:t xml:space="preserve">en </w:t>
      </w:r>
      <w:r w:rsidRPr="000822F9">
        <w:rPr>
          <w:smallCaps/>
          <w:sz w:val="20"/>
          <w:szCs w:val="20"/>
        </w:rPr>
        <w:t>VERBEKE, A. (</w:t>
      </w:r>
      <w:r w:rsidRPr="000822F9">
        <w:rPr>
          <w:sz w:val="20"/>
          <w:szCs w:val="20"/>
        </w:rPr>
        <w:t xml:space="preserve">eds.), </w:t>
      </w:r>
      <w:r w:rsidRPr="000822F9">
        <w:rPr>
          <w:i/>
          <w:iCs/>
          <w:sz w:val="20"/>
          <w:szCs w:val="20"/>
        </w:rPr>
        <w:t xml:space="preserve">Gehuwd of niet: maakt het iets uit?, </w:t>
      </w:r>
      <w:r w:rsidRPr="000822F9">
        <w:rPr>
          <w:sz w:val="20"/>
          <w:szCs w:val="20"/>
        </w:rPr>
        <w:t xml:space="preserve">Antwerpen-Groningen, Intersentia, 2005, </w:t>
      </w:r>
      <w:r>
        <w:rPr>
          <w:sz w:val="20"/>
          <w:szCs w:val="20"/>
        </w:rPr>
        <w:t xml:space="preserve">(231) </w:t>
      </w:r>
      <w:r w:rsidRPr="000822F9">
        <w:rPr>
          <w:sz w:val="20"/>
          <w:szCs w:val="20"/>
        </w:rPr>
        <w:t xml:space="preserve">247, nr. 60; </w:t>
      </w:r>
      <w:r w:rsidRPr="000822F9">
        <w:rPr>
          <w:smallCaps/>
          <w:color w:val="000000"/>
          <w:sz w:val="20"/>
          <w:szCs w:val="20"/>
        </w:rPr>
        <w:t>KINDERRECHTENCOMMISSARIAAT</w:t>
      </w:r>
      <w:r w:rsidRPr="000822F9">
        <w:rPr>
          <w:i/>
          <w:iCs/>
          <w:smallCaps/>
          <w:color w:val="000000"/>
          <w:sz w:val="20"/>
          <w:szCs w:val="20"/>
        </w:rPr>
        <w:t xml:space="preserve">, </w:t>
      </w:r>
      <w:r w:rsidRPr="000822F9">
        <w:rPr>
          <w:i/>
          <w:iCs/>
          <w:color w:val="000000"/>
          <w:sz w:val="20"/>
          <w:szCs w:val="20"/>
        </w:rPr>
        <w:t>Kinderen &amp; scheiding</w:t>
      </w:r>
      <w:r w:rsidRPr="000822F9">
        <w:rPr>
          <w:color w:val="000000"/>
          <w:sz w:val="20"/>
          <w:szCs w:val="20"/>
        </w:rPr>
        <w:t xml:space="preserve">, Brussel, Kinderrechtencommissariaat, 2006, 59-60; </w:t>
      </w:r>
      <w:r w:rsidRPr="000822F9">
        <w:rPr>
          <w:smallCaps/>
          <w:color w:val="000000"/>
          <w:sz w:val="20"/>
          <w:szCs w:val="20"/>
        </w:rPr>
        <w:t xml:space="preserve">G. VERSCHELDEN, </w:t>
      </w:r>
      <w:r w:rsidRPr="000822F9">
        <w:rPr>
          <w:color w:val="000000"/>
          <w:sz w:val="20"/>
          <w:szCs w:val="20"/>
        </w:rPr>
        <w:t xml:space="preserve">“Arbitragehof zet deur open voor zorgouderschap”, </w:t>
      </w:r>
      <w:r w:rsidRPr="000822F9">
        <w:rPr>
          <w:i/>
          <w:iCs/>
          <w:color w:val="000000"/>
          <w:sz w:val="20"/>
          <w:szCs w:val="20"/>
        </w:rPr>
        <w:t>Juristenkrant</w:t>
      </w:r>
      <w:r w:rsidRPr="000822F9">
        <w:rPr>
          <w:color w:val="000000"/>
          <w:sz w:val="20"/>
          <w:szCs w:val="20"/>
        </w:rPr>
        <w:t xml:space="preserve"> 2003, afl. 78, 19 november 2003, (13) 13; </w:t>
      </w:r>
      <w:r w:rsidRPr="000822F9">
        <w:rPr>
          <w:smallCaps/>
          <w:sz w:val="20"/>
          <w:szCs w:val="20"/>
        </w:rPr>
        <w:t>T. WUYTS, “</w:t>
      </w:r>
      <w:r w:rsidRPr="000822F9">
        <w:rPr>
          <w:sz w:val="20"/>
          <w:szCs w:val="20"/>
        </w:rPr>
        <w:t xml:space="preserve">De rechtspositie van meemoeders en hun kinderen” in </w:t>
      </w:r>
      <w:r w:rsidRPr="000822F9">
        <w:rPr>
          <w:smallCaps/>
          <w:sz w:val="20"/>
          <w:szCs w:val="20"/>
        </w:rPr>
        <w:t xml:space="preserve">SENAEVE, P., SWENNEN, F. </w:t>
      </w:r>
      <w:r w:rsidRPr="000822F9">
        <w:rPr>
          <w:sz w:val="20"/>
          <w:szCs w:val="20"/>
        </w:rPr>
        <w:t xml:space="preserve">en </w:t>
      </w:r>
      <w:r w:rsidRPr="000822F9">
        <w:rPr>
          <w:smallCaps/>
          <w:sz w:val="20"/>
          <w:szCs w:val="20"/>
        </w:rPr>
        <w:t>VERSCHELDEN, G.</w:t>
      </w:r>
      <w:r w:rsidRPr="000822F9">
        <w:rPr>
          <w:sz w:val="20"/>
          <w:szCs w:val="20"/>
        </w:rPr>
        <w:t xml:space="preserve"> (eds.), </w:t>
      </w:r>
      <w:r w:rsidRPr="000822F9">
        <w:rPr>
          <w:i/>
          <w:iCs/>
          <w:sz w:val="20"/>
          <w:szCs w:val="20"/>
        </w:rPr>
        <w:t>Ouders en kinderen</w:t>
      </w:r>
      <w:r w:rsidRPr="000822F9">
        <w:rPr>
          <w:sz w:val="20"/>
          <w:szCs w:val="20"/>
        </w:rPr>
        <w:t xml:space="preserve">, Antwerpen, Intersentia, 2013, </w:t>
      </w:r>
      <w:r>
        <w:rPr>
          <w:sz w:val="20"/>
          <w:szCs w:val="20"/>
        </w:rPr>
        <w:t xml:space="preserve">(71) </w:t>
      </w:r>
      <w:r w:rsidRPr="000822F9">
        <w:rPr>
          <w:sz w:val="20"/>
          <w:szCs w:val="20"/>
        </w:rPr>
        <w:t>119, nr. 135.</w:t>
      </w:r>
    </w:p>
  </w:footnote>
  <w:footnote w:id="112">
    <w:p w:rsidR="002A0E74" w:rsidRPr="000822F9" w:rsidRDefault="002A0E74">
      <w:pPr>
        <w:pStyle w:val="FootnoteText"/>
      </w:pPr>
      <w:r w:rsidRPr="000822F9">
        <w:rPr>
          <w:rStyle w:val="FootnoteReference"/>
        </w:rPr>
        <w:footnoteRef/>
      </w:r>
      <w:r w:rsidRPr="000822F9">
        <w:t xml:space="preserve"> </w:t>
      </w:r>
      <w:r w:rsidRPr="000822F9">
        <w:rPr>
          <w:smallCaps/>
        </w:rPr>
        <w:t xml:space="preserve">F. SWENNEN, </w:t>
      </w:r>
      <w:r w:rsidRPr="000822F9">
        <w:rPr>
          <w:i/>
          <w:iCs/>
        </w:rPr>
        <w:t>Het personen- en familierecht</w:t>
      </w:r>
      <w:r w:rsidRPr="000822F9">
        <w:t>, Antwerpen, Intersentia, 2015, 413, nr. 690;</w:t>
      </w:r>
      <w:r w:rsidRPr="0063252E">
        <w:rPr>
          <w:smallCaps/>
        </w:rP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0822F9">
        <w:t>, 130, nr. 130.</w:t>
      </w:r>
    </w:p>
  </w:footnote>
  <w:footnote w:id="113">
    <w:p w:rsidR="002A0E74" w:rsidRDefault="002A0E74">
      <w:pPr>
        <w:pStyle w:val="FootnoteText"/>
      </w:pPr>
      <w:r w:rsidRPr="000822F9">
        <w:rPr>
          <w:rStyle w:val="FootnoteReference"/>
        </w:rPr>
        <w:footnoteRef/>
      </w:r>
      <w:r w:rsidRPr="000822F9">
        <w:t xml:space="preserve">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Leuven, Acco, 2015, 312 en 314, nr. 982 en 992;</w:t>
      </w:r>
      <w:r w:rsidRPr="000822F9">
        <w:t xml:space="preserve"> </w:t>
      </w:r>
      <w:r w:rsidRPr="000822F9">
        <w:rPr>
          <w:smallCaps/>
        </w:rPr>
        <w:t xml:space="preserve">G. VERSCHELDEN, </w:t>
      </w:r>
      <w:r w:rsidRPr="000822F9">
        <w:rPr>
          <w:i/>
          <w:iCs/>
        </w:rPr>
        <w:t>Handboek Belgisch familierecht,</w:t>
      </w:r>
      <w:r w:rsidRPr="000822F9">
        <w:t xml:space="preserve"> Brugge, Die Keure, 2010, 263, nr. 636.</w:t>
      </w:r>
    </w:p>
  </w:footnote>
  <w:footnote w:id="114">
    <w:p w:rsidR="002A0E74" w:rsidRPr="000822F9" w:rsidRDefault="002A0E74" w:rsidP="004A2734">
      <w:pPr>
        <w:pStyle w:val="FootnoteText"/>
      </w:pPr>
      <w:r w:rsidRPr="000822F9">
        <w:rPr>
          <w:rStyle w:val="FootnoteReference"/>
        </w:rPr>
        <w:footnoteRef/>
      </w:r>
      <w:r w:rsidRPr="000822F9">
        <w:t xml:space="preserve"> </w:t>
      </w:r>
      <w:r w:rsidRPr="000822F9">
        <w:t>Jeugdrb. Antwerpen (2</w:t>
      </w:r>
      <w:r w:rsidRPr="000822F9">
        <w:rPr>
          <w:vertAlign w:val="superscript"/>
        </w:rPr>
        <w:t>e</w:t>
      </w:r>
      <w:r w:rsidRPr="000822F9">
        <w:t xml:space="preserve"> k.) 11 januari 2000,</w:t>
      </w:r>
      <w:r w:rsidRPr="000822F9">
        <w:rPr>
          <w:i/>
          <w:iCs/>
        </w:rPr>
        <w:t xml:space="preserve"> TJK</w:t>
      </w:r>
      <w:r w:rsidRPr="000822F9">
        <w:t xml:space="preserve"> 2000, 68, noot G. </w:t>
      </w:r>
      <w:r w:rsidRPr="000822F9">
        <w:rPr>
          <w:smallCaps/>
        </w:rPr>
        <w:t>VERSCHELDEN; 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xml:space="preserve">, Leuven, Acco, 2015, 312, nr. 983; </w:t>
      </w:r>
      <w:r w:rsidRPr="000822F9">
        <w:rPr>
          <w:smallCaps/>
        </w:rPr>
        <w:t xml:space="preserve">F. SWENNEN, </w:t>
      </w:r>
      <w:r w:rsidRPr="000822F9">
        <w:rPr>
          <w:i/>
          <w:iCs/>
        </w:rPr>
        <w:t>Het personen- en familierecht</w:t>
      </w:r>
      <w:r w:rsidRPr="000822F9">
        <w:t>, Antwerpen, Intersentia, 2015, 516, nr. 868.</w:t>
      </w:r>
    </w:p>
  </w:footnote>
  <w:footnote w:id="115">
    <w:p w:rsidR="002A0E74" w:rsidRPr="000822F9" w:rsidRDefault="002A0E74">
      <w:pPr>
        <w:pStyle w:val="FootnoteText"/>
      </w:pPr>
      <w:r w:rsidRPr="000822F9">
        <w:rPr>
          <w:rStyle w:val="FootnoteReference"/>
        </w:rPr>
        <w:footnoteRef/>
      </w:r>
      <w:r w:rsidRPr="000822F9">
        <w:t xml:space="preserve"> </w:t>
      </w:r>
      <w:r w:rsidRPr="000822F9">
        <w:t>Art. 353-9 en 356-1, lid 3 BW.</w:t>
      </w:r>
    </w:p>
  </w:footnote>
  <w:footnote w:id="116">
    <w:p w:rsidR="002A0E74" w:rsidRPr="000822F9" w:rsidRDefault="002A0E74">
      <w:pPr>
        <w:pStyle w:val="FootnoteText"/>
      </w:pPr>
      <w:r w:rsidRPr="000822F9">
        <w:rPr>
          <w:rStyle w:val="FootnoteReference"/>
        </w:rPr>
        <w:footnoteRef/>
      </w:r>
      <w:r w:rsidRPr="000822F9">
        <w:t xml:space="preserve"> </w:t>
      </w:r>
      <w:r w:rsidRPr="000822F9">
        <w:rPr>
          <w:smallCaps/>
        </w:rPr>
        <w:t xml:space="preserve">R. VASSEUR, </w:t>
      </w:r>
      <w:r w:rsidRPr="000822F9">
        <w:t xml:space="preserve">“Ontzetting uit het ouderlijk gezag, geen straf, wel jeugdbeschermingsmaatregel. Een toepassing.” (noot onder Hof van beroep Gent 10 december 2014), </w:t>
      </w:r>
      <w:r w:rsidRPr="000822F9">
        <w:rPr>
          <w:i/>
          <w:iCs/>
        </w:rPr>
        <w:t xml:space="preserve">TJK </w:t>
      </w:r>
      <w:r w:rsidRPr="000822F9">
        <w:t>2015, (176) 183, nr. 11.</w:t>
      </w:r>
    </w:p>
  </w:footnote>
  <w:footnote w:id="117">
    <w:p w:rsidR="002A0E74" w:rsidRPr="000822F9" w:rsidRDefault="002A0E74" w:rsidP="00032451">
      <w:pPr>
        <w:rPr>
          <w:sz w:val="20"/>
          <w:szCs w:val="20"/>
        </w:rPr>
      </w:pPr>
      <w:r w:rsidRPr="000822F9">
        <w:rPr>
          <w:rStyle w:val="FootnoteReference"/>
          <w:sz w:val="20"/>
          <w:szCs w:val="20"/>
        </w:rPr>
        <w:footnoteRef/>
      </w:r>
      <w:r w:rsidRPr="000822F9">
        <w:rPr>
          <w:sz w:val="20"/>
          <w:szCs w:val="20"/>
        </w:rPr>
        <w:t xml:space="preserve"> </w:t>
      </w:r>
      <w:r w:rsidRPr="000822F9">
        <w:rPr>
          <w:sz w:val="20"/>
          <w:szCs w:val="20"/>
        </w:rPr>
        <w:t xml:space="preserve">Art. 32 van de wet 8 april 1965 betreffende de de jeugdbescherming, het ten laste nemen van minderjarigen die een als misdrijf omschreven feit hebben gepleegd en het herstel van de door dit feit veroorzaakte schade, </w:t>
      </w:r>
      <w:r w:rsidRPr="000822F9">
        <w:rPr>
          <w:i/>
          <w:iCs/>
          <w:sz w:val="20"/>
          <w:szCs w:val="20"/>
        </w:rPr>
        <w:t>B.S.</w:t>
      </w:r>
      <w:r w:rsidRPr="000822F9">
        <w:rPr>
          <w:sz w:val="20"/>
          <w:szCs w:val="20"/>
        </w:rPr>
        <w:t xml:space="preserve"> 1 september 1966.</w:t>
      </w:r>
    </w:p>
  </w:footnote>
  <w:footnote w:id="118">
    <w:p w:rsidR="002A0E74" w:rsidRDefault="002A0E74">
      <w:pPr>
        <w:pStyle w:val="FootnoteText"/>
      </w:pPr>
      <w:r w:rsidRPr="000822F9">
        <w:rPr>
          <w:rStyle w:val="FootnoteReference"/>
        </w:rPr>
        <w:footnoteRef/>
      </w:r>
      <w:r w:rsidRPr="000822F9">
        <w:t xml:space="preserve"> </w:t>
      </w:r>
      <w:r w:rsidRPr="000822F9">
        <w:t xml:space="preserve">Art. 60 van de wet 8 april 1965 betreffende de de jeugdbescherming, het ten laste nemen van minderjarigen die een als misdrijf omschreven feit hebben gepleegd en het herstel van de door dit feit veroorzaakte schade, </w:t>
      </w:r>
      <w:r w:rsidRPr="000822F9">
        <w:rPr>
          <w:i/>
          <w:iCs/>
        </w:rPr>
        <w:t>B.S.</w:t>
      </w:r>
      <w:r w:rsidRPr="000822F9">
        <w:t xml:space="preserve"> 1 september 1966.</w:t>
      </w:r>
    </w:p>
  </w:footnote>
  <w:footnote w:id="119">
    <w:p w:rsidR="002A0E74" w:rsidRPr="000822F9" w:rsidRDefault="002A0E74" w:rsidP="00A11CC5">
      <w:pPr>
        <w:pStyle w:val="FootnoteText"/>
      </w:pPr>
      <w:r w:rsidRPr="000822F9">
        <w:rPr>
          <w:rStyle w:val="FootnoteReference"/>
        </w:rPr>
        <w:footnoteRef/>
      </w:r>
      <w:r w:rsidRPr="000822F9">
        <w:t xml:space="preserve">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Leuven, Acco, 2015, 336-337, nr. 1073.</w:t>
      </w:r>
    </w:p>
  </w:footnote>
  <w:footnote w:id="120">
    <w:p w:rsidR="002A0E74" w:rsidRPr="000822F9" w:rsidRDefault="002A0E74" w:rsidP="00A11CC5">
      <w:pPr>
        <w:pStyle w:val="FootnoteText"/>
      </w:pPr>
      <w:r w:rsidRPr="000822F9">
        <w:rPr>
          <w:rStyle w:val="FootnoteReference"/>
        </w:rPr>
        <w:footnoteRef/>
      </w:r>
      <w:r w:rsidRPr="000822F9">
        <w:t xml:space="preserve">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Leuven, Acco, 2015, 337, nr. 1075.</w:t>
      </w:r>
    </w:p>
  </w:footnote>
  <w:footnote w:id="121">
    <w:p w:rsidR="002A0E74" w:rsidRPr="000822F9" w:rsidRDefault="002A0E74" w:rsidP="00A11CC5">
      <w:pPr>
        <w:rPr>
          <w:sz w:val="20"/>
          <w:szCs w:val="20"/>
        </w:rPr>
      </w:pPr>
      <w:r w:rsidRPr="000822F9">
        <w:rPr>
          <w:rStyle w:val="FootnoteReference"/>
          <w:sz w:val="20"/>
          <w:szCs w:val="20"/>
        </w:rPr>
        <w:footnoteRef/>
      </w:r>
      <w:r w:rsidRPr="000822F9">
        <w:rPr>
          <w:sz w:val="20"/>
          <w:szCs w:val="20"/>
        </w:rPr>
        <w:t xml:space="preserve"> </w:t>
      </w:r>
      <w:r w:rsidRPr="000822F9">
        <w:rPr>
          <w:sz w:val="20"/>
          <w:szCs w:val="20"/>
        </w:rPr>
        <w:t xml:space="preserve">Art. 373 BW.; </w:t>
      </w:r>
      <w:r w:rsidRPr="000822F9">
        <w:rPr>
          <w:smallCaps/>
          <w:sz w:val="20"/>
          <w:szCs w:val="20"/>
        </w:rPr>
        <w:t>S. AUDOORE,  “</w:t>
      </w:r>
      <w:r w:rsidRPr="000822F9">
        <w:rPr>
          <w:sz w:val="20"/>
          <w:szCs w:val="20"/>
        </w:rPr>
        <w:t xml:space="preserve">Overzicht van rechtspraak (2003-2011) – De uitoefening van het ouderlijk gezag”, </w:t>
      </w:r>
      <w:r w:rsidRPr="000822F9">
        <w:rPr>
          <w:i/>
          <w:iCs/>
          <w:sz w:val="20"/>
          <w:szCs w:val="20"/>
        </w:rPr>
        <w:t>T.Fam.</w:t>
      </w:r>
      <w:r w:rsidRPr="000822F9">
        <w:rPr>
          <w:sz w:val="20"/>
          <w:szCs w:val="20"/>
        </w:rPr>
        <w:t xml:space="preserve"> 2012, afl. 3, (55) 55, nr.1; </w:t>
      </w:r>
      <w:r w:rsidRPr="000822F9">
        <w:rPr>
          <w:smallCaps/>
          <w:sz w:val="20"/>
          <w:szCs w:val="20"/>
        </w:rPr>
        <w:t xml:space="preserve">G. VERSCHELDEN, </w:t>
      </w:r>
      <w:r w:rsidRPr="000822F9">
        <w:rPr>
          <w:color w:val="000000"/>
          <w:sz w:val="20"/>
          <w:szCs w:val="20"/>
        </w:rPr>
        <w:t xml:space="preserve">“Ouderlijk gezag en omgangsrecht” in </w:t>
      </w:r>
      <w:r w:rsidRPr="000822F9">
        <w:rPr>
          <w:smallCaps/>
          <w:color w:val="000000"/>
          <w:sz w:val="20"/>
          <w:szCs w:val="20"/>
        </w:rPr>
        <w:t xml:space="preserve">VERSCHELDEN, G., GULDIX, E., WYLLEMAN, A., BROUWERS, S., BAETEMAN, G. </w:t>
      </w:r>
      <w:r w:rsidRPr="000822F9">
        <w:rPr>
          <w:color w:val="000000"/>
          <w:sz w:val="20"/>
          <w:szCs w:val="20"/>
        </w:rPr>
        <w:t xml:space="preserve">en </w:t>
      </w:r>
      <w:r w:rsidRPr="000822F9">
        <w:rPr>
          <w:smallCaps/>
          <w:color w:val="000000"/>
          <w:sz w:val="20"/>
          <w:szCs w:val="20"/>
        </w:rPr>
        <w:t>GERLO, J. (</w:t>
      </w:r>
      <w:r w:rsidRPr="000822F9">
        <w:rPr>
          <w:color w:val="000000"/>
          <w:sz w:val="20"/>
          <w:szCs w:val="20"/>
        </w:rPr>
        <w:t>eds.)</w:t>
      </w:r>
      <w:r w:rsidRPr="000822F9">
        <w:rPr>
          <w:smallCaps/>
          <w:color w:val="000000"/>
          <w:sz w:val="20"/>
          <w:szCs w:val="20"/>
        </w:rPr>
        <w:t xml:space="preserve">, </w:t>
      </w:r>
      <w:r w:rsidRPr="000822F9">
        <w:rPr>
          <w:color w:val="000000"/>
          <w:sz w:val="20"/>
          <w:szCs w:val="20"/>
        </w:rPr>
        <w:t>“</w:t>
      </w:r>
      <w:hyperlink r:id="rId3" w:history="1">
        <w:r w:rsidRPr="000822F9">
          <w:rPr>
            <w:color w:val="000000"/>
            <w:sz w:val="20"/>
            <w:szCs w:val="20"/>
          </w:rPr>
          <w:t>Personen- en familierecht 1995-2000. Overzicht van rechtspraak”</w:t>
        </w:r>
        <w:r w:rsidRPr="000822F9">
          <w:rPr>
            <w:i/>
            <w:iCs/>
            <w:color w:val="000000"/>
            <w:sz w:val="20"/>
            <w:szCs w:val="20"/>
          </w:rPr>
          <w:t xml:space="preserve">, TPR </w:t>
        </w:r>
        <w:r w:rsidRPr="000822F9">
          <w:rPr>
            <w:color w:val="000000"/>
            <w:sz w:val="20"/>
            <w:szCs w:val="20"/>
          </w:rPr>
          <w:t xml:space="preserve">2001, afl. 3, </w:t>
        </w:r>
      </w:hyperlink>
      <w:r w:rsidRPr="000822F9">
        <w:rPr>
          <w:color w:val="000000"/>
          <w:sz w:val="20"/>
          <w:szCs w:val="20"/>
        </w:rPr>
        <w:t xml:space="preserve">(1928) 1932-1933, nr. 493; </w:t>
      </w:r>
      <w:r w:rsidRPr="000822F9">
        <w:rPr>
          <w:smallCaps/>
          <w:sz w:val="20"/>
          <w:szCs w:val="20"/>
        </w:rPr>
        <w:t xml:space="preserve">K. </w:t>
      </w:r>
      <w:r>
        <w:rPr>
          <w:smallCaps/>
          <w:color w:val="000000"/>
          <w:sz w:val="20"/>
          <w:szCs w:val="20"/>
        </w:rPr>
        <w:t xml:space="preserve">VERSTRAETE, </w:t>
      </w:r>
      <w:r w:rsidRPr="000822F9">
        <w:rPr>
          <w:smallCaps/>
          <w:color w:val="000000"/>
          <w:sz w:val="20"/>
          <w:szCs w:val="20"/>
        </w:rPr>
        <w:t>“</w:t>
      </w:r>
      <w:r w:rsidRPr="000822F9">
        <w:rPr>
          <w:color w:val="000000"/>
          <w:sz w:val="20"/>
          <w:szCs w:val="20"/>
        </w:rPr>
        <w:t xml:space="preserve">Ouderlijk gezag en omgangsrecht” </w:t>
      </w:r>
      <w:r w:rsidRPr="000822F9">
        <w:rPr>
          <w:color w:val="4E4E4E"/>
          <w:sz w:val="20"/>
          <w:szCs w:val="20"/>
        </w:rPr>
        <w:t>i</w:t>
      </w:r>
      <w:r w:rsidRPr="000822F9">
        <w:rPr>
          <w:color w:val="000000"/>
          <w:sz w:val="20"/>
          <w:szCs w:val="20"/>
        </w:rPr>
        <w:t xml:space="preserve">n </w:t>
      </w:r>
      <w:r w:rsidRPr="000822F9">
        <w:rPr>
          <w:smallCaps/>
          <w:color w:val="000000"/>
          <w:sz w:val="20"/>
          <w:szCs w:val="20"/>
        </w:rPr>
        <w:t xml:space="preserve">VERSCHELDEN, G., BROUWERS, S., BOONE, K., MARTENS, I. </w:t>
      </w:r>
      <w:r w:rsidRPr="000822F9">
        <w:rPr>
          <w:color w:val="000000"/>
          <w:sz w:val="20"/>
          <w:szCs w:val="20"/>
        </w:rPr>
        <w:t xml:space="preserve">en </w:t>
      </w:r>
      <w:r w:rsidRPr="000822F9">
        <w:rPr>
          <w:smallCaps/>
          <w:color w:val="000000"/>
          <w:sz w:val="20"/>
          <w:szCs w:val="20"/>
        </w:rPr>
        <w:t>VERSTRAETE, K. (</w:t>
      </w:r>
      <w:r w:rsidRPr="000822F9">
        <w:rPr>
          <w:color w:val="000000"/>
          <w:sz w:val="20"/>
          <w:szCs w:val="20"/>
        </w:rPr>
        <w:t>eds.)</w:t>
      </w:r>
      <w:hyperlink r:id="rId4" w:history="1">
        <w:r w:rsidRPr="000822F9">
          <w:rPr>
            <w:color w:val="000000"/>
            <w:sz w:val="20"/>
            <w:szCs w:val="20"/>
          </w:rPr>
          <w:t>,” Overzicht rechtspraak. Familierecht (2001-2006)”,</w:t>
        </w:r>
        <w:r w:rsidRPr="000822F9">
          <w:rPr>
            <w:i/>
            <w:iCs/>
            <w:color w:val="000000"/>
            <w:sz w:val="20"/>
            <w:szCs w:val="20"/>
          </w:rPr>
          <w:t xml:space="preserve"> TPR </w:t>
        </w:r>
        <w:r w:rsidRPr="000822F9">
          <w:rPr>
            <w:color w:val="000000"/>
            <w:sz w:val="20"/>
            <w:szCs w:val="20"/>
          </w:rPr>
          <w:t>2007, afl. 1, (670) 670</w:t>
        </w:r>
      </w:hyperlink>
      <w:r w:rsidRPr="000822F9">
        <w:rPr>
          <w:color w:val="000000"/>
          <w:sz w:val="20"/>
          <w:szCs w:val="20"/>
        </w:rPr>
        <w:t>-671, nr. 765.</w:t>
      </w:r>
    </w:p>
  </w:footnote>
  <w:footnote w:id="122">
    <w:p w:rsidR="002A0E74" w:rsidRPr="000822F9" w:rsidRDefault="002A0E74" w:rsidP="00A11CC5">
      <w:pPr>
        <w:pStyle w:val="FootnoteText"/>
      </w:pPr>
      <w:r w:rsidRPr="000822F9">
        <w:rPr>
          <w:rStyle w:val="FootnoteReference"/>
        </w:rPr>
        <w:footnoteRef/>
      </w:r>
      <w:r w:rsidRPr="000822F9">
        <w:t xml:space="preserve"> </w:t>
      </w:r>
      <w:r w:rsidRPr="000822F9">
        <w:t xml:space="preserve">Art. 373 BW.;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Leuven, Acco, 2015, 340-341, nr. 1087-1088;</w:t>
      </w:r>
      <w:r w:rsidRPr="000822F9">
        <w:t xml:space="preserve"> </w:t>
      </w:r>
      <w:r w:rsidRPr="000822F9">
        <w:rPr>
          <w:smallCaps/>
        </w:rPr>
        <w:t xml:space="preserve">F. SWENNEN, </w:t>
      </w:r>
      <w:r w:rsidRPr="000822F9">
        <w:rPr>
          <w:i/>
          <w:iCs/>
        </w:rPr>
        <w:t>Het personen- en familierecht</w:t>
      </w:r>
      <w:r w:rsidRPr="000822F9">
        <w:t xml:space="preserve">, Antwerpen, Intersentia, 2015, 517, nr. 871; </w:t>
      </w:r>
      <w:r w:rsidRPr="000822F9">
        <w:rPr>
          <w:smallCaps/>
        </w:rPr>
        <w:t xml:space="preserve">G. VERSCHELDEN, </w:t>
      </w:r>
      <w:r w:rsidRPr="000822F9">
        <w:rPr>
          <w:i/>
          <w:iCs/>
        </w:rPr>
        <w:t>Handboek Belgisch familierecht,</w:t>
      </w:r>
      <w:r w:rsidRPr="000822F9">
        <w:t xml:space="preserve"> Brugge, Die Keure, 2010, 308, nr. 717-718.</w:t>
      </w:r>
    </w:p>
  </w:footnote>
  <w:footnote w:id="123">
    <w:p w:rsidR="002A0E74" w:rsidRPr="000822F9" w:rsidRDefault="002A0E74" w:rsidP="00A11CC5">
      <w:pPr>
        <w:pStyle w:val="FootnoteText"/>
      </w:pPr>
      <w:r w:rsidRPr="000822F9">
        <w:rPr>
          <w:rStyle w:val="FootnoteReference"/>
        </w:rPr>
        <w:footnoteRef/>
      </w:r>
      <w:r w:rsidRPr="000822F9">
        <w:t xml:space="preserve"> </w:t>
      </w:r>
      <w:r w:rsidRPr="000822F9">
        <w:t xml:space="preserve">Art. 374, §1 BW.; </w:t>
      </w:r>
      <w:r w:rsidRPr="000822F9">
        <w:rPr>
          <w:smallCaps/>
        </w:rPr>
        <w:t>S. AUDOORE,  “</w:t>
      </w:r>
      <w:r w:rsidRPr="000822F9">
        <w:t xml:space="preserve">Overzicht van rechtspraak (2003-2011) – De uitoefening van het ouderlijk gezag”, </w:t>
      </w:r>
      <w:r w:rsidRPr="000822F9">
        <w:rPr>
          <w:i/>
          <w:iCs/>
        </w:rPr>
        <w:t>T.Fam.</w:t>
      </w:r>
      <w:r w:rsidRPr="000822F9">
        <w:t xml:space="preserve"> 2012, afl. 3, (55) 55, nr.1; </w:t>
      </w:r>
      <w:r w:rsidRPr="000822F9">
        <w:rPr>
          <w:smallCaps/>
        </w:rPr>
        <w:t xml:space="preserve">A. HEYVAERT, </w:t>
      </w:r>
      <w:r w:rsidRPr="000822F9">
        <w:rPr>
          <w:i/>
          <w:iCs/>
        </w:rPr>
        <w:t>Het personen- en gezinsrecht ont(k)leed</w:t>
      </w:r>
      <w:r w:rsidRPr="000822F9">
        <w:t>, Gent, Mys &amp; Breesch, 2001, 249-250, nr. 639.</w:t>
      </w:r>
    </w:p>
  </w:footnote>
  <w:footnote w:id="124">
    <w:p w:rsidR="002A0E74" w:rsidRPr="000822F9" w:rsidRDefault="002A0E74" w:rsidP="00A11CC5">
      <w:pPr>
        <w:pStyle w:val="FootnoteText"/>
      </w:pPr>
      <w:r w:rsidRPr="000822F9">
        <w:rPr>
          <w:rStyle w:val="FootnoteReference"/>
        </w:rPr>
        <w:footnoteRef/>
      </w:r>
      <w:r w:rsidRPr="000822F9">
        <w:t xml:space="preserve"> </w:t>
      </w:r>
      <w:r w:rsidRPr="000822F9">
        <w:t xml:space="preserve">Art. 374, §1, lid 2 BW.; </w:t>
      </w:r>
      <w:r w:rsidRPr="000822F9">
        <w:rPr>
          <w:smallCaps/>
        </w:rPr>
        <w:t>S. AUDOORE,  “</w:t>
      </w:r>
      <w:r w:rsidRPr="000822F9">
        <w:t xml:space="preserve">Overzicht van rechtspraak (2003-2011) – De uitoefening van het ouderlijk gezag”, </w:t>
      </w:r>
      <w:r w:rsidRPr="000822F9">
        <w:rPr>
          <w:i/>
          <w:iCs/>
        </w:rPr>
        <w:t>T.Fam.</w:t>
      </w:r>
      <w:r w:rsidRPr="000822F9">
        <w:t xml:space="preserve"> 2012, afl. 3, (55) 55, nr.1; </w:t>
      </w:r>
      <w:r w:rsidRPr="000822F9">
        <w:rPr>
          <w:smallCaps/>
        </w:rPr>
        <w:t xml:space="preserve">K. </w:t>
      </w:r>
      <w:r w:rsidRPr="000822F9">
        <w:rPr>
          <w:smallCaps/>
          <w:color w:val="000000"/>
        </w:rPr>
        <w:t>VERSTRAETE, “</w:t>
      </w:r>
      <w:r w:rsidRPr="000822F9">
        <w:rPr>
          <w:color w:val="000000"/>
        </w:rPr>
        <w:t xml:space="preserve">Ouderlijk gezag en omgangsrecht” </w:t>
      </w:r>
      <w:r w:rsidRPr="000822F9">
        <w:rPr>
          <w:color w:val="4E4E4E"/>
        </w:rPr>
        <w:t>i</w:t>
      </w:r>
      <w:r w:rsidRPr="000822F9">
        <w:rPr>
          <w:color w:val="000000"/>
        </w:rPr>
        <w:t xml:space="preserve">n </w:t>
      </w:r>
      <w:r w:rsidRPr="000822F9">
        <w:rPr>
          <w:smallCaps/>
          <w:color w:val="000000"/>
        </w:rPr>
        <w:t xml:space="preserve">VERSCHELDEN, G., BROUWERS, S., BOONE, K., MARTENS, I. </w:t>
      </w:r>
      <w:r w:rsidRPr="000822F9">
        <w:rPr>
          <w:color w:val="000000"/>
        </w:rPr>
        <w:t xml:space="preserve">en </w:t>
      </w:r>
      <w:r w:rsidRPr="000822F9">
        <w:rPr>
          <w:smallCaps/>
          <w:color w:val="000000"/>
        </w:rPr>
        <w:t>VERSTRAETE, K. (</w:t>
      </w:r>
      <w:r w:rsidRPr="000822F9">
        <w:rPr>
          <w:color w:val="000000"/>
        </w:rPr>
        <w:t>eds.)</w:t>
      </w:r>
      <w:hyperlink r:id="rId5" w:history="1">
        <w:r w:rsidRPr="000822F9">
          <w:rPr>
            <w:color w:val="000000"/>
          </w:rPr>
          <w:t>,” Overzicht rechtspraak. Familierecht (2001-2006)”,</w:t>
        </w:r>
        <w:r w:rsidRPr="000822F9">
          <w:rPr>
            <w:i/>
            <w:iCs/>
            <w:color w:val="000000"/>
          </w:rPr>
          <w:t xml:space="preserve"> TPR </w:t>
        </w:r>
        <w:r w:rsidRPr="000822F9">
          <w:rPr>
            <w:color w:val="000000"/>
          </w:rPr>
          <w:t xml:space="preserve">2007, afl. 1, (670) </w:t>
        </w:r>
      </w:hyperlink>
      <w:r w:rsidRPr="000822F9">
        <w:rPr>
          <w:color w:val="000000"/>
        </w:rPr>
        <w:t>710-711, nr. 814.</w:t>
      </w:r>
    </w:p>
  </w:footnote>
  <w:footnote w:id="125">
    <w:p w:rsidR="002A0E74" w:rsidRDefault="002A0E74" w:rsidP="00A11CC5">
      <w:pPr>
        <w:pStyle w:val="FootnoteText"/>
      </w:pPr>
      <w:r w:rsidRPr="000822F9">
        <w:rPr>
          <w:rStyle w:val="FootnoteReference"/>
        </w:rPr>
        <w:footnoteRef/>
      </w:r>
      <w:r w:rsidRPr="000822F9">
        <w:t xml:space="preserve"> </w:t>
      </w:r>
      <w:r w:rsidRPr="000822F9">
        <w:rPr>
          <w:smallCaps/>
          <w:color w:val="000000"/>
        </w:rPr>
        <w:t xml:space="preserve">G. </w:t>
      </w:r>
      <w:r w:rsidRPr="000822F9">
        <w:rPr>
          <w:smallCaps/>
        </w:rPr>
        <w:t xml:space="preserve">VERSCHELDEN, </w:t>
      </w:r>
      <w:r w:rsidRPr="000822F9">
        <w:rPr>
          <w:i/>
          <w:iCs/>
        </w:rPr>
        <w:t>Handboek Belgisch familierecht,</w:t>
      </w:r>
      <w:r w:rsidRPr="000822F9">
        <w:t xml:space="preserve"> Brugge, Die Keure, 2010, 311-312, nr. 727-730; </w:t>
      </w:r>
      <w:r w:rsidRPr="000822F9">
        <w:rPr>
          <w:smallCaps/>
        </w:rPr>
        <w:t xml:space="preserve">K. </w:t>
      </w:r>
      <w:r w:rsidRPr="000822F9">
        <w:rPr>
          <w:smallCaps/>
          <w:color w:val="000000"/>
        </w:rPr>
        <w:t>VERSTRAETE, “</w:t>
      </w:r>
      <w:r w:rsidRPr="000822F9">
        <w:rPr>
          <w:color w:val="000000"/>
        </w:rPr>
        <w:t xml:space="preserve">Ouderlijk gezag en omgangsrecht” </w:t>
      </w:r>
      <w:r w:rsidRPr="000822F9">
        <w:rPr>
          <w:color w:val="4E4E4E"/>
        </w:rPr>
        <w:t>i</w:t>
      </w:r>
      <w:r w:rsidRPr="000822F9">
        <w:rPr>
          <w:color w:val="000000"/>
        </w:rPr>
        <w:t xml:space="preserve">n </w:t>
      </w:r>
      <w:r w:rsidRPr="000822F9">
        <w:rPr>
          <w:smallCaps/>
          <w:color w:val="000000"/>
        </w:rPr>
        <w:t xml:space="preserve">VERSCHELDEN, G., BROUWERS, S., BOONE, K., MARTENS, I. </w:t>
      </w:r>
      <w:r w:rsidRPr="000822F9">
        <w:rPr>
          <w:color w:val="000000"/>
        </w:rPr>
        <w:t xml:space="preserve">en </w:t>
      </w:r>
      <w:r w:rsidRPr="000822F9">
        <w:rPr>
          <w:smallCaps/>
          <w:color w:val="000000"/>
        </w:rPr>
        <w:t>VERSTRAETE, K. (</w:t>
      </w:r>
      <w:r w:rsidRPr="000822F9">
        <w:rPr>
          <w:color w:val="000000"/>
        </w:rPr>
        <w:t>eds.)</w:t>
      </w:r>
      <w:hyperlink r:id="rId6" w:history="1">
        <w:r w:rsidRPr="000822F9">
          <w:rPr>
            <w:color w:val="000000"/>
          </w:rPr>
          <w:t>,” Overzicht rechtspraak. Familierecht (2001-2006)”,</w:t>
        </w:r>
        <w:r w:rsidRPr="000822F9">
          <w:rPr>
            <w:i/>
            <w:iCs/>
            <w:color w:val="000000"/>
          </w:rPr>
          <w:t xml:space="preserve"> TPR </w:t>
        </w:r>
        <w:r w:rsidRPr="000822F9">
          <w:rPr>
            <w:color w:val="000000"/>
          </w:rPr>
          <w:t xml:space="preserve">2007, afl. 1, </w:t>
        </w:r>
      </w:hyperlink>
      <w:r w:rsidRPr="000822F9">
        <w:rPr>
          <w:color w:val="000000"/>
        </w:rPr>
        <w:t>(670) 713-714, nr. 816.</w:t>
      </w:r>
    </w:p>
  </w:footnote>
  <w:footnote w:id="126">
    <w:p w:rsidR="002A0E74" w:rsidRPr="000822F9" w:rsidRDefault="002A0E74" w:rsidP="00721EE1">
      <w:pPr>
        <w:rPr>
          <w:sz w:val="20"/>
          <w:szCs w:val="20"/>
        </w:rPr>
      </w:pPr>
      <w:r w:rsidRPr="00721EE1">
        <w:rPr>
          <w:rStyle w:val="FootnoteReference"/>
          <w:sz w:val="20"/>
          <w:szCs w:val="20"/>
        </w:rPr>
        <w:footnoteRef/>
      </w:r>
      <w:r w:rsidRPr="00721EE1">
        <w:rPr>
          <w:sz w:val="20"/>
          <w:szCs w:val="20"/>
        </w:rPr>
        <w:t xml:space="preserve"> </w:t>
      </w:r>
      <w:r w:rsidRPr="000822F9">
        <w:rPr>
          <w:smallCaps/>
          <w:sz w:val="20"/>
          <w:szCs w:val="20"/>
        </w:rPr>
        <w:t>H. CASMAN,</w:t>
      </w:r>
      <w:r w:rsidRPr="000822F9">
        <w:rPr>
          <w:sz w:val="20"/>
          <w:szCs w:val="20"/>
        </w:rPr>
        <w:t xml:space="preserve"> “Gehuwd, wettelijk of feitelijk samenwonend: wat maakt het uit? Gevolgen ten aanzien van de kinderen.” in </w:t>
      </w:r>
      <w:r w:rsidRPr="000822F9">
        <w:rPr>
          <w:smallCaps/>
          <w:sz w:val="20"/>
          <w:szCs w:val="20"/>
        </w:rPr>
        <w:t xml:space="preserve">FORDER, C. </w:t>
      </w:r>
      <w:r w:rsidRPr="000822F9">
        <w:rPr>
          <w:sz w:val="20"/>
          <w:szCs w:val="20"/>
        </w:rPr>
        <w:t xml:space="preserve">en </w:t>
      </w:r>
      <w:r w:rsidRPr="000822F9">
        <w:rPr>
          <w:smallCaps/>
          <w:sz w:val="20"/>
          <w:szCs w:val="20"/>
        </w:rPr>
        <w:t>VERBEKE, A. (</w:t>
      </w:r>
      <w:r w:rsidRPr="000822F9">
        <w:rPr>
          <w:sz w:val="20"/>
          <w:szCs w:val="20"/>
        </w:rPr>
        <w:t xml:space="preserve">eds.), </w:t>
      </w:r>
      <w:r w:rsidRPr="000822F9">
        <w:rPr>
          <w:i/>
          <w:iCs/>
          <w:sz w:val="20"/>
          <w:szCs w:val="20"/>
        </w:rPr>
        <w:t xml:space="preserve">Gehuwd of niet: maakt het iets uit?, </w:t>
      </w:r>
      <w:r w:rsidRPr="000822F9">
        <w:rPr>
          <w:sz w:val="20"/>
          <w:szCs w:val="20"/>
        </w:rPr>
        <w:t xml:space="preserve">Antwerpen-Groningen, Intersentia, 2005, </w:t>
      </w:r>
      <w:r>
        <w:rPr>
          <w:sz w:val="20"/>
          <w:szCs w:val="20"/>
        </w:rPr>
        <w:t xml:space="preserve">(231) </w:t>
      </w:r>
      <w:r w:rsidRPr="000822F9">
        <w:rPr>
          <w:sz w:val="20"/>
          <w:szCs w:val="20"/>
        </w:rPr>
        <w:t xml:space="preserve">247, nr. 60; </w:t>
      </w:r>
      <w:r w:rsidRPr="000822F9">
        <w:rPr>
          <w:smallCaps/>
          <w:color w:val="000000"/>
          <w:sz w:val="20"/>
          <w:szCs w:val="20"/>
        </w:rPr>
        <w:t>KINDERRECHTENCOMMISSARIAAT</w:t>
      </w:r>
      <w:r w:rsidRPr="000822F9">
        <w:rPr>
          <w:i/>
          <w:iCs/>
          <w:smallCaps/>
          <w:color w:val="000000"/>
          <w:sz w:val="20"/>
          <w:szCs w:val="20"/>
        </w:rPr>
        <w:t xml:space="preserve">, </w:t>
      </w:r>
      <w:r w:rsidRPr="000822F9">
        <w:rPr>
          <w:i/>
          <w:iCs/>
          <w:color w:val="000000"/>
          <w:sz w:val="20"/>
          <w:szCs w:val="20"/>
        </w:rPr>
        <w:t>Kinderen &amp; scheiding</w:t>
      </w:r>
      <w:r w:rsidRPr="000822F9">
        <w:rPr>
          <w:color w:val="000000"/>
          <w:sz w:val="20"/>
          <w:szCs w:val="20"/>
        </w:rPr>
        <w:t xml:space="preserve">, Brussel, Kinderrechtencommissariaat, 2006, 59-60; </w:t>
      </w:r>
      <w:r w:rsidRPr="000822F9">
        <w:rPr>
          <w:smallCaps/>
          <w:color w:val="000000"/>
          <w:sz w:val="20"/>
          <w:szCs w:val="20"/>
        </w:rPr>
        <w:t xml:space="preserve">A.-C. </w:t>
      </w:r>
      <w:r w:rsidRPr="000822F9">
        <w:rPr>
          <w:smallCaps/>
          <w:sz w:val="20"/>
          <w:szCs w:val="20"/>
        </w:rPr>
        <w:t xml:space="preserve">VAN GYSEL, </w:t>
      </w:r>
      <w:r w:rsidRPr="000822F9">
        <w:rPr>
          <w:i/>
          <w:iCs/>
          <w:sz w:val="20"/>
          <w:szCs w:val="20"/>
        </w:rPr>
        <w:t>Précis de droit des personnes et de la famille</w:t>
      </w:r>
      <w:r w:rsidRPr="000822F9">
        <w:rPr>
          <w:sz w:val="20"/>
          <w:szCs w:val="20"/>
        </w:rPr>
        <w:t xml:space="preserve">, Limal, Anthemis s.a., 2013, 421; </w:t>
      </w:r>
      <w:r w:rsidRPr="000822F9">
        <w:rPr>
          <w:smallCaps/>
          <w:sz w:val="20"/>
          <w:szCs w:val="20"/>
        </w:rPr>
        <w:t xml:space="preserve">K. </w:t>
      </w:r>
      <w:r w:rsidRPr="000822F9">
        <w:rPr>
          <w:smallCaps/>
          <w:color w:val="000000"/>
          <w:sz w:val="20"/>
          <w:szCs w:val="20"/>
        </w:rPr>
        <w:t>VERSTRAETE, “</w:t>
      </w:r>
      <w:r w:rsidRPr="000822F9">
        <w:rPr>
          <w:color w:val="000000"/>
          <w:sz w:val="20"/>
          <w:szCs w:val="20"/>
        </w:rPr>
        <w:t xml:space="preserve">Ouderlijk gezag en omgangsrecht” </w:t>
      </w:r>
      <w:r w:rsidRPr="000822F9">
        <w:rPr>
          <w:color w:val="4E4E4E"/>
          <w:sz w:val="20"/>
          <w:szCs w:val="20"/>
        </w:rPr>
        <w:t>i</w:t>
      </w:r>
      <w:r w:rsidRPr="000822F9">
        <w:rPr>
          <w:color w:val="000000"/>
          <w:sz w:val="20"/>
          <w:szCs w:val="20"/>
        </w:rPr>
        <w:t xml:space="preserve">n </w:t>
      </w:r>
      <w:r w:rsidRPr="000822F9">
        <w:rPr>
          <w:smallCaps/>
          <w:color w:val="000000"/>
          <w:sz w:val="20"/>
          <w:szCs w:val="20"/>
        </w:rPr>
        <w:t xml:space="preserve">VERSCHELDEN, G., BROUWERS, S., BOONE, K., MARTENS, I. </w:t>
      </w:r>
      <w:r w:rsidRPr="000822F9">
        <w:rPr>
          <w:color w:val="000000"/>
          <w:sz w:val="20"/>
          <w:szCs w:val="20"/>
        </w:rPr>
        <w:t xml:space="preserve">en </w:t>
      </w:r>
      <w:r w:rsidRPr="000822F9">
        <w:rPr>
          <w:smallCaps/>
          <w:color w:val="000000"/>
          <w:sz w:val="20"/>
          <w:szCs w:val="20"/>
        </w:rPr>
        <w:t>VERSTRAETE, K. (</w:t>
      </w:r>
      <w:r w:rsidRPr="000822F9">
        <w:rPr>
          <w:color w:val="000000"/>
          <w:sz w:val="20"/>
          <w:szCs w:val="20"/>
        </w:rPr>
        <w:t>eds.)</w:t>
      </w:r>
      <w:hyperlink r:id="rId7" w:history="1">
        <w:r w:rsidRPr="000822F9">
          <w:rPr>
            <w:color w:val="000000"/>
            <w:sz w:val="20"/>
            <w:szCs w:val="20"/>
          </w:rPr>
          <w:t>,” Overzicht rechtspraak. Familierecht (2001-2006)”,</w:t>
        </w:r>
        <w:r w:rsidRPr="000822F9">
          <w:rPr>
            <w:i/>
            <w:iCs/>
            <w:color w:val="000000"/>
            <w:sz w:val="20"/>
            <w:szCs w:val="20"/>
          </w:rPr>
          <w:t xml:space="preserve"> TPR </w:t>
        </w:r>
        <w:r w:rsidRPr="000822F9">
          <w:rPr>
            <w:color w:val="000000"/>
            <w:sz w:val="20"/>
            <w:szCs w:val="20"/>
          </w:rPr>
          <w:t>2007, afl. 1, (670) 67</w:t>
        </w:r>
      </w:hyperlink>
      <w:r w:rsidRPr="000822F9">
        <w:rPr>
          <w:color w:val="000000"/>
          <w:sz w:val="20"/>
          <w:szCs w:val="20"/>
        </w:rPr>
        <w:t xml:space="preserve">4-675, nr. 768. </w:t>
      </w:r>
    </w:p>
  </w:footnote>
  <w:footnote w:id="127">
    <w:p w:rsidR="002A0E74" w:rsidRPr="000822F9" w:rsidRDefault="002A0E74">
      <w:pPr>
        <w:pStyle w:val="FootnoteText"/>
      </w:pPr>
      <w:r w:rsidRPr="000822F9">
        <w:rPr>
          <w:rStyle w:val="FootnoteReference"/>
        </w:rPr>
        <w:footnoteRef/>
      </w:r>
      <w:r w:rsidRPr="000822F9">
        <w:t xml:space="preserve">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xml:space="preserve">, Leuven, Acco, 2015, 336, nr. 1070; </w:t>
      </w:r>
      <w:r w:rsidRPr="000822F9">
        <w:rPr>
          <w:smallCaps/>
          <w:color w:val="000000"/>
        </w:rPr>
        <w:t xml:space="preserve">F. </w:t>
      </w:r>
      <w:r w:rsidRPr="000822F9">
        <w:rPr>
          <w:smallCaps/>
        </w:rPr>
        <w:t xml:space="preserve">SWENNEN, </w:t>
      </w:r>
      <w:r w:rsidRPr="000822F9">
        <w:t xml:space="preserve">“Rechten van niet-ouders met betrekking tot minderjarigen” in </w:t>
      </w:r>
      <w:r w:rsidRPr="000822F9">
        <w:rPr>
          <w:smallCaps/>
        </w:rPr>
        <w:t xml:space="preserve">SENAEVE, P., SWENNEN, F. </w:t>
      </w:r>
      <w:r w:rsidRPr="000822F9">
        <w:t xml:space="preserve">en </w:t>
      </w:r>
      <w:r w:rsidRPr="000822F9">
        <w:rPr>
          <w:smallCaps/>
        </w:rPr>
        <w:t>VERSCHELDEN, G.</w:t>
      </w:r>
      <w:r w:rsidRPr="000822F9">
        <w:t xml:space="preserve"> (eds.), </w:t>
      </w:r>
      <w:r w:rsidRPr="000822F9">
        <w:rPr>
          <w:i/>
          <w:iCs/>
        </w:rPr>
        <w:t>Ouders en kinderen</w:t>
      </w:r>
      <w:r w:rsidRPr="000822F9">
        <w:t xml:space="preserve">, Antwerpen, Intersentia, 2013, </w:t>
      </w:r>
      <w:r>
        <w:t xml:space="preserve">(257) </w:t>
      </w:r>
      <w:r w:rsidRPr="000822F9">
        <w:t xml:space="preserve">264, nr. 326; </w:t>
      </w:r>
      <w:r w:rsidRPr="000822F9">
        <w:rPr>
          <w:smallCaps/>
        </w:rPr>
        <w:t>T. WUYTS, “</w:t>
      </w:r>
      <w:r w:rsidRPr="000822F9">
        <w:t xml:space="preserve">De rechtspositie van meemoeders en hun kinderen” in </w:t>
      </w:r>
      <w:r w:rsidRPr="000822F9">
        <w:rPr>
          <w:smallCaps/>
        </w:rPr>
        <w:t xml:space="preserve">SENAEVE, P., SWENNEN, F. </w:t>
      </w:r>
      <w:r w:rsidRPr="000822F9">
        <w:t xml:space="preserve">en </w:t>
      </w:r>
      <w:r w:rsidRPr="000822F9">
        <w:rPr>
          <w:smallCaps/>
        </w:rPr>
        <w:t>VERSCHELDEN, G.</w:t>
      </w:r>
      <w:r w:rsidRPr="000822F9">
        <w:t xml:space="preserve"> (eds.), </w:t>
      </w:r>
      <w:r w:rsidRPr="000822F9">
        <w:rPr>
          <w:i/>
          <w:iCs/>
        </w:rPr>
        <w:t>Ouders en kinderen</w:t>
      </w:r>
      <w:r w:rsidRPr="000822F9">
        <w:t xml:space="preserve">, Antwerpen, Intersentia, 2013, </w:t>
      </w:r>
      <w:r>
        <w:t xml:space="preserve">(71) </w:t>
      </w:r>
      <w:r w:rsidRPr="000822F9">
        <w:t>119, nr. 135.</w:t>
      </w:r>
    </w:p>
  </w:footnote>
  <w:footnote w:id="128">
    <w:p w:rsidR="002A0E74" w:rsidRPr="000822F9" w:rsidRDefault="002A0E74" w:rsidP="00721EE1">
      <w:pPr>
        <w:pStyle w:val="FootnoteText"/>
      </w:pPr>
      <w:r w:rsidRPr="000822F9">
        <w:rPr>
          <w:rStyle w:val="FootnoteReference"/>
        </w:rPr>
        <w:footnoteRef/>
      </w:r>
      <w:r w:rsidRPr="000822F9">
        <w:t xml:space="preserve"> </w:t>
      </w:r>
      <w:r w:rsidRPr="000822F9">
        <w:t>Art. 375</w:t>
      </w:r>
      <w:r w:rsidRPr="000822F9">
        <w:rPr>
          <w:i/>
          <w:iCs/>
        </w:rPr>
        <w:t>bis</w:t>
      </w:r>
      <w:r w:rsidRPr="000822F9">
        <w:t xml:space="preserve"> BW.; Brussel 23 januari 1980, </w:t>
      </w:r>
      <w:r w:rsidRPr="000822F9">
        <w:rPr>
          <w:i/>
          <w:iCs/>
        </w:rPr>
        <w:t>JT</w:t>
      </w:r>
      <w:r w:rsidRPr="000822F9">
        <w:t xml:space="preserve"> 1980, 360; Jeugdrb. Brugge, 20 juni 2013, </w:t>
      </w:r>
      <w:r w:rsidRPr="000822F9">
        <w:rPr>
          <w:i/>
          <w:iCs/>
        </w:rPr>
        <w:t>T. Fam.</w:t>
      </w:r>
      <w:r w:rsidRPr="000822F9">
        <w:t xml:space="preserve"> 2013, afl. 10, 244; </w:t>
      </w:r>
      <w:r w:rsidRPr="000822F9">
        <w:rPr>
          <w:smallCaps/>
        </w:rPr>
        <w:t>S. AUDOORE,  “</w:t>
      </w:r>
      <w:r w:rsidRPr="000822F9">
        <w:t xml:space="preserve">Overzicht van rechtspraak (2003-2011) – De uitoefening van het ouderlijk gezag”, </w:t>
      </w:r>
      <w:r w:rsidRPr="000822F9">
        <w:rPr>
          <w:i/>
          <w:iCs/>
        </w:rPr>
        <w:t>T.Fam.</w:t>
      </w:r>
      <w:r w:rsidRPr="000822F9">
        <w:t xml:space="preserve"> 2012, afl. 3, (55) 55, nr. 2</w:t>
      </w:r>
      <w:r w:rsidRPr="000822F9">
        <w:rPr>
          <w:i/>
          <w:iCs/>
        </w:rPr>
        <w:t>;</w:t>
      </w:r>
      <w:r w:rsidRPr="000822F9">
        <w:t xml:space="preserve"> </w:t>
      </w:r>
      <w:r w:rsidRPr="000822F9">
        <w:rPr>
          <w:smallCaps/>
          <w:color w:val="000000"/>
        </w:rPr>
        <w:t xml:space="preserve">G. </w:t>
      </w:r>
      <w:r w:rsidRPr="000822F9">
        <w:rPr>
          <w:smallCaps/>
        </w:rPr>
        <w:t xml:space="preserve">VERSCHELDEN, </w:t>
      </w:r>
      <w:r w:rsidRPr="000822F9">
        <w:rPr>
          <w:i/>
          <w:iCs/>
        </w:rPr>
        <w:t>Handboek Belgisch familierecht,</w:t>
      </w:r>
      <w:r w:rsidRPr="000822F9">
        <w:t xml:space="preserve"> Brugge, Die Keure, 2010, 321-324, nr. 758-764; </w:t>
      </w:r>
      <w:r w:rsidRPr="000822F9">
        <w:rPr>
          <w:smallCaps/>
        </w:rPr>
        <w:t xml:space="preserve">K. </w:t>
      </w:r>
      <w:r w:rsidRPr="000822F9">
        <w:rPr>
          <w:smallCaps/>
          <w:color w:val="000000"/>
        </w:rPr>
        <w:t>VERSTRAETE, “</w:t>
      </w:r>
      <w:r w:rsidRPr="000822F9">
        <w:rPr>
          <w:color w:val="000000"/>
        </w:rPr>
        <w:t xml:space="preserve">Ouderlijk gezag en omgangsrecht” </w:t>
      </w:r>
      <w:r w:rsidRPr="000822F9">
        <w:rPr>
          <w:color w:val="4E4E4E"/>
        </w:rPr>
        <w:t>i</w:t>
      </w:r>
      <w:r w:rsidRPr="000822F9">
        <w:rPr>
          <w:color w:val="000000"/>
        </w:rPr>
        <w:t xml:space="preserve">n </w:t>
      </w:r>
      <w:r w:rsidRPr="000822F9">
        <w:rPr>
          <w:smallCaps/>
          <w:color w:val="000000"/>
        </w:rPr>
        <w:t xml:space="preserve">VERSCHELDEN, G., BROUWERS, S., BOONE, K., MARTENS, I. </w:t>
      </w:r>
      <w:r w:rsidRPr="000822F9">
        <w:rPr>
          <w:color w:val="000000"/>
        </w:rPr>
        <w:t xml:space="preserve">en </w:t>
      </w:r>
      <w:r w:rsidRPr="000822F9">
        <w:rPr>
          <w:smallCaps/>
          <w:color w:val="000000"/>
        </w:rPr>
        <w:t>VERSTRAETE, K. (</w:t>
      </w:r>
      <w:r w:rsidRPr="000822F9">
        <w:rPr>
          <w:color w:val="000000"/>
        </w:rPr>
        <w:t>eds.)</w:t>
      </w:r>
      <w:hyperlink r:id="rId8" w:history="1">
        <w:r w:rsidRPr="000822F9">
          <w:rPr>
            <w:color w:val="000000"/>
          </w:rPr>
          <w:t>,” Overzicht rechtspraak. Familierecht (2001-2006)”,</w:t>
        </w:r>
        <w:r w:rsidRPr="000822F9">
          <w:rPr>
            <w:i/>
            <w:iCs/>
            <w:color w:val="000000"/>
          </w:rPr>
          <w:t xml:space="preserve"> TPR </w:t>
        </w:r>
        <w:r w:rsidRPr="000822F9">
          <w:rPr>
            <w:color w:val="000000"/>
          </w:rPr>
          <w:t xml:space="preserve">2007, afl. 1, (670) </w:t>
        </w:r>
      </w:hyperlink>
      <w:r w:rsidRPr="000822F9">
        <w:rPr>
          <w:color w:val="000000"/>
        </w:rPr>
        <w:t>714-715, nr. 820.</w:t>
      </w:r>
    </w:p>
  </w:footnote>
  <w:footnote w:id="129">
    <w:p w:rsidR="002A0E74" w:rsidRPr="000822F9" w:rsidRDefault="002A0E74" w:rsidP="00721EE1">
      <w:pPr>
        <w:pStyle w:val="FootnoteText"/>
      </w:pPr>
      <w:r w:rsidRPr="000822F9">
        <w:rPr>
          <w:rStyle w:val="FootnoteReference"/>
        </w:rPr>
        <w:footnoteRef/>
      </w:r>
      <w:r w:rsidRPr="000822F9">
        <w:t xml:space="preserve">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Leuven, Acco, 2015, 362, nr. 1165.</w:t>
      </w:r>
    </w:p>
  </w:footnote>
  <w:footnote w:id="130">
    <w:p w:rsidR="002A0E74" w:rsidRPr="000822F9" w:rsidRDefault="002A0E74">
      <w:pPr>
        <w:pStyle w:val="FootnoteText"/>
      </w:pPr>
      <w:r w:rsidRPr="000822F9">
        <w:rPr>
          <w:rStyle w:val="FootnoteReference"/>
        </w:rPr>
        <w:footnoteRef/>
      </w:r>
      <w:r w:rsidRPr="000822F9">
        <w:t xml:space="preserve"> </w:t>
      </w:r>
      <w:r w:rsidRPr="000822F9">
        <w:t xml:space="preserve">Voorstel van wet tot wijziging van de wetgeving voor wat betreft de rechten en plichten van de pleegouders, </w:t>
      </w:r>
      <w:r w:rsidRPr="000822F9">
        <w:rPr>
          <w:i/>
        </w:rPr>
        <w:t xml:space="preserve">Parl.St. </w:t>
      </w:r>
      <w:r w:rsidRPr="000822F9">
        <w:t>Kamer</w:t>
      </w:r>
      <w:r>
        <w:t xml:space="preserve"> 2014-</w:t>
      </w:r>
      <w:r w:rsidRPr="000822F9">
        <w:t>15, nr. 54-0697/001.</w:t>
      </w:r>
    </w:p>
  </w:footnote>
  <w:footnote w:id="131">
    <w:p w:rsidR="002A0E74" w:rsidRDefault="002A0E74" w:rsidP="00E77B6B">
      <w:pPr>
        <w:pStyle w:val="FootnoteText"/>
      </w:pPr>
      <w:r w:rsidRPr="000822F9">
        <w:rPr>
          <w:rStyle w:val="FootnoteReference"/>
        </w:rPr>
        <w:footnoteRef/>
      </w:r>
      <w:r w:rsidRPr="000822F9">
        <w:t xml:space="preserve">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xml:space="preserve">, Leuven, Acco, 2015, 653, nr. 2141; </w:t>
      </w:r>
      <w:r w:rsidRPr="000822F9">
        <w:rPr>
          <w:smallCaps/>
        </w:rPr>
        <w:t xml:space="preserve">G. VERSCHELDEN, </w:t>
      </w:r>
      <w:r w:rsidRPr="000822F9">
        <w:rPr>
          <w:i/>
          <w:iCs/>
        </w:rPr>
        <w:t>Handboek Belgisch familierecht,</w:t>
      </w:r>
      <w:r w:rsidRPr="000822F9">
        <w:t xml:space="preserve"> Brugge, Die Keure, 2010, 323, nr. 763.</w:t>
      </w:r>
    </w:p>
  </w:footnote>
  <w:footnote w:id="132">
    <w:p w:rsidR="002A0E74" w:rsidRDefault="002A0E74" w:rsidP="00E77B6B">
      <w:pPr>
        <w:pStyle w:val="FootnoteText"/>
      </w:pPr>
      <w:r w:rsidRPr="00721EE1">
        <w:rPr>
          <w:rStyle w:val="FootnoteReference"/>
        </w:rPr>
        <w:footnoteRef/>
      </w:r>
      <w:r w:rsidRPr="00721EE1">
        <w:t xml:space="preserve"> </w:t>
      </w:r>
      <w:r w:rsidRPr="00721EE1">
        <w:rPr>
          <w:smallCaps/>
        </w:rPr>
        <w:t xml:space="preserve">A. </w:t>
      </w:r>
      <w:r>
        <w:rPr>
          <w:smallCaps/>
        </w:rPr>
        <w:t xml:space="preserve">HUYGENS, </w:t>
      </w:r>
      <w:r w:rsidRPr="00721EE1">
        <w:t xml:space="preserve">“Persoonlijk gezag over minderjarige kinderen: quo vadis?”, </w:t>
      </w:r>
      <w:r w:rsidRPr="00721EE1">
        <w:rPr>
          <w:i/>
          <w:iCs/>
        </w:rPr>
        <w:t>TBBR</w:t>
      </w:r>
      <w:r w:rsidRPr="00721EE1">
        <w:t xml:space="preserve"> 2006, afl. 10, </w:t>
      </w:r>
      <w:r>
        <w:t>(567)</w:t>
      </w:r>
      <w:r w:rsidRPr="00187999">
        <w:t xml:space="preserve"> </w:t>
      </w:r>
      <w:r w:rsidRPr="00721EE1">
        <w:t xml:space="preserve">577, nr. 24; </w:t>
      </w:r>
      <w:r w:rsidRPr="00721EE1">
        <w:rPr>
          <w:smallCaps/>
        </w:rPr>
        <w:t>P.</w:t>
      </w:r>
      <w:r w:rsidRPr="00721EE1">
        <w:rPr>
          <w:color w:val="000000"/>
        </w:rPr>
        <w:t xml:space="preserve"> </w:t>
      </w:r>
      <w:r>
        <w:rPr>
          <w:smallCaps/>
          <w:color w:val="000000"/>
        </w:rPr>
        <w:t>SENAEVE</w:t>
      </w:r>
      <w:r w:rsidRPr="00721EE1">
        <w:rPr>
          <w:smallCaps/>
          <w:color w:val="000000"/>
        </w:rPr>
        <w:t xml:space="preserve">, </w:t>
      </w:r>
      <w:r w:rsidRPr="00721EE1">
        <w:rPr>
          <w:i/>
          <w:iCs/>
          <w:color w:val="000000"/>
        </w:rPr>
        <w:t>Compendium van het Personen- en Familierecht</w:t>
      </w:r>
      <w:r w:rsidRPr="00721EE1">
        <w:rPr>
          <w:color w:val="000000"/>
        </w:rPr>
        <w:t>, Leuven, Acco, 2015, 654, nr. 2146.</w:t>
      </w:r>
    </w:p>
  </w:footnote>
  <w:footnote w:id="133">
    <w:p w:rsidR="002A0E74" w:rsidRDefault="002A0E74" w:rsidP="004D06E0">
      <w:pPr>
        <w:pStyle w:val="FootnoteText"/>
      </w:pPr>
      <w:r w:rsidRPr="00187999">
        <w:rPr>
          <w:rStyle w:val="FootnoteReference"/>
        </w:rPr>
        <w:footnoteRef/>
      </w:r>
      <w:r w:rsidRPr="00187999">
        <w:t xml:space="preserve">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Pr>
          <w:color w:val="000000"/>
        </w:rPr>
        <w:t>, Leuven, Acco, 2015, 644-645</w:t>
      </w:r>
      <w:r w:rsidRPr="00187999">
        <w:rPr>
          <w:color w:val="000000"/>
        </w:rPr>
        <w:t>, nr. 2109.</w:t>
      </w:r>
    </w:p>
  </w:footnote>
  <w:footnote w:id="134">
    <w:p w:rsidR="002A0E74" w:rsidRDefault="002A0E74" w:rsidP="004C750E">
      <w:pPr>
        <w:pStyle w:val="FootnoteText"/>
      </w:pPr>
      <w:r w:rsidRPr="00721EE1">
        <w:rPr>
          <w:rStyle w:val="FootnoteReference"/>
        </w:rPr>
        <w:footnoteRef/>
      </w:r>
      <w:r w:rsidRPr="00721EE1">
        <w:t xml:space="preserve"> </w:t>
      </w:r>
      <w:r w:rsidRPr="00721EE1">
        <w:t>Art.</w:t>
      </w:r>
      <w:r>
        <w:t xml:space="preserve"> </w:t>
      </w:r>
      <w:r w:rsidRPr="00721EE1">
        <w:t>375</w:t>
      </w:r>
      <w:r w:rsidRPr="00721EE1">
        <w:rPr>
          <w:i/>
          <w:iCs/>
        </w:rPr>
        <w:t>bis</w:t>
      </w:r>
      <w:r w:rsidRPr="00721EE1">
        <w:t xml:space="preserve"> BW.; Brussel 23 januari 1980, </w:t>
      </w:r>
      <w:r w:rsidRPr="00721EE1">
        <w:rPr>
          <w:i/>
          <w:iCs/>
        </w:rPr>
        <w:t>JT</w:t>
      </w:r>
      <w:r w:rsidRPr="00721EE1">
        <w:t xml:space="preserve"> 1980, 360; Jeugdrb. Mechelen (15</w:t>
      </w:r>
      <w:r w:rsidRPr="00721EE1">
        <w:rPr>
          <w:vertAlign w:val="superscript"/>
        </w:rPr>
        <w:t>e</w:t>
      </w:r>
      <w:r>
        <w:t xml:space="preserve"> k.</w:t>
      </w:r>
      <w:r w:rsidRPr="00721EE1">
        <w:t xml:space="preserve">) 28 april 2004, </w:t>
      </w:r>
      <w:r w:rsidRPr="00721EE1">
        <w:rPr>
          <w:i/>
          <w:iCs/>
        </w:rPr>
        <w:t>RW</w:t>
      </w:r>
      <w:r w:rsidRPr="00721EE1">
        <w:t xml:space="preserve"> 2004-05, afl. 1, 30; Jeugdrb. Brugge, 20 juni 2013, </w:t>
      </w:r>
      <w:r w:rsidRPr="00721EE1">
        <w:rPr>
          <w:i/>
          <w:iCs/>
        </w:rPr>
        <w:t>T. Fam.</w:t>
      </w:r>
      <w:r w:rsidRPr="00721EE1">
        <w:t xml:space="preserve"> 2013, afl. 10, 244; </w:t>
      </w:r>
      <w:r w:rsidRPr="00721EE1">
        <w:rPr>
          <w:smallCaps/>
        </w:rPr>
        <w:t xml:space="preserve">S. </w:t>
      </w:r>
      <w:r>
        <w:rPr>
          <w:smallCaps/>
        </w:rPr>
        <w:t>AUDOORE</w:t>
      </w:r>
      <w:r w:rsidRPr="00721EE1">
        <w:rPr>
          <w:smallCaps/>
        </w:rPr>
        <w:t>,  “</w:t>
      </w:r>
      <w:r w:rsidRPr="00721EE1">
        <w:t xml:space="preserve">Overzicht van rechtspraak (2003-2011) – De uitoefening van het ouderlijk gezag”, </w:t>
      </w:r>
      <w:r w:rsidRPr="00721EE1">
        <w:rPr>
          <w:i/>
          <w:iCs/>
        </w:rPr>
        <w:t>T.Fam.</w:t>
      </w:r>
      <w:r w:rsidRPr="00721EE1">
        <w:t xml:space="preserve"> 2012, afl. 3,</w:t>
      </w:r>
      <w:r>
        <w:t xml:space="preserve"> (55)</w:t>
      </w:r>
      <w:r w:rsidRPr="00721EE1">
        <w:t xml:space="preserve"> 55, nr.</w:t>
      </w:r>
      <w:r>
        <w:t xml:space="preserve"> </w:t>
      </w:r>
      <w:r w:rsidRPr="00721EE1">
        <w:t xml:space="preserve">2; </w:t>
      </w:r>
      <w:r w:rsidRPr="00721EE1">
        <w:rPr>
          <w:smallCaps/>
        </w:rPr>
        <w:t>P.</w:t>
      </w:r>
      <w:r w:rsidRPr="00721EE1">
        <w:rPr>
          <w:color w:val="000000"/>
        </w:rPr>
        <w:t xml:space="preserve"> </w:t>
      </w:r>
      <w:r>
        <w:rPr>
          <w:smallCaps/>
          <w:color w:val="000000"/>
        </w:rPr>
        <w:t>SENAEVE</w:t>
      </w:r>
      <w:r w:rsidRPr="00721EE1">
        <w:rPr>
          <w:smallCaps/>
          <w:color w:val="000000"/>
        </w:rPr>
        <w:t xml:space="preserve">, </w:t>
      </w:r>
      <w:r w:rsidRPr="00721EE1">
        <w:rPr>
          <w:i/>
          <w:iCs/>
          <w:color w:val="000000"/>
        </w:rPr>
        <w:t>Compendium van het Personen- en Familierecht</w:t>
      </w:r>
      <w:r w:rsidRPr="00721EE1">
        <w:rPr>
          <w:color w:val="000000"/>
        </w:rPr>
        <w:t xml:space="preserve">, Leuven, Acco, 2015, 653, nr. 2142; </w:t>
      </w:r>
      <w:r w:rsidRPr="00721EE1">
        <w:rPr>
          <w:smallCaps/>
          <w:color w:val="000000"/>
        </w:rPr>
        <w:t xml:space="preserve">G. </w:t>
      </w:r>
      <w:r>
        <w:rPr>
          <w:smallCaps/>
        </w:rPr>
        <w:t>VERSCHELDEN</w:t>
      </w:r>
      <w:r w:rsidRPr="00721EE1">
        <w:rPr>
          <w:smallCaps/>
        </w:rPr>
        <w:t xml:space="preserve">, </w:t>
      </w:r>
      <w:r w:rsidRPr="00721EE1">
        <w:rPr>
          <w:i/>
          <w:iCs/>
        </w:rPr>
        <w:t>Handboek Belgisch familierecht,</w:t>
      </w:r>
      <w:r w:rsidRPr="00721EE1">
        <w:t xml:space="preserve"> Brugge, Die Keure, 2010, 321-324, nr. 758-764; </w:t>
      </w:r>
      <w:r w:rsidRPr="00721EE1">
        <w:rPr>
          <w:smallCaps/>
        </w:rPr>
        <w:t xml:space="preserve">K. </w:t>
      </w:r>
      <w:r>
        <w:rPr>
          <w:smallCaps/>
          <w:color w:val="000000"/>
        </w:rPr>
        <w:t>VERSTRAETE</w:t>
      </w:r>
      <w:r w:rsidRPr="00721EE1">
        <w:rPr>
          <w:smallCaps/>
          <w:color w:val="000000"/>
        </w:rPr>
        <w:t>,  “</w:t>
      </w:r>
      <w:r w:rsidRPr="00721EE1">
        <w:rPr>
          <w:color w:val="000000"/>
        </w:rPr>
        <w:t xml:space="preserve">Ouderlijk gezag en omgangsrecht” </w:t>
      </w:r>
      <w:r w:rsidRPr="00721EE1">
        <w:rPr>
          <w:color w:val="4E4E4E"/>
        </w:rPr>
        <w:t>i</w:t>
      </w:r>
      <w:r w:rsidRPr="00721EE1">
        <w:rPr>
          <w:color w:val="000000"/>
        </w:rPr>
        <w:t xml:space="preserve">n </w:t>
      </w:r>
      <w:r>
        <w:rPr>
          <w:smallCaps/>
          <w:color w:val="000000"/>
        </w:rPr>
        <w:t>VERSCHELDEN</w:t>
      </w:r>
      <w:r w:rsidRPr="00721EE1">
        <w:rPr>
          <w:smallCaps/>
          <w:color w:val="000000"/>
        </w:rPr>
        <w:t xml:space="preserve">, G., </w:t>
      </w:r>
      <w:r>
        <w:rPr>
          <w:smallCaps/>
          <w:color w:val="000000"/>
        </w:rPr>
        <w:t>BROUWERS</w:t>
      </w:r>
      <w:r w:rsidRPr="00721EE1">
        <w:rPr>
          <w:smallCaps/>
          <w:color w:val="000000"/>
        </w:rPr>
        <w:t xml:space="preserve">, S., </w:t>
      </w:r>
      <w:r>
        <w:rPr>
          <w:smallCaps/>
          <w:color w:val="000000"/>
        </w:rPr>
        <w:t>BOONE</w:t>
      </w:r>
      <w:r w:rsidRPr="00721EE1">
        <w:rPr>
          <w:smallCaps/>
          <w:color w:val="000000"/>
        </w:rPr>
        <w:t xml:space="preserve">, K., </w:t>
      </w:r>
      <w:r>
        <w:rPr>
          <w:smallCaps/>
          <w:color w:val="000000"/>
        </w:rPr>
        <w:t>MARTENS</w:t>
      </w:r>
      <w:r w:rsidRPr="00721EE1">
        <w:rPr>
          <w:smallCaps/>
          <w:color w:val="000000"/>
        </w:rPr>
        <w:t xml:space="preserve">, I. </w:t>
      </w:r>
      <w:r w:rsidRPr="00721EE1">
        <w:rPr>
          <w:color w:val="000000"/>
        </w:rPr>
        <w:t xml:space="preserve">en </w:t>
      </w:r>
      <w:r>
        <w:rPr>
          <w:smallCaps/>
          <w:color w:val="000000"/>
        </w:rPr>
        <w:t>VERSTRAETE</w:t>
      </w:r>
      <w:r w:rsidRPr="00721EE1">
        <w:rPr>
          <w:smallCaps/>
          <w:color w:val="000000"/>
        </w:rPr>
        <w:t>, K. (</w:t>
      </w:r>
      <w:r w:rsidRPr="00721EE1">
        <w:rPr>
          <w:color w:val="000000"/>
        </w:rPr>
        <w:t>eds.)</w:t>
      </w:r>
      <w:hyperlink r:id="rId9" w:history="1">
        <w:r w:rsidRPr="00721EE1">
          <w:rPr>
            <w:color w:val="000000"/>
          </w:rPr>
          <w:t>,” Overzicht rechtspraak. Familierecht (2001-2006)”,</w:t>
        </w:r>
        <w:r w:rsidRPr="00721EE1">
          <w:rPr>
            <w:i/>
            <w:iCs/>
            <w:color w:val="000000"/>
          </w:rPr>
          <w:t xml:space="preserve"> TPR </w:t>
        </w:r>
        <w:r w:rsidRPr="00721EE1">
          <w:rPr>
            <w:color w:val="000000"/>
          </w:rPr>
          <w:t xml:space="preserve">2007, afl. 1, </w:t>
        </w:r>
      </w:hyperlink>
      <w:r>
        <w:rPr>
          <w:color w:val="000000"/>
        </w:rPr>
        <w:t xml:space="preserve">(670) </w:t>
      </w:r>
      <w:r w:rsidRPr="00721EE1">
        <w:rPr>
          <w:color w:val="000000"/>
        </w:rPr>
        <w:t>714-715, nr. 820.</w:t>
      </w:r>
    </w:p>
  </w:footnote>
  <w:footnote w:id="135">
    <w:p w:rsidR="002A0E74" w:rsidRPr="00233DBA" w:rsidRDefault="002A0E74">
      <w:pPr>
        <w:pStyle w:val="FootnoteText"/>
      </w:pPr>
      <w:r>
        <w:rPr>
          <w:rStyle w:val="FootnoteReference"/>
        </w:rPr>
        <w:footnoteRef/>
      </w:r>
      <w:r>
        <w:t xml:space="preserve"> </w:t>
      </w:r>
      <w:r>
        <w:rPr>
          <w:smallCaps/>
        </w:rPr>
        <w:t xml:space="preserve">R. VASSEUR, </w:t>
      </w:r>
      <w:r>
        <w:t>“Hof van Cassatie verduidelijkt draagwijdte ‘bijzondere affectieve band’ ex artikel 375</w:t>
      </w:r>
      <w:r w:rsidRPr="00233DBA">
        <w:rPr>
          <w:i/>
        </w:rPr>
        <w:t>bis</w:t>
      </w:r>
      <w:r>
        <w:t xml:space="preserve"> BW”, (noot onder Hof van Cassatie 16 januari 2009), </w:t>
      </w:r>
      <w:r w:rsidRPr="00233DBA">
        <w:rPr>
          <w:i/>
        </w:rPr>
        <w:t>T.Fam.</w:t>
      </w:r>
      <w:r>
        <w:t xml:space="preserve"> 2009, (94) 94, nr. 1.</w:t>
      </w:r>
    </w:p>
  </w:footnote>
  <w:footnote w:id="136">
    <w:p w:rsidR="002A0E74" w:rsidRPr="00311F4B" w:rsidRDefault="002A0E74">
      <w:pPr>
        <w:pStyle w:val="FootnoteText"/>
      </w:pPr>
      <w:r>
        <w:rPr>
          <w:rStyle w:val="FootnoteReference"/>
        </w:rPr>
        <w:footnoteRef/>
      </w:r>
      <w:r>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t>en</w:t>
      </w:r>
      <w:r w:rsidRPr="00187999">
        <w:rPr>
          <w:smallCaps/>
        </w:rPr>
        <w:t xml:space="preserve"> </w:t>
      </w:r>
      <w:r>
        <w:rPr>
          <w:smallCaps/>
        </w:rPr>
        <w:t>VERSCHELDEN</w:t>
      </w:r>
      <w:r w:rsidRPr="00187999">
        <w:rPr>
          <w:smallCaps/>
        </w:rPr>
        <w:t>, G.</w:t>
      </w:r>
      <w:r w:rsidRPr="00187999">
        <w:t xml:space="preserve"> (eds.), </w:t>
      </w:r>
      <w:r w:rsidRPr="00187999">
        <w:rPr>
          <w:i/>
          <w:iCs/>
        </w:rPr>
        <w:t>Ouders en kinderen</w:t>
      </w:r>
      <w:r w:rsidRPr="00187999">
        <w:t>, Antwerpen, Intersentia, 2013,</w:t>
      </w:r>
      <w:r>
        <w:t xml:space="preserve"> (257) 274, nr. 339.</w:t>
      </w:r>
    </w:p>
  </w:footnote>
  <w:footnote w:id="137">
    <w:p w:rsidR="002A0E74" w:rsidRPr="003E334F" w:rsidRDefault="002A0E74">
      <w:pPr>
        <w:pStyle w:val="FootnoteText"/>
      </w:pPr>
      <w:r w:rsidRPr="00A4149C">
        <w:rPr>
          <w:rStyle w:val="FootnoteReference"/>
        </w:rPr>
        <w:footnoteRef/>
      </w:r>
      <w:r>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t>en</w:t>
      </w:r>
      <w:r w:rsidRPr="00187999">
        <w:rPr>
          <w:smallCaps/>
        </w:rPr>
        <w:t xml:space="preserve"> </w:t>
      </w:r>
      <w:r>
        <w:rPr>
          <w:smallCaps/>
        </w:rPr>
        <w:t>VERSCHELDEN</w:t>
      </w:r>
      <w:r w:rsidRPr="00187999">
        <w:rPr>
          <w:smallCaps/>
        </w:rPr>
        <w:t>, G.</w:t>
      </w:r>
      <w:r w:rsidRPr="00187999">
        <w:t xml:space="preserve"> (eds.), </w:t>
      </w:r>
      <w:r w:rsidRPr="00187999">
        <w:rPr>
          <w:i/>
          <w:iCs/>
        </w:rPr>
        <w:t>Ouders en kinderen</w:t>
      </w:r>
      <w:r w:rsidRPr="00187999">
        <w:t xml:space="preserve">, Antwerpen, Intersentia, 2013, </w:t>
      </w:r>
      <w:r>
        <w:t xml:space="preserve">(257) 274-276, nr. 340-341; </w:t>
      </w:r>
      <w:r>
        <w:rPr>
          <w:smallCaps/>
        </w:rPr>
        <w:t xml:space="preserve">F. SWENNEN, </w:t>
      </w:r>
      <w:r>
        <w:t xml:space="preserve">Het personen- en familierecht, Antwerpen, Intersentia, 2015, 526, nr. 892;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298-299, nr. 428-430.</w:t>
      </w:r>
    </w:p>
  </w:footnote>
  <w:footnote w:id="138">
    <w:p w:rsidR="002A0E74" w:rsidRPr="000952FA" w:rsidRDefault="002A0E74">
      <w:pPr>
        <w:pStyle w:val="FootnoteText"/>
      </w:pPr>
      <w:r>
        <w:rPr>
          <w:rStyle w:val="FootnoteReference"/>
        </w:rPr>
        <w:footnoteRef/>
      </w:r>
      <w:r>
        <w:t xml:space="preserve"> </w:t>
      </w:r>
      <w:r>
        <w:rPr>
          <w:smallCaps/>
        </w:rPr>
        <w:t xml:space="preserve">R. VASSEUR, </w:t>
      </w:r>
      <w:r>
        <w:t>“Hof van Cassatie verduidelijkt draagwijdte ‘bijzondere affectieve band’ ex artikel 375</w:t>
      </w:r>
      <w:r w:rsidRPr="00233DBA">
        <w:rPr>
          <w:i/>
        </w:rPr>
        <w:t>bis</w:t>
      </w:r>
      <w:r>
        <w:t xml:space="preserve"> BW”, (noot onder Hof van Cassatie 16 januari 2009), </w:t>
      </w:r>
      <w:r w:rsidRPr="00233DBA">
        <w:rPr>
          <w:i/>
        </w:rPr>
        <w:t>T.Fam.</w:t>
      </w:r>
      <w:r>
        <w:t xml:space="preserve"> 2009, (94) 94, nr. 2;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298, nr. 428.</w:t>
      </w:r>
    </w:p>
  </w:footnote>
  <w:footnote w:id="139">
    <w:p w:rsidR="002A0E74" w:rsidRPr="000952FA" w:rsidRDefault="002A0E74">
      <w:pPr>
        <w:pStyle w:val="FootnoteText"/>
      </w:pPr>
      <w:r>
        <w:rPr>
          <w:rStyle w:val="FootnoteReference"/>
        </w:rPr>
        <w:footnoteRef/>
      </w:r>
      <w:r>
        <w:t xml:space="preserve"> </w:t>
      </w:r>
      <w:r>
        <w:rPr>
          <w:smallCaps/>
        </w:rPr>
        <w:t xml:space="preserve">R. VASSEUR, </w:t>
      </w:r>
      <w:r>
        <w:t>“Hof van Cassatie verduidelijkt draagwijdte ‘bijzondere affectieve band’ ex artikel 375</w:t>
      </w:r>
      <w:r w:rsidRPr="00233DBA">
        <w:rPr>
          <w:i/>
        </w:rPr>
        <w:t>bis</w:t>
      </w:r>
      <w:r>
        <w:t xml:space="preserve"> BW”, (noot onder Hof van Cassatie 16 januari 2009), </w:t>
      </w:r>
      <w:r w:rsidRPr="00233DBA">
        <w:rPr>
          <w:i/>
        </w:rPr>
        <w:t>T.Fam.</w:t>
      </w:r>
      <w:r>
        <w:t xml:space="preserve"> 2009, (94) 94, nr. 2.</w:t>
      </w:r>
    </w:p>
  </w:footnote>
  <w:footnote w:id="140">
    <w:p w:rsidR="002A0E74" w:rsidRPr="000952FA" w:rsidRDefault="002A0E74">
      <w:pPr>
        <w:pStyle w:val="FootnoteText"/>
      </w:pPr>
      <w:r>
        <w:rPr>
          <w:rStyle w:val="FootnoteReference"/>
        </w:rPr>
        <w:footnoteRef/>
      </w:r>
      <w:r>
        <w:t xml:space="preserve"> </w:t>
      </w:r>
      <w:r w:rsidRPr="000952FA">
        <w:t>Cas</w:t>
      </w:r>
      <w:r>
        <w:t>s.</w:t>
      </w:r>
      <w:r w:rsidRPr="000952FA">
        <w:t xml:space="preserve"> 16 januari 2009, </w:t>
      </w:r>
      <w:r w:rsidRPr="000952FA">
        <w:rPr>
          <w:i/>
        </w:rPr>
        <w:t>T.Fam.</w:t>
      </w:r>
      <w:r w:rsidRPr="000952FA">
        <w:t xml:space="preserve"> </w:t>
      </w:r>
      <w:r>
        <w:t xml:space="preserve">2009, 91, noot </w:t>
      </w:r>
      <w:r>
        <w:rPr>
          <w:smallCaps/>
        </w:rPr>
        <w:t>R. VASSEUR.</w:t>
      </w:r>
    </w:p>
  </w:footnote>
  <w:footnote w:id="141">
    <w:p w:rsidR="002A0E74" w:rsidRPr="000952FA" w:rsidRDefault="002A0E74">
      <w:pPr>
        <w:pStyle w:val="FootnoteText"/>
      </w:pPr>
      <w:r>
        <w:rPr>
          <w:rStyle w:val="FootnoteReference"/>
        </w:rPr>
        <w:footnoteRef/>
      </w:r>
      <w:r>
        <w:t xml:space="preserve"> </w:t>
      </w:r>
      <w:r w:rsidRPr="000952FA">
        <w:t>Cas</w:t>
      </w:r>
      <w:r>
        <w:t>s.</w:t>
      </w:r>
      <w:r w:rsidRPr="000952FA">
        <w:t xml:space="preserve"> 16 januari 2009, </w:t>
      </w:r>
      <w:r w:rsidRPr="000952FA">
        <w:rPr>
          <w:i/>
        </w:rPr>
        <w:t>T.Fam.</w:t>
      </w:r>
      <w:r w:rsidRPr="000952FA">
        <w:t xml:space="preserve"> </w:t>
      </w:r>
      <w:r>
        <w:t xml:space="preserve">2009, 91, noot </w:t>
      </w:r>
      <w:r>
        <w:rPr>
          <w:smallCaps/>
        </w:rPr>
        <w:t>R. VASSEUR.</w:t>
      </w:r>
    </w:p>
  </w:footnote>
  <w:footnote w:id="142">
    <w:p w:rsidR="002A0E74" w:rsidRPr="007F44F7" w:rsidRDefault="002A0E74" w:rsidP="003358AF">
      <w:pPr>
        <w:pStyle w:val="FootnoteText"/>
      </w:pPr>
      <w:r>
        <w:rPr>
          <w:rStyle w:val="FootnoteReference"/>
        </w:rPr>
        <w:footnoteRef/>
      </w:r>
      <w:r>
        <w:t xml:space="preserve"> </w:t>
      </w:r>
      <w:r>
        <w:rPr>
          <w:smallCaps/>
        </w:rPr>
        <w:t xml:space="preserve">R. VASSEUR, </w:t>
      </w:r>
      <w:r>
        <w:t>“Hof van Cassatie verduidelijkt draagwijdte ‘bijzondere affectieve band’ ex artikel 375</w:t>
      </w:r>
      <w:r w:rsidRPr="00233DBA">
        <w:rPr>
          <w:i/>
        </w:rPr>
        <w:t>bis</w:t>
      </w:r>
      <w:r>
        <w:t xml:space="preserve"> BW”, (noot onder Hof van Cassatie 16 januari 2009), </w:t>
      </w:r>
      <w:r w:rsidRPr="00233DBA">
        <w:rPr>
          <w:i/>
        </w:rPr>
        <w:t>T.Fam.</w:t>
      </w:r>
      <w:r>
        <w:t xml:space="preserve"> 2009, (94) 96, nr. 5.</w:t>
      </w:r>
    </w:p>
  </w:footnote>
  <w:footnote w:id="143">
    <w:p w:rsidR="002A0E74" w:rsidRPr="007F44F7" w:rsidRDefault="002A0E74">
      <w:pPr>
        <w:pStyle w:val="FootnoteText"/>
      </w:pPr>
      <w:r>
        <w:rPr>
          <w:rStyle w:val="FootnoteReference"/>
        </w:rPr>
        <w:footnoteRef/>
      </w:r>
      <w:r>
        <w:t xml:space="preserve"> </w:t>
      </w:r>
      <w:r>
        <w:rPr>
          <w:smallCaps/>
        </w:rPr>
        <w:t xml:space="preserve">R. VASSEUR, </w:t>
      </w:r>
      <w:r>
        <w:t>“Hof van Cassatie verduidelijkt draagwijdte ‘bijzondere affectieve band’ ex artikel 375</w:t>
      </w:r>
      <w:r w:rsidRPr="00233DBA">
        <w:rPr>
          <w:i/>
        </w:rPr>
        <w:t>bis</w:t>
      </w:r>
      <w:r>
        <w:t xml:space="preserve"> BW”, (noot onder Hof van Cassatie 16 januari 2009), </w:t>
      </w:r>
      <w:r w:rsidRPr="00233DBA">
        <w:rPr>
          <w:i/>
        </w:rPr>
        <w:t>T.Fam.</w:t>
      </w:r>
      <w:r>
        <w:t xml:space="preserve"> 2009, (94) 96, nr. 5.</w:t>
      </w:r>
    </w:p>
  </w:footnote>
  <w:footnote w:id="144">
    <w:p w:rsidR="002A0E74" w:rsidRPr="006022AE" w:rsidRDefault="002A0E74">
      <w:pPr>
        <w:pStyle w:val="FootnoteText"/>
      </w:pPr>
      <w:r>
        <w:rPr>
          <w:rStyle w:val="FootnoteReference"/>
        </w:rPr>
        <w:footnoteRef/>
      </w:r>
      <w:r>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t>en</w:t>
      </w:r>
      <w:r w:rsidRPr="00187999">
        <w:rPr>
          <w:smallCaps/>
        </w:rPr>
        <w:t xml:space="preserve"> </w:t>
      </w:r>
      <w:r>
        <w:rPr>
          <w:smallCaps/>
        </w:rPr>
        <w:t>VERSCHELDEN</w:t>
      </w:r>
      <w:r w:rsidRPr="00187999">
        <w:rPr>
          <w:smallCaps/>
        </w:rPr>
        <w:t>, G.</w:t>
      </w:r>
      <w:r w:rsidRPr="00187999">
        <w:t xml:space="preserve"> (eds.), </w:t>
      </w:r>
      <w:r w:rsidRPr="00187999">
        <w:rPr>
          <w:i/>
          <w:iCs/>
        </w:rPr>
        <w:t>Ouders en kinderen</w:t>
      </w:r>
      <w:r w:rsidRPr="00187999">
        <w:t>, Antwerpen, Intersentia, 2013,</w:t>
      </w:r>
      <w:r>
        <w:t xml:space="preserve"> (257) 276, nr. 342.</w:t>
      </w:r>
    </w:p>
  </w:footnote>
  <w:footnote w:id="145">
    <w:p w:rsidR="002A0E74" w:rsidRPr="004E3374" w:rsidRDefault="002A0E74">
      <w:pPr>
        <w:pStyle w:val="FootnoteText"/>
      </w:pPr>
      <w:r>
        <w:rPr>
          <w:rStyle w:val="FootnoteReference"/>
        </w:rPr>
        <w:footnoteRef/>
      </w:r>
      <w:r>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t>en</w:t>
      </w:r>
      <w:r w:rsidRPr="00187999">
        <w:rPr>
          <w:smallCaps/>
        </w:rPr>
        <w:t xml:space="preserve"> </w:t>
      </w:r>
      <w:r>
        <w:rPr>
          <w:smallCaps/>
        </w:rPr>
        <w:t>VERSCHELDEN</w:t>
      </w:r>
      <w:r w:rsidRPr="00187999">
        <w:rPr>
          <w:smallCaps/>
        </w:rPr>
        <w:t>, G.</w:t>
      </w:r>
      <w:r w:rsidRPr="00187999">
        <w:t xml:space="preserve"> (eds.), </w:t>
      </w:r>
      <w:r w:rsidRPr="00187999">
        <w:rPr>
          <w:i/>
          <w:iCs/>
        </w:rPr>
        <w:t>Ouders en kinderen</w:t>
      </w:r>
      <w:r w:rsidRPr="00187999">
        <w:t>, Antwerpen, Intersentia, 2013,</w:t>
      </w:r>
      <w:r>
        <w:t xml:space="preserve"> (257) 276, nr. 342.</w:t>
      </w:r>
    </w:p>
  </w:footnote>
  <w:footnote w:id="146">
    <w:p w:rsidR="002A0E74" w:rsidRPr="004E3374" w:rsidRDefault="002A0E74">
      <w:pPr>
        <w:pStyle w:val="FootnoteText"/>
      </w:pPr>
      <w:r>
        <w:rPr>
          <w:rStyle w:val="FootnoteReference"/>
        </w:rPr>
        <w:footnoteRef/>
      </w:r>
      <w:r>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t>en</w:t>
      </w:r>
      <w:r w:rsidRPr="00187999">
        <w:rPr>
          <w:smallCaps/>
        </w:rPr>
        <w:t xml:space="preserve"> </w:t>
      </w:r>
      <w:r>
        <w:rPr>
          <w:smallCaps/>
        </w:rPr>
        <w:t>VERSCHELDEN</w:t>
      </w:r>
      <w:r w:rsidRPr="00187999">
        <w:rPr>
          <w:smallCaps/>
        </w:rPr>
        <w:t>, G.</w:t>
      </w:r>
      <w:r w:rsidRPr="00187999">
        <w:t xml:space="preserve"> (eds.), </w:t>
      </w:r>
      <w:r w:rsidRPr="00187999">
        <w:rPr>
          <w:i/>
          <w:iCs/>
        </w:rPr>
        <w:t>Ouders en kinderen</w:t>
      </w:r>
      <w:r w:rsidRPr="00187999">
        <w:t>, Antwerpen, Intersentia, 2013,</w:t>
      </w:r>
      <w:r>
        <w:t xml:space="preserve"> (257) 276-277, nr. 342.</w:t>
      </w:r>
    </w:p>
  </w:footnote>
  <w:footnote w:id="147">
    <w:p w:rsidR="002A0E74" w:rsidRPr="00187999" w:rsidRDefault="002A0E74" w:rsidP="005E001B">
      <w:pPr>
        <w:pStyle w:val="FootnoteText"/>
      </w:pPr>
      <w:r w:rsidRPr="00187999">
        <w:rPr>
          <w:rStyle w:val="FootnoteReference"/>
        </w:rPr>
        <w:footnoteRef/>
      </w:r>
      <w:r w:rsidRPr="00187999">
        <w:t xml:space="preserve"> </w:t>
      </w:r>
      <w:r>
        <w:rPr>
          <w:smallCaps/>
        </w:rPr>
        <w:t xml:space="preserve">J. VANDE LANOTTE </w:t>
      </w:r>
      <w:r w:rsidRPr="00187999">
        <w:t xml:space="preserve">en </w:t>
      </w:r>
      <w:r w:rsidRPr="00187999">
        <w:rPr>
          <w:smallCaps/>
        </w:rPr>
        <w:t xml:space="preserve">Y. </w:t>
      </w:r>
      <w:r>
        <w:rPr>
          <w:smallCaps/>
        </w:rPr>
        <w:t>HAECK</w:t>
      </w:r>
      <w:r w:rsidRPr="00187999">
        <w:rPr>
          <w:i/>
        </w:rPr>
        <w:t>, Handboek EVRM. Deel 1; algemene beginselen</w:t>
      </w:r>
      <w:r w:rsidRPr="00187999">
        <w:t>, Antwerpen, Intersentia, 2005, 99, nr. 20.</w:t>
      </w:r>
    </w:p>
  </w:footnote>
  <w:footnote w:id="148">
    <w:p w:rsidR="002A0E74" w:rsidRPr="00187999" w:rsidRDefault="002A0E74" w:rsidP="005E001B">
      <w:pPr>
        <w:pStyle w:val="FootnoteText"/>
      </w:pPr>
      <w:r w:rsidRPr="00187999">
        <w:rPr>
          <w:rStyle w:val="FootnoteReference"/>
        </w:rPr>
        <w:footnoteRef/>
      </w:r>
      <w:r w:rsidRPr="00187999">
        <w:t xml:space="preserve"> </w:t>
      </w:r>
      <w:r w:rsidRPr="00187999">
        <w:t xml:space="preserve">P. </w:t>
      </w:r>
      <w:r>
        <w:rPr>
          <w:smallCaps/>
        </w:rPr>
        <w:t>DE HERT</w:t>
      </w:r>
      <w:r w:rsidRPr="00187999">
        <w:rPr>
          <w:smallCaps/>
        </w:rPr>
        <w:t xml:space="preserve">,  </w:t>
      </w:r>
      <w:r w:rsidRPr="00187999">
        <w:t xml:space="preserve">“Artikel 8 Recht op privacy” in </w:t>
      </w:r>
      <w:r>
        <w:rPr>
          <w:smallCaps/>
        </w:rPr>
        <w:t>VANDE LANOTTE</w:t>
      </w:r>
      <w:r w:rsidRPr="00187999">
        <w:rPr>
          <w:smallCaps/>
        </w:rPr>
        <w:t xml:space="preserve">, J. </w:t>
      </w:r>
      <w:r w:rsidRPr="00187999">
        <w:t xml:space="preserve">en </w:t>
      </w:r>
      <w:r>
        <w:rPr>
          <w:smallCaps/>
        </w:rPr>
        <w:t>HAECK</w:t>
      </w:r>
      <w:r w:rsidRPr="00187999">
        <w:rPr>
          <w:smallCaps/>
        </w:rPr>
        <w:t>, Y.</w:t>
      </w:r>
      <w:r w:rsidRPr="00187999">
        <w:t xml:space="preserve"> (eds.), </w:t>
      </w:r>
      <w:r w:rsidRPr="00187999">
        <w:rPr>
          <w:i/>
        </w:rPr>
        <w:t>Handboek EVRM. Deel 2; Artikelsgewijze commentaar, Volume I</w:t>
      </w:r>
      <w:r w:rsidRPr="00187999">
        <w:t xml:space="preserve">, Antwerpen, </w:t>
      </w:r>
      <w:r w:rsidRPr="000D292F">
        <w:t xml:space="preserve">Intersentia, </w:t>
      </w:r>
      <w:r>
        <w:t>200</w:t>
      </w:r>
      <w:r w:rsidRPr="000D292F">
        <w:t>4</w:t>
      </w:r>
      <w:r w:rsidRPr="00187999">
        <w:t xml:space="preserve">, </w:t>
      </w:r>
      <w:r>
        <w:t xml:space="preserve">(705) </w:t>
      </w:r>
      <w:r w:rsidRPr="00187999">
        <w:t>740, nr. 25;</w:t>
      </w:r>
      <w:r w:rsidRPr="0063252E">
        <w:rPr>
          <w:smallCaps/>
        </w:rP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432, nr. 657.</w:t>
      </w:r>
    </w:p>
  </w:footnote>
  <w:footnote w:id="149">
    <w:p w:rsidR="002A0E74" w:rsidRPr="005E001B" w:rsidRDefault="002A0E74">
      <w:pPr>
        <w:pStyle w:val="FootnoteText"/>
      </w:pPr>
      <w:r>
        <w:rPr>
          <w:rStyle w:val="FootnoteReference"/>
        </w:rPr>
        <w:footnoteRef/>
      </w:r>
      <w:r>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t>en</w:t>
      </w:r>
      <w:r w:rsidRPr="00187999">
        <w:rPr>
          <w:smallCaps/>
        </w:rPr>
        <w:t xml:space="preserve"> </w:t>
      </w:r>
      <w:r>
        <w:rPr>
          <w:smallCaps/>
        </w:rPr>
        <w:t>VERSCHELDEN</w:t>
      </w:r>
      <w:r w:rsidRPr="00187999">
        <w:rPr>
          <w:smallCaps/>
        </w:rPr>
        <w:t>, G.</w:t>
      </w:r>
      <w:r w:rsidRPr="00187999">
        <w:t xml:space="preserve"> (eds.), </w:t>
      </w:r>
      <w:r w:rsidRPr="00187999">
        <w:rPr>
          <w:i/>
          <w:iCs/>
        </w:rPr>
        <w:t>Ouders en kinderen</w:t>
      </w:r>
      <w:r w:rsidRPr="00187999">
        <w:t>, Antwerpen, Intersentia, 2013,</w:t>
      </w:r>
      <w:r>
        <w:t xml:space="preserve"> (257) 274, nr. 339.</w:t>
      </w:r>
    </w:p>
  </w:footnote>
  <w:footnote w:id="150">
    <w:p w:rsidR="002A0E74" w:rsidRPr="00C85F60" w:rsidRDefault="002A0E74" w:rsidP="003207C0">
      <w:pPr>
        <w:pStyle w:val="FootnoteText"/>
      </w:pPr>
      <w:r>
        <w:rPr>
          <w:rStyle w:val="FootnoteReference"/>
        </w:rPr>
        <w:footnoteRef/>
      </w:r>
      <w:r>
        <w:t xml:space="preserve"> </w:t>
      </w:r>
      <w:r w:rsidRPr="00CC348C">
        <w:t>EHRM 21 december 2010, nr. 20578</w:t>
      </w:r>
      <w:r>
        <w:t>/07, Anayo/Duitsland, overw.</w:t>
      </w:r>
      <w:r w:rsidRPr="00CC348C">
        <w:t xml:space="preserve"> 56-57, 60, 62 en 67-71; EHRM 15 september 2011, nr. 17080/07</w:t>
      </w:r>
      <w:r>
        <w:t>, Schneider/Duitsland, overw.</w:t>
      </w:r>
      <w:r w:rsidRPr="00CC348C">
        <w:t xml:space="preserve"> 81, 86-87 en 95-98.</w:t>
      </w:r>
    </w:p>
  </w:footnote>
  <w:footnote w:id="151">
    <w:p w:rsidR="002A0E74" w:rsidRPr="00942403" w:rsidRDefault="002A0E74">
      <w:pPr>
        <w:pStyle w:val="FootnoteText"/>
      </w:pPr>
      <w:r>
        <w:rPr>
          <w:rStyle w:val="FootnoteReference"/>
        </w:rPr>
        <w:footnoteRef/>
      </w:r>
      <w:r>
        <w:t xml:space="preserve"> </w:t>
      </w:r>
      <w:r w:rsidRPr="00CC348C">
        <w:t>EHRM 21 december 2010</w:t>
      </w:r>
      <w:r>
        <w:t xml:space="preserve">, nr. 20578/07, Anayo/Duitsland; </w:t>
      </w:r>
      <w:r w:rsidRPr="00CC348C">
        <w:t>EHRM 15 september 2011, nr. 17080/07, Schneider/Duitsland</w:t>
      </w:r>
      <w:r>
        <w:t>.</w:t>
      </w:r>
    </w:p>
  </w:footnote>
  <w:footnote w:id="152">
    <w:p w:rsidR="002A0E74" w:rsidRPr="00B860B2" w:rsidRDefault="002A0E74">
      <w:pPr>
        <w:pStyle w:val="FootnoteText"/>
      </w:pPr>
      <w:r>
        <w:rPr>
          <w:rStyle w:val="FootnoteReference"/>
        </w:rPr>
        <w:footnoteRef/>
      </w:r>
      <w:r>
        <w:t xml:space="preserve"> </w:t>
      </w:r>
      <w:r w:rsidRPr="00CC348C">
        <w:t>EHRM 21 december 2010, nr. 20578</w:t>
      </w:r>
      <w:r>
        <w:t>/07, Anayo/Duitsland, overw.</w:t>
      </w:r>
      <w:r w:rsidRPr="00CC348C">
        <w:t xml:space="preserve"> </w:t>
      </w:r>
      <w:r>
        <w:t>8-10.</w:t>
      </w:r>
    </w:p>
  </w:footnote>
  <w:footnote w:id="153">
    <w:p w:rsidR="002A0E74" w:rsidRPr="00B860B2" w:rsidRDefault="002A0E74">
      <w:pPr>
        <w:pStyle w:val="FootnoteText"/>
      </w:pPr>
      <w:r>
        <w:rPr>
          <w:rStyle w:val="FootnoteReference"/>
        </w:rPr>
        <w:footnoteRef/>
      </w:r>
      <w:r>
        <w:t xml:space="preserve"> </w:t>
      </w:r>
      <w:r w:rsidRPr="00CC348C">
        <w:t>EHRM 21 december 2010, nr. 20578</w:t>
      </w:r>
      <w:r>
        <w:t>/07, Anayo/Duitsland, overw.</w:t>
      </w:r>
      <w:r w:rsidRPr="00CC348C">
        <w:t xml:space="preserve"> </w:t>
      </w:r>
      <w:r>
        <w:t>56.</w:t>
      </w:r>
    </w:p>
  </w:footnote>
  <w:footnote w:id="154">
    <w:p w:rsidR="002A0E74" w:rsidRPr="00B860B2" w:rsidRDefault="002A0E74">
      <w:pPr>
        <w:pStyle w:val="FootnoteText"/>
      </w:pPr>
      <w:r>
        <w:rPr>
          <w:rStyle w:val="FootnoteReference"/>
        </w:rPr>
        <w:footnoteRef/>
      </w:r>
      <w:r>
        <w:t xml:space="preserve"> </w:t>
      </w:r>
      <w:r w:rsidRPr="00CC348C">
        <w:t>EHRM 21 december 2010, nr. 20578/07, Anayo/Duitsland, ove</w:t>
      </w:r>
      <w:r>
        <w:t>rw.</w:t>
      </w:r>
      <w:r w:rsidRPr="00CC348C">
        <w:t xml:space="preserve"> </w:t>
      </w:r>
      <w:r>
        <w:t>57.</w:t>
      </w:r>
    </w:p>
  </w:footnote>
  <w:footnote w:id="155">
    <w:p w:rsidR="002A0E74" w:rsidRPr="00B860B2" w:rsidRDefault="002A0E74">
      <w:pPr>
        <w:pStyle w:val="FootnoteText"/>
      </w:pPr>
      <w:r>
        <w:rPr>
          <w:rStyle w:val="FootnoteReference"/>
        </w:rPr>
        <w:footnoteRef/>
      </w:r>
      <w:r>
        <w:t xml:space="preserve"> </w:t>
      </w:r>
      <w:r w:rsidRPr="00CC348C">
        <w:t>EHRM 21 december 2010, nr. 20578/07, Anayo/Duitsland, overw</w:t>
      </w:r>
      <w:r>
        <w:t>.</w:t>
      </w:r>
      <w:r w:rsidRPr="00CC348C">
        <w:t xml:space="preserve"> </w:t>
      </w:r>
      <w:r>
        <w:t>60.</w:t>
      </w:r>
    </w:p>
  </w:footnote>
  <w:footnote w:id="156">
    <w:p w:rsidR="002A0E74" w:rsidRPr="00B860B2" w:rsidRDefault="002A0E74">
      <w:pPr>
        <w:pStyle w:val="FootnoteText"/>
      </w:pPr>
      <w:r>
        <w:rPr>
          <w:rStyle w:val="FootnoteReference"/>
        </w:rPr>
        <w:footnoteRef/>
      </w:r>
      <w:r>
        <w:t xml:space="preserve"> </w:t>
      </w:r>
      <w:r w:rsidRPr="00CC348C">
        <w:t>EHRM 21 december 2010, nr. 20578/07, Anayo/Duitsland, overw</w:t>
      </w:r>
      <w:r>
        <w:t>.</w:t>
      </w:r>
      <w:r w:rsidRPr="00CC348C">
        <w:t xml:space="preserve"> </w:t>
      </w:r>
      <w:r>
        <w:t>60.</w:t>
      </w:r>
    </w:p>
  </w:footnote>
  <w:footnote w:id="157">
    <w:p w:rsidR="002A0E74" w:rsidRPr="00B860B2" w:rsidRDefault="002A0E74">
      <w:pPr>
        <w:pStyle w:val="FootnoteText"/>
      </w:pPr>
      <w:r>
        <w:rPr>
          <w:rStyle w:val="FootnoteReference"/>
        </w:rPr>
        <w:footnoteRef/>
      </w:r>
      <w:r>
        <w:t xml:space="preserve"> </w:t>
      </w:r>
      <w:r w:rsidRPr="00CC348C">
        <w:t>EHRM 21 december 2010, nr. 20578/07, Anayo/Duitsland, overw</w:t>
      </w:r>
      <w:r>
        <w:t>.</w:t>
      </w:r>
      <w:r w:rsidRPr="00CC348C">
        <w:t xml:space="preserve"> </w:t>
      </w:r>
      <w:r>
        <w:t>62.</w:t>
      </w:r>
    </w:p>
  </w:footnote>
  <w:footnote w:id="158">
    <w:p w:rsidR="002A0E74" w:rsidRPr="00501991" w:rsidRDefault="002A0E74">
      <w:pPr>
        <w:pStyle w:val="FootnoteText"/>
      </w:pPr>
      <w:r>
        <w:rPr>
          <w:rStyle w:val="FootnoteReference"/>
        </w:rPr>
        <w:footnoteRef/>
      </w:r>
      <w:r>
        <w:t xml:space="preserve"> </w:t>
      </w:r>
      <w:r w:rsidRPr="00CC348C">
        <w:t>EHRM 15 september 2011, nr. 17080/07, Schneider/Duitsland, overw</w:t>
      </w:r>
      <w:r>
        <w:t>.</w:t>
      </w:r>
      <w:r w:rsidRPr="00CC348C">
        <w:t xml:space="preserve"> </w:t>
      </w:r>
      <w:r>
        <w:t>81.</w:t>
      </w:r>
    </w:p>
  </w:footnote>
  <w:footnote w:id="159">
    <w:p w:rsidR="002A0E74" w:rsidRPr="00501991" w:rsidRDefault="002A0E74">
      <w:pPr>
        <w:pStyle w:val="FootnoteText"/>
      </w:pPr>
      <w:r>
        <w:rPr>
          <w:rStyle w:val="FootnoteReference"/>
        </w:rPr>
        <w:footnoteRef/>
      </w:r>
      <w:r>
        <w:t xml:space="preserve"> </w:t>
      </w:r>
      <w:r w:rsidRPr="00CC348C">
        <w:t>EHRM 15 september 2011, nr. 17080/07, Schneider/Duitsland, overw</w:t>
      </w:r>
      <w:r>
        <w:t>.</w:t>
      </w:r>
      <w:r w:rsidRPr="00CC348C">
        <w:t xml:space="preserve"> </w:t>
      </w:r>
      <w:r>
        <w:t>81.</w:t>
      </w:r>
    </w:p>
  </w:footnote>
  <w:footnote w:id="160">
    <w:p w:rsidR="002A0E74" w:rsidRDefault="002A0E74" w:rsidP="00E77B6B">
      <w:pPr>
        <w:pStyle w:val="FootnoteText"/>
      </w:pPr>
      <w:r>
        <w:rPr>
          <w:rStyle w:val="FootnoteReference"/>
        </w:rPr>
        <w:footnoteRef/>
      </w:r>
      <w:r>
        <w:t xml:space="preserve"> </w:t>
      </w:r>
      <w:r w:rsidRPr="00F862BE">
        <w:t xml:space="preserve">Jeugdrb. Brugge, 20 juni 2013, </w:t>
      </w:r>
      <w:r w:rsidRPr="00F862BE">
        <w:rPr>
          <w:i/>
          <w:iCs/>
        </w:rPr>
        <w:t>T. Fam.</w:t>
      </w:r>
      <w:r>
        <w:t xml:space="preserve"> 2013, afl. 10, 244;</w:t>
      </w:r>
      <w:r>
        <w:rPr>
          <w:color w:val="000000"/>
        </w:rPr>
        <w:t xml:space="preserve">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sidRPr="00187999">
        <w:rPr>
          <w:color w:val="000000"/>
        </w:rPr>
        <w:t>, Le</w:t>
      </w:r>
      <w:r>
        <w:rPr>
          <w:color w:val="000000"/>
        </w:rPr>
        <w:t xml:space="preserve">uven, Acco, 2015, 648 en 653, nr. 2125 en 2144; </w:t>
      </w:r>
      <w:r w:rsidRPr="00F862BE">
        <w:rPr>
          <w:smallCaps/>
        </w:rPr>
        <w:t>F</w:t>
      </w:r>
      <w:r w:rsidRPr="00187999">
        <w:rPr>
          <w:smallCaps/>
        </w:rPr>
        <w:t xml:space="preserve">. </w:t>
      </w:r>
      <w:r>
        <w:rPr>
          <w:smallCaps/>
          <w:color w:val="000000"/>
        </w:rPr>
        <w:t>SWENNEN</w:t>
      </w:r>
      <w:r w:rsidRPr="00187999">
        <w:rPr>
          <w:smallCaps/>
          <w:color w:val="000000"/>
        </w:rPr>
        <w:t xml:space="preserve">, </w:t>
      </w:r>
      <w:r w:rsidRPr="00187999">
        <w:rPr>
          <w:i/>
          <w:iCs/>
          <w:color w:val="000000"/>
        </w:rPr>
        <w:t>Familierecht in kort bestek,</w:t>
      </w:r>
      <w:r>
        <w:rPr>
          <w:color w:val="000000"/>
        </w:rPr>
        <w:t xml:space="preserve"> Antwerpen, Intersentia, 2008</w:t>
      </w:r>
      <w:r w:rsidRPr="00187999">
        <w:rPr>
          <w:color w:val="000000"/>
        </w:rPr>
        <w:t>,</w:t>
      </w:r>
      <w:r>
        <w:rPr>
          <w:color w:val="000000"/>
        </w:rPr>
        <w:t xml:space="preserve"> 164, nr. 410.</w:t>
      </w:r>
    </w:p>
  </w:footnote>
  <w:footnote w:id="161">
    <w:p w:rsidR="002A0E74" w:rsidRDefault="002A0E74" w:rsidP="004D06E0">
      <w:pPr>
        <w:pStyle w:val="FootnoteText"/>
      </w:pPr>
      <w:r>
        <w:rPr>
          <w:rStyle w:val="FootnoteReference"/>
        </w:rPr>
        <w:footnoteRef/>
      </w:r>
      <w:r>
        <w:t xml:space="preserve">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sidRPr="00187999">
        <w:rPr>
          <w:color w:val="000000"/>
        </w:rPr>
        <w:t>, Le</w:t>
      </w:r>
      <w:r>
        <w:rPr>
          <w:color w:val="000000"/>
        </w:rPr>
        <w:t>uven, Acco, 2015, 649, nr. 2128.</w:t>
      </w:r>
    </w:p>
  </w:footnote>
  <w:footnote w:id="162">
    <w:p w:rsidR="002A0E74" w:rsidRDefault="002A0E74" w:rsidP="001333EC">
      <w:pPr>
        <w:pStyle w:val="FootnoteText"/>
      </w:pPr>
      <w:r>
        <w:rPr>
          <w:rStyle w:val="FootnoteReference"/>
        </w:rPr>
        <w:footnoteRef/>
      </w:r>
      <w:r>
        <w:t xml:space="preserve"> </w:t>
      </w:r>
      <w:r>
        <w:t>Art. 475</w:t>
      </w:r>
      <w:r w:rsidRPr="00D73054">
        <w:rPr>
          <w:i/>
          <w:iCs/>
        </w:rPr>
        <w:t>bis</w:t>
      </w:r>
      <w:r>
        <w:t>-475</w:t>
      </w:r>
      <w:r w:rsidRPr="00D73054">
        <w:rPr>
          <w:i/>
          <w:iCs/>
        </w:rPr>
        <w:t xml:space="preserve">septies </w:t>
      </w:r>
      <w:r>
        <w:t xml:space="preserve">BW.;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sidRPr="00187999">
        <w:rPr>
          <w:color w:val="000000"/>
        </w:rPr>
        <w:t>, Leuven, Acco,</w:t>
      </w:r>
      <w:r>
        <w:rPr>
          <w:color w:val="000000"/>
        </w:rPr>
        <w:t xml:space="preserve"> 2015, 362, nr. 1165;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273, nr. 393.</w:t>
      </w:r>
    </w:p>
  </w:footnote>
  <w:footnote w:id="163">
    <w:p w:rsidR="002A0E74" w:rsidRDefault="002A0E74" w:rsidP="00DE669D">
      <w:pPr>
        <w:pStyle w:val="FootnoteText"/>
      </w:pPr>
      <w:r>
        <w:rPr>
          <w:rStyle w:val="FootnoteReference"/>
        </w:rPr>
        <w:footnoteRef/>
      </w:r>
      <w:r>
        <w:t xml:space="preserve"> </w:t>
      </w:r>
      <w:r w:rsidRPr="00187999">
        <w:rPr>
          <w:smallCaps/>
        </w:rPr>
        <w:t>P.</w:t>
      </w:r>
      <w:r w:rsidRPr="00187999">
        <w:rPr>
          <w:color w:val="000000"/>
        </w:rPr>
        <w:t xml:space="preserve"> </w:t>
      </w:r>
      <w:r>
        <w:rPr>
          <w:smallCaps/>
          <w:color w:val="000000"/>
        </w:rPr>
        <w:t>SENAEVE,</w:t>
      </w:r>
      <w:r w:rsidRPr="00187999">
        <w:rPr>
          <w:smallCaps/>
          <w:color w:val="000000"/>
        </w:rPr>
        <w:t xml:space="preserve"> </w:t>
      </w:r>
      <w:r w:rsidRPr="00187999">
        <w:rPr>
          <w:i/>
          <w:iCs/>
          <w:color w:val="000000"/>
        </w:rPr>
        <w:t>Compendium van het Personen- en Familierecht</w:t>
      </w:r>
      <w:r w:rsidRPr="00187999">
        <w:rPr>
          <w:color w:val="000000"/>
        </w:rPr>
        <w:t>, Leuven, Acco,</w:t>
      </w:r>
      <w:r>
        <w:rPr>
          <w:color w:val="000000"/>
        </w:rPr>
        <w:t xml:space="preserve"> 2015, 362, nr. 1165; </w:t>
      </w:r>
      <w:r w:rsidRPr="00187999">
        <w:t xml:space="preserve">T. </w:t>
      </w:r>
      <w:r>
        <w:t>WUYTS</w:t>
      </w:r>
      <w:r w:rsidRPr="00187999">
        <w:rPr>
          <w:smallCaps/>
        </w:rPr>
        <w:t>,</w:t>
      </w:r>
      <w:r w:rsidRPr="00187999">
        <w:t xml:space="preserve"> “Ouderlijk gezag moet op maat van het gezin georganiseerd kunnen worden”, </w:t>
      </w:r>
      <w:r w:rsidRPr="00187999">
        <w:rPr>
          <w:i/>
          <w:iCs/>
        </w:rPr>
        <w:t xml:space="preserve">TJK </w:t>
      </w:r>
      <w:r w:rsidRPr="00187999">
        <w:t>2014, afl.1</w:t>
      </w:r>
      <w:r>
        <w:t>, (6) 9-10, nr. 5.</w:t>
      </w:r>
    </w:p>
  </w:footnote>
  <w:footnote w:id="164">
    <w:p w:rsidR="002A0E74" w:rsidRDefault="002A0E74">
      <w:pPr>
        <w:pStyle w:val="FootnoteText"/>
      </w:pPr>
      <w:r>
        <w:rPr>
          <w:rStyle w:val="FootnoteReference"/>
        </w:rPr>
        <w:footnoteRef/>
      </w:r>
      <w: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277, nr. 399.</w:t>
      </w:r>
    </w:p>
  </w:footnote>
  <w:footnote w:id="165">
    <w:p w:rsidR="002A0E74" w:rsidRDefault="002A0E74">
      <w:pPr>
        <w:pStyle w:val="FootnoteText"/>
      </w:pPr>
      <w:r>
        <w:rPr>
          <w:rStyle w:val="FootnoteReference"/>
        </w:rPr>
        <w:footnoteRef/>
      </w:r>
      <w: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277, nr. 399.</w:t>
      </w:r>
    </w:p>
  </w:footnote>
  <w:footnote w:id="166">
    <w:p w:rsidR="002A0E74" w:rsidRDefault="002A0E74">
      <w:pPr>
        <w:pStyle w:val="FootnoteText"/>
      </w:pPr>
      <w:r>
        <w:rPr>
          <w:rStyle w:val="FootnoteReference"/>
        </w:rPr>
        <w:footnoteRef/>
      </w:r>
      <w: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277, nr. 399.</w:t>
      </w:r>
    </w:p>
  </w:footnote>
  <w:footnote w:id="167">
    <w:p w:rsidR="002A0E74" w:rsidRDefault="002A0E74">
      <w:pPr>
        <w:pStyle w:val="FootnoteText"/>
      </w:pPr>
      <w:r>
        <w:rPr>
          <w:rStyle w:val="FootnoteReference"/>
        </w:rPr>
        <w:footnoteRef/>
      </w:r>
      <w:r>
        <w:t xml:space="preserve"> </w:t>
      </w:r>
      <w:r>
        <w:t>Artikel 475</w:t>
      </w:r>
      <w:r w:rsidRPr="00C40B5B">
        <w:rPr>
          <w:i/>
          <w:iCs/>
        </w:rPr>
        <w:t xml:space="preserve">ter </w:t>
      </w:r>
      <w:r>
        <w:t>BW.</w:t>
      </w:r>
    </w:p>
  </w:footnote>
  <w:footnote w:id="168">
    <w:p w:rsidR="002A0E74" w:rsidRDefault="002A0E74">
      <w:pPr>
        <w:pStyle w:val="FootnoteText"/>
      </w:pPr>
      <w:r>
        <w:rPr>
          <w:rStyle w:val="FootnoteReference"/>
        </w:rPr>
        <w:footnoteRef/>
      </w:r>
      <w: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279, nr. 401.</w:t>
      </w:r>
    </w:p>
  </w:footnote>
  <w:footnote w:id="169">
    <w:p w:rsidR="002A0E74" w:rsidRDefault="002A0E74">
      <w:pPr>
        <w:pStyle w:val="FootnoteText"/>
      </w:pPr>
      <w:r>
        <w:rPr>
          <w:rStyle w:val="FootnoteReference"/>
        </w:rPr>
        <w:footnoteRef/>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t>, 279-280, nr. 401.</w:t>
      </w:r>
    </w:p>
  </w:footnote>
  <w:footnote w:id="170">
    <w:p w:rsidR="002A0E74" w:rsidRDefault="002A0E74" w:rsidP="00651E3B">
      <w:pPr>
        <w:pStyle w:val="FootnoteText"/>
      </w:pPr>
      <w:r>
        <w:rPr>
          <w:rStyle w:val="FootnoteReference"/>
        </w:rPr>
        <w:footnoteRef/>
      </w:r>
      <w: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285, nr. 411.</w:t>
      </w:r>
    </w:p>
  </w:footnote>
  <w:footnote w:id="171">
    <w:p w:rsidR="002A0E74" w:rsidRDefault="002A0E74" w:rsidP="00310B3C">
      <w:pPr>
        <w:pStyle w:val="FootnoteText"/>
      </w:pPr>
      <w:r>
        <w:rPr>
          <w:rStyle w:val="FootnoteReference"/>
        </w:rPr>
        <w:footnoteRef/>
      </w:r>
      <w:r>
        <w:t xml:space="preserve"> </w:t>
      </w:r>
      <w:r>
        <w:t>Art.</w:t>
      </w:r>
      <w:r w:rsidRPr="009F06D9">
        <w:t xml:space="preserve"> 475</w:t>
      </w:r>
      <w:r w:rsidRPr="009F06D9">
        <w:rPr>
          <w:i/>
          <w:iCs/>
        </w:rPr>
        <w:t>quinquies</w:t>
      </w:r>
      <w:r w:rsidRPr="009F06D9">
        <w:t xml:space="preserve"> BW.</w:t>
      </w:r>
    </w:p>
  </w:footnote>
  <w:footnote w:id="172">
    <w:p w:rsidR="002A0E74" w:rsidRDefault="002A0E74" w:rsidP="00310B3C">
      <w:pPr>
        <w:pStyle w:val="FootnoteText"/>
      </w:pPr>
      <w:r>
        <w:rPr>
          <w:rStyle w:val="FootnoteReference"/>
        </w:rPr>
        <w:footnoteRef/>
      </w:r>
      <w: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283-284, nr. 406.</w:t>
      </w:r>
    </w:p>
  </w:footnote>
  <w:footnote w:id="173">
    <w:p w:rsidR="002A0E74" w:rsidRDefault="002A0E74" w:rsidP="00310B3C">
      <w:pPr>
        <w:pStyle w:val="FootnoteText"/>
      </w:pPr>
      <w:r>
        <w:rPr>
          <w:rStyle w:val="FootnoteReference"/>
        </w:rPr>
        <w:footnoteRef/>
      </w:r>
      <w:r>
        <w:t xml:space="preserve"> </w:t>
      </w:r>
      <w:r w:rsidRPr="009F06D9">
        <w:t>Artikel 475</w:t>
      </w:r>
      <w:r w:rsidRPr="009F06D9">
        <w:rPr>
          <w:i/>
          <w:iCs/>
        </w:rPr>
        <w:t>sexies</w:t>
      </w:r>
      <w:r w:rsidRPr="009F06D9">
        <w:t xml:space="preserve"> BW.</w:t>
      </w:r>
    </w:p>
  </w:footnote>
  <w:footnote w:id="174">
    <w:p w:rsidR="002A0E74" w:rsidRDefault="002A0E74" w:rsidP="00EB15F5">
      <w:pPr>
        <w:pStyle w:val="FootnoteText"/>
      </w:pPr>
      <w:r>
        <w:rPr>
          <w:rStyle w:val="FootnoteReference"/>
        </w:rPr>
        <w:footnoteRef/>
      </w:r>
      <w:r>
        <w:t xml:space="preserve"> </w:t>
      </w:r>
      <w:r w:rsidRPr="00187999">
        <w:rPr>
          <w:smallCaps/>
        </w:rPr>
        <w:t xml:space="preserve">F. </w:t>
      </w:r>
      <w:r>
        <w:rPr>
          <w:smallCaps/>
        </w:rPr>
        <w:t>SWENNEN</w:t>
      </w:r>
      <w:r w:rsidRPr="00187999">
        <w:rPr>
          <w:smallCaps/>
        </w:rPr>
        <w:t xml:space="preserve">, </w:t>
      </w:r>
      <w:r w:rsidRPr="00373599">
        <w:rPr>
          <w:i/>
          <w:iCs/>
        </w:rPr>
        <w:t>Het personen- en familierecht</w:t>
      </w:r>
      <w:r w:rsidRPr="00187999">
        <w:t>, Antwerpen, Intersentia, 2015,</w:t>
      </w:r>
      <w:r>
        <w:t xml:space="preserve"> 521, nr. 879.</w:t>
      </w:r>
    </w:p>
  </w:footnote>
  <w:footnote w:id="175">
    <w:p w:rsidR="002A0E74" w:rsidRDefault="002A0E74" w:rsidP="00DE100A">
      <w:pPr>
        <w:pStyle w:val="FootnoteText"/>
      </w:pPr>
      <w:r>
        <w:rPr>
          <w:rStyle w:val="FootnoteReference"/>
        </w:rPr>
        <w:footnoteRef/>
      </w:r>
      <w:r>
        <w:t xml:space="preserve"> </w:t>
      </w:r>
      <w:r>
        <w:rPr>
          <w:smallCaps/>
        </w:rPr>
        <w:t xml:space="preserve">J. PAUWELS, </w:t>
      </w:r>
      <w:r>
        <w:t xml:space="preserve">“Pleegvoogdij door twee echtgenoten” (noot onder Gent 10 december 1975), </w:t>
      </w:r>
      <w:r>
        <w:rPr>
          <w:i/>
          <w:iCs/>
        </w:rPr>
        <w:t xml:space="preserve">RW </w:t>
      </w:r>
      <w:r>
        <w:t xml:space="preserve">1977-78, (1261) 1262;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t>, 273 en 275, nr. 393 en 395.</w:t>
      </w:r>
    </w:p>
  </w:footnote>
  <w:footnote w:id="176">
    <w:p w:rsidR="002A0E74" w:rsidRDefault="002A0E74">
      <w:pPr>
        <w:pStyle w:val="FootnoteText"/>
      </w:pPr>
      <w:r>
        <w:rPr>
          <w:rStyle w:val="FootnoteReference"/>
        </w:rPr>
        <w:footnoteRef/>
      </w:r>
      <w:r>
        <w:t xml:space="preserve"> </w:t>
      </w:r>
      <w:r w:rsidRPr="00376465">
        <w:rPr>
          <w:smallCaps/>
        </w:rPr>
        <w:t xml:space="preserve">F. </w:t>
      </w:r>
      <w:r>
        <w:rPr>
          <w:smallCaps/>
        </w:rPr>
        <w:t>GILLOT-DE VRIES</w:t>
      </w:r>
      <w:r w:rsidRPr="00376465">
        <w:rPr>
          <w:smallCaps/>
        </w:rPr>
        <w:t xml:space="preserve"> </w:t>
      </w:r>
      <w:r w:rsidRPr="00376465">
        <w:t xml:space="preserve">en C. </w:t>
      </w:r>
      <w:r>
        <w:rPr>
          <w:smallCaps/>
        </w:rPr>
        <w:t>MOTTRIE</w:t>
      </w:r>
      <w:r w:rsidRPr="00376465">
        <w:rPr>
          <w:smallCaps/>
        </w:rPr>
        <w:t xml:space="preserve">, </w:t>
      </w:r>
      <w:r w:rsidRPr="00376465">
        <w:t xml:space="preserve">“Analyse conceptuelle des notions de parentalité et de filiation du point de vue psychologique” in </w:t>
      </w:r>
      <w:r>
        <w:rPr>
          <w:smallCaps/>
        </w:rPr>
        <w:t>GALLUS, N</w:t>
      </w:r>
      <w:r w:rsidRPr="00376465">
        <w:rPr>
          <w:smallCaps/>
        </w:rPr>
        <w:t>. (</w:t>
      </w:r>
      <w:r w:rsidRPr="00376465">
        <w:t>ed.),</w:t>
      </w:r>
      <w:r w:rsidRPr="00376465">
        <w:rPr>
          <w:i/>
          <w:iCs/>
        </w:rPr>
        <w:t xml:space="preserve"> Les recompositions familiales, </w:t>
      </w:r>
      <w:r w:rsidRPr="00376465">
        <w:t xml:space="preserve">Limal, Anthemis, 2015, </w:t>
      </w:r>
      <w:r>
        <w:t xml:space="preserve">(25) </w:t>
      </w:r>
      <w:r w:rsidRPr="00376465">
        <w:t xml:space="preserve">37-38; </w:t>
      </w:r>
      <w:r w:rsidRPr="00376465">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rsidRPr="00187999">
        <w:t xml:space="preserve"> 2006, afl. 10, </w:t>
      </w:r>
      <w:r>
        <w:t>(567)</w:t>
      </w:r>
      <w:r w:rsidRPr="00187999">
        <w:t xml:space="preserve"> 567-568, nr</w:t>
      </w:r>
      <w:r w:rsidRPr="00187999">
        <w:rPr>
          <w:smallCaps/>
          <w:color w:val="000000"/>
        </w:rPr>
        <w:t xml:space="preserve">. 1; </w:t>
      </w:r>
      <w:r>
        <w:rPr>
          <w:smallCaps/>
          <w:color w:val="000000"/>
        </w:rPr>
        <w:t>KINDERRECHTENCOMMISSARIAAT</w:t>
      </w:r>
      <w:r w:rsidRPr="00187999">
        <w:rPr>
          <w:i/>
          <w:iCs/>
          <w:smallCaps/>
          <w:color w:val="000000"/>
        </w:rPr>
        <w:t xml:space="preserve">, </w:t>
      </w:r>
      <w:r w:rsidRPr="00187999">
        <w:rPr>
          <w:i/>
          <w:iCs/>
          <w:color w:val="000000"/>
        </w:rPr>
        <w:t>Kinderen &amp; scheiding</w:t>
      </w:r>
      <w:r w:rsidRPr="00187999">
        <w:rPr>
          <w:color w:val="000000"/>
        </w:rPr>
        <w:t xml:space="preserve">, Brussel, </w:t>
      </w:r>
      <w:r>
        <w:rPr>
          <w:color w:val="000000"/>
        </w:rPr>
        <w:t>Kinderrechtencommissariaat</w:t>
      </w:r>
      <w:r w:rsidRPr="00187999">
        <w:rPr>
          <w:color w:val="000000"/>
        </w:rPr>
        <w:t>, 2006, 59-60.</w:t>
      </w:r>
    </w:p>
  </w:footnote>
  <w:footnote w:id="177">
    <w:p w:rsidR="002A0E74" w:rsidRDefault="002A0E74">
      <w:pPr>
        <w:pStyle w:val="FootnoteText"/>
      </w:pPr>
      <w:r>
        <w:rPr>
          <w:rStyle w:val="FootnoteReference"/>
        </w:rPr>
        <w:footnoteRef/>
      </w:r>
      <w:r>
        <w:t xml:space="preserve"> </w:t>
      </w:r>
      <w:r w:rsidRPr="00187999">
        <w:rPr>
          <w:smallCaps/>
        </w:rPr>
        <w:t xml:space="preserve">H. </w:t>
      </w:r>
      <w:r>
        <w:rPr>
          <w:smallCaps/>
        </w:rPr>
        <w:t>CASMAN</w:t>
      </w:r>
      <w:r w:rsidRPr="00187999">
        <w:rPr>
          <w:smallCaps/>
        </w:rPr>
        <w:t>,</w:t>
      </w:r>
      <w:r w:rsidRPr="00187999">
        <w:t xml:space="preserve"> “Gehuwd, wettelijk of feitelijk samenwonend: wat maakt het uit? Gevolgen ten aanzien van de kinderen.” in </w:t>
      </w:r>
      <w:r>
        <w:rPr>
          <w:smallCaps/>
        </w:rPr>
        <w:t>FORDER</w:t>
      </w:r>
      <w:r w:rsidRPr="00187999">
        <w:rPr>
          <w:smallCaps/>
        </w:rPr>
        <w:t xml:space="preserve">, C. </w:t>
      </w:r>
      <w:r w:rsidRPr="00187999">
        <w:t xml:space="preserve">en </w:t>
      </w:r>
      <w:r>
        <w:rPr>
          <w:smallCaps/>
        </w:rPr>
        <w:t>VERBEKE</w:t>
      </w:r>
      <w:r w:rsidRPr="00187999">
        <w:rPr>
          <w:smallCaps/>
        </w:rPr>
        <w:t>, A. (</w:t>
      </w:r>
      <w:r w:rsidRPr="00187999">
        <w:t xml:space="preserve">eds.), </w:t>
      </w:r>
      <w:r w:rsidRPr="00187999">
        <w:rPr>
          <w:i/>
          <w:iCs/>
        </w:rPr>
        <w:t xml:space="preserve">Gehuwd of niet: maakt het iets uit?, </w:t>
      </w:r>
      <w:r w:rsidRPr="00187999">
        <w:t xml:space="preserve">Antwerpen-Groningen, Intersentia, 2005, </w:t>
      </w:r>
      <w:r>
        <w:t xml:space="preserve">(231) </w:t>
      </w:r>
      <w:r w:rsidRPr="00187999">
        <w:t>2</w:t>
      </w:r>
      <w:r>
        <w:t>47, nr. 60</w:t>
      </w:r>
      <w:r w:rsidRPr="00187999">
        <w:t xml:space="preserve">; </w:t>
      </w:r>
      <w:r w:rsidRPr="00187999">
        <w:rPr>
          <w:smallCaps/>
        </w:rPr>
        <w:t xml:space="preserve">H. </w:t>
      </w:r>
      <w:r>
        <w:rPr>
          <w:smallCaps/>
        </w:rPr>
        <w:t>CASMAN</w:t>
      </w:r>
      <w:r w:rsidRPr="00187999">
        <w:rPr>
          <w:smallCaps/>
        </w:rPr>
        <w:t>,  “</w:t>
      </w:r>
      <w:r w:rsidRPr="00187999">
        <w:t xml:space="preserve">Actueel Belgisch afstammingsrecht in vogelvlucht.”, </w:t>
      </w:r>
      <w:r w:rsidRPr="00187999">
        <w:rPr>
          <w:i/>
          <w:iCs/>
        </w:rPr>
        <w:t>Not.Fisc.M.</w:t>
      </w:r>
      <w:r w:rsidRPr="00187999">
        <w:t xml:space="preserve"> 2008, afl. 4, </w:t>
      </w:r>
      <w:r>
        <w:t xml:space="preserve">(119) </w:t>
      </w:r>
      <w:r w:rsidRPr="00187999">
        <w:t xml:space="preserve">121; </w:t>
      </w:r>
      <w:r w:rsidRPr="00376465">
        <w:rPr>
          <w:smallCaps/>
        </w:rPr>
        <w:t xml:space="preserve">F. </w:t>
      </w:r>
      <w:r>
        <w:rPr>
          <w:smallCaps/>
        </w:rPr>
        <w:t>GILLOT-DE VRIES</w:t>
      </w:r>
      <w:r w:rsidRPr="00376465">
        <w:rPr>
          <w:smallCaps/>
        </w:rPr>
        <w:t xml:space="preserve"> </w:t>
      </w:r>
      <w:r w:rsidRPr="00376465">
        <w:t xml:space="preserve">en C. </w:t>
      </w:r>
      <w:r>
        <w:rPr>
          <w:smallCaps/>
        </w:rPr>
        <w:t>MOTTRIE</w:t>
      </w:r>
      <w:r w:rsidRPr="00376465">
        <w:rPr>
          <w:smallCaps/>
        </w:rPr>
        <w:t xml:space="preserve">, </w:t>
      </w:r>
      <w:r w:rsidRPr="00376465">
        <w:t xml:space="preserve">“Analyse conceptuelle des notions de parentalité et de filiation du point de vue psychologique” in </w:t>
      </w:r>
      <w:r>
        <w:rPr>
          <w:smallCaps/>
        </w:rPr>
        <w:t>GALLUS, N</w:t>
      </w:r>
      <w:r w:rsidRPr="00376465">
        <w:rPr>
          <w:smallCaps/>
        </w:rPr>
        <w:t>. (</w:t>
      </w:r>
      <w:r w:rsidRPr="00376465">
        <w:t>ed.),</w:t>
      </w:r>
      <w:r w:rsidRPr="00376465">
        <w:rPr>
          <w:i/>
          <w:iCs/>
        </w:rPr>
        <w:t xml:space="preserve"> Les recompositions familiales, </w:t>
      </w:r>
      <w:r w:rsidRPr="00376465">
        <w:t xml:space="preserve">Limal, Anthemis, 2015, </w:t>
      </w:r>
      <w:r>
        <w:t xml:space="preserve">(25) 29; </w:t>
      </w:r>
      <w:r w:rsidRPr="00376465">
        <w:rPr>
          <w:smallCaps/>
        </w:rPr>
        <w:t xml:space="preserve">G. </w:t>
      </w:r>
      <w:r>
        <w:rPr>
          <w:smallCaps/>
        </w:rPr>
        <w:t>HIERNAUX</w:t>
      </w:r>
      <w:r w:rsidRPr="00376465">
        <w:rPr>
          <w:smallCaps/>
        </w:rPr>
        <w:t xml:space="preserve">, </w:t>
      </w:r>
      <w:r w:rsidRPr="00376465">
        <w:t>“L’autorité parentale et le rôle des tiers</w:t>
      </w:r>
      <w:r w:rsidRPr="00376465">
        <w:rPr>
          <w:color w:val="000000"/>
        </w:rPr>
        <w:t xml:space="preserve">” </w:t>
      </w:r>
      <w:r w:rsidRPr="00376465">
        <w:t xml:space="preserve">in </w:t>
      </w:r>
      <w:r>
        <w:rPr>
          <w:smallCaps/>
        </w:rPr>
        <w:t>GALLUS, N</w:t>
      </w:r>
      <w:r w:rsidRPr="00376465">
        <w:rPr>
          <w:smallCaps/>
        </w:rPr>
        <w:t>. (</w:t>
      </w:r>
      <w:r w:rsidRPr="00376465">
        <w:t>ed.),</w:t>
      </w:r>
      <w:r w:rsidRPr="00376465">
        <w:rPr>
          <w:i/>
          <w:iCs/>
        </w:rPr>
        <w:t xml:space="preserve"> Les recompositions familiales, </w:t>
      </w:r>
      <w:r w:rsidRPr="00376465">
        <w:t xml:space="preserve">Limal, Anthemis, 2015, </w:t>
      </w:r>
      <w:r>
        <w:t xml:space="preserve">(75) 96;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rsidRPr="00187999">
        <w:t xml:space="preserve"> 2006, afl. 10, </w:t>
      </w:r>
      <w:r>
        <w:t>(567)</w:t>
      </w:r>
      <w:r w:rsidRPr="00187999">
        <w:t xml:space="preserve"> 567, nr. 1; </w:t>
      </w:r>
      <w:r>
        <w:rPr>
          <w:smallCaps/>
        </w:rPr>
        <w:t>KINDERRECHTENCOMMISSARIAAT</w:t>
      </w:r>
      <w:r w:rsidRPr="00187999">
        <w:rPr>
          <w:i/>
          <w:iCs/>
          <w:smallCaps/>
        </w:rPr>
        <w:t xml:space="preserve">, </w:t>
      </w:r>
      <w:r w:rsidRPr="00187999">
        <w:rPr>
          <w:i/>
          <w:iCs/>
        </w:rPr>
        <w:t>Kinderen &amp; scheiding</w:t>
      </w:r>
      <w:r w:rsidRPr="00187999">
        <w:t xml:space="preserve">, Brussel, </w:t>
      </w:r>
      <w:r>
        <w:rPr>
          <w:color w:val="000000"/>
        </w:rPr>
        <w:t>Kinderrechtencommissariaat</w:t>
      </w:r>
      <w:r w:rsidRPr="00187999">
        <w:t xml:space="preserve">, 2006, 59-60; </w:t>
      </w:r>
      <w:r w:rsidRPr="00187999">
        <w:rPr>
          <w:smallCaps/>
        </w:rPr>
        <w:t xml:space="preserve">T. </w:t>
      </w:r>
      <w:r>
        <w:rPr>
          <w:smallCaps/>
        </w:rPr>
        <w:t>ROBERT</w:t>
      </w:r>
      <w:r w:rsidRPr="00187999">
        <w:rPr>
          <w:smallCaps/>
        </w:rPr>
        <w:t xml:space="preserve">, </w:t>
      </w:r>
      <w:r w:rsidRPr="00187999">
        <w:t xml:space="preserve">“Naar een afstammingsloos gezag?” (noot onder Arbitragehof 8 oktober 2003), </w:t>
      </w:r>
      <w:r w:rsidRPr="00187999">
        <w:rPr>
          <w:i/>
          <w:iCs/>
        </w:rPr>
        <w:t>TJK</w:t>
      </w:r>
      <w:r w:rsidRPr="00187999">
        <w:t xml:space="preserve"> 2004,</w:t>
      </w:r>
      <w:r>
        <w:t xml:space="preserve"> (39)</w:t>
      </w:r>
      <w:r w:rsidRPr="00187999">
        <w:t xml:space="preserve"> 40, nr</w:t>
      </w:r>
      <w:r>
        <w:t>.</w:t>
      </w:r>
      <w:r w:rsidRPr="00187999">
        <w:t xml:space="preserve"> 2;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t>en</w:t>
      </w:r>
      <w:r w:rsidRPr="00187999">
        <w:rPr>
          <w:smallCaps/>
        </w:rPr>
        <w:t xml:space="preserve"> </w:t>
      </w:r>
      <w:r>
        <w:rPr>
          <w:smallCaps/>
        </w:rPr>
        <w:t>VERSCHELDEN</w:t>
      </w:r>
      <w:r w:rsidRPr="00187999">
        <w:rPr>
          <w:smallCaps/>
        </w:rPr>
        <w:t>, G.</w:t>
      </w:r>
      <w:r w:rsidRPr="00187999">
        <w:t xml:space="preserve"> (eds.), </w:t>
      </w:r>
      <w:r w:rsidRPr="00187999">
        <w:rPr>
          <w:i/>
          <w:iCs/>
        </w:rPr>
        <w:t>Ouders en kinderen</w:t>
      </w:r>
      <w:r w:rsidRPr="00187999">
        <w:t xml:space="preserve">, Antwerpen, Intersentia, 2013, </w:t>
      </w:r>
      <w:r>
        <w:t xml:space="preserve">(257) </w:t>
      </w:r>
      <w:r w:rsidRPr="00187999">
        <w:t xml:space="preserve">264 en 277-278, nr. 326 en 344; </w:t>
      </w:r>
      <w:r w:rsidRPr="00187999">
        <w:rPr>
          <w:smallCaps/>
        </w:rPr>
        <w:t xml:space="preserve">A. </w:t>
      </w:r>
      <w:r>
        <w:rPr>
          <w:smallCaps/>
        </w:rPr>
        <w:t>VANDEKERCKHOVE</w:t>
      </w:r>
      <w:r w:rsidRPr="00187999">
        <w:rPr>
          <w:smallCaps/>
        </w:rPr>
        <w:t>, “</w:t>
      </w:r>
      <w:r w:rsidRPr="00187999">
        <w:t xml:space="preserve">Zorgouderschap? Meerdere ouderschapsstatuten voor één kind?”, </w:t>
      </w:r>
      <w:r w:rsidRPr="00187999">
        <w:rPr>
          <w:i/>
          <w:iCs/>
        </w:rPr>
        <w:t>TJK</w:t>
      </w:r>
      <w:r w:rsidRPr="00187999">
        <w:t xml:space="preserve"> 2006, </w:t>
      </w:r>
      <w:r>
        <w:rPr>
          <w:color w:val="000000"/>
        </w:rPr>
        <w:t xml:space="preserve">(256) </w:t>
      </w:r>
      <w:r w:rsidRPr="00187999">
        <w:t xml:space="preserve">256-257; </w:t>
      </w:r>
      <w:r w:rsidRPr="00187999">
        <w:rPr>
          <w:smallCaps/>
        </w:rPr>
        <w:t xml:space="preserve">G. </w:t>
      </w:r>
      <w:r>
        <w:rPr>
          <w:smallCaps/>
        </w:rPr>
        <w:t>VERSCHELDEN</w:t>
      </w:r>
      <w:r w:rsidRPr="00187999">
        <w:rPr>
          <w:smallCaps/>
        </w:rPr>
        <w:t xml:space="preserve">, </w:t>
      </w:r>
      <w:r w:rsidRPr="00187999">
        <w:rPr>
          <w:i/>
          <w:iCs/>
        </w:rPr>
        <w:t>Handboek Belgisch familierecht,</w:t>
      </w:r>
      <w:r w:rsidRPr="00187999">
        <w:t xml:space="preserve"> Brugge, Die Keure, 2010, 10, nr. 17.</w:t>
      </w:r>
    </w:p>
  </w:footnote>
  <w:footnote w:id="178">
    <w:p w:rsidR="002A0E74" w:rsidRPr="00323226" w:rsidRDefault="002A0E74">
      <w:pPr>
        <w:pStyle w:val="FootnoteText"/>
      </w:pPr>
      <w:r>
        <w:rPr>
          <w:rStyle w:val="FootnoteReference"/>
        </w:rPr>
        <w:footnoteRef/>
      </w:r>
      <w:r>
        <w:t xml:space="preserve">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t>275, nr. 395.</w:t>
      </w:r>
    </w:p>
  </w:footnote>
  <w:footnote w:id="179">
    <w:p w:rsidR="002A0E74" w:rsidRPr="00323226" w:rsidRDefault="002A0E74">
      <w:pPr>
        <w:pStyle w:val="FootnoteText"/>
      </w:pPr>
      <w:r>
        <w:rPr>
          <w:rStyle w:val="FootnoteReference"/>
        </w:rPr>
        <w:footnoteRef/>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t>, 275, nr. 395.</w:t>
      </w:r>
    </w:p>
  </w:footnote>
  <w:footnote w:id="180">
    <w:p w:rsidR="002A0E74" w:rsidRPr="0050739C" w:rsidRDefault="002A0E74">
      <w:pPr>
        <w:pStyle w:val="FootnoteText"/>
      </w:pPr>
      <w:r>
        <w:rPr>
          <w:rStyle w:val="FootnoteReference"/>
        </w:rPr>
        <w:footnoteRef/>
      </w:r>
      <w:r>
        <w:t xml:space="preserve"> </w:t>
      </w:r>
      <w:r w:rsidRPr="00642E09">
        <w:t xml:space="preserve">Voorstel van wet tot wijziging van de wetgeving betreffende de bescherming van het kind wat de invoering van het zorgouderschap betreft, </w:t>
      </w:r>
      <w:r w:rsidRPr="00642E09">
        <w:rPr>
          <w:i/>
          <w:iCs/>
        </w:rPr>
        <w:t>Parl.St.</w:t>
      </w:r>
      <w:r w:rsidRPr="00642E09">
        <w:t xml:space="preserve"> Kamer </w:t>
      </w:r>
      <w:r>
        <w:t>2014, nr. 54-0114/001, 7.</w:t>
      </w:r>
    </w:p>
  </w:footnote>
  <w:footnote w:id="181">
    <w:p w:rsidR="002A0E74" w:rsidRPr="00361605" w:rsidRDefault="002A0E74">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4.</w:t>
      </w:r>
    </w:p>
  </w:footnote>
  <w:footnote w:id="182">
    <w:p w:rsidR="002A0E74" w:rsidRPr="00361605" w:rsidRDefault="002A0E74">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4.</w:t>
      </w:r>
    </w:p>
  </w:footnote>
  <w:footnote w:id="183">
    <w:p w:rsidR="002A0E74" w:rsidRPr="004B497D" w:rsidRDefault="002A0E74">
      <w:pPr>
        <w:pStyle w:val="FootnoteText"/>
      </w:pPr>
      <w:r>
        <w:rPr>
          <w:rStyle w:val="FootnoteReference"/>
        </w:rPr>
        <w:footnoteRef/>
      </w:r>
      <w:r>
        <w:t xml:space="preserve"> </w:t>
      </w:r>
      <w:r>
        <w:rPr>
          <w:smallCaps/>
        </w:rPr>
        <w:t xml:space="preserve">B. DE SMET, </w:t>
      </w:r>
      <w:r w:rsidRPr="004B497D">
        <w:rPr>
          <w:i/>
        </w:rPr>
        <w:t>Jeugdbeschermingsrecht in hoofdlijnen,</w:t>
      </w:r>
      <w:r>
        <w:t xml:space="preserve"> Antwerpen, Intersentia, 2007, 65.</w:t>
      </w:r>
    </w:p>
  </w:footnote>
  <w:footnote w:id="184">
    <w:p w:rsidR="002A0E74" w:rsidRPr="00F76F99" w:rsidRDefault="002A0E74">
      <w:pPr>
        <w:pStyle w:val="FootnoteText"/>
      </w:pPr>
      <w:r w:rsidRPr="00C61702">
        <w:rPr>
          <w:rStyle w:val="FootnoteReference"/>
        </w:rPr>
        <w:footnoteRef/>
      </w:r>
      <w:r w:rsidRPr="00C61702">
        <w:t xml:space="preserve"> </w:t>
      </w:r>
      <w:r w:rsidRPr="00C61702">
        <w:t xml:space="preserve">PLEEGZORG VLAANDEREN, </w:t>
      </w:r>
      <w:r w:rsidRPr="00C61702">
        <w:rPr>
          <w:i/>
        </w:rPr>
        <w:t>Wat is pleegzorg</w:t>
      </w:r>
      <w:r w:rsidRPr="00C61702">
        <w:t>, http://www.pleegzorgvlaanderen.be.</w:t>
      </w:r>
    </w:p>
  </w:footnote>
  <w:footnote w:id="185">
    <w:p w:rsidR="002A0E74" w:rsidRPr="001E2B28" w:rsidRDefault="002A0E74">
      <w:pPr>
        <w:pStyle w:val="FootnoteText"/>
      </w:pPr>
      <w:r>
        <w:rPr>
          <w:rStyle w:val="FootnoteReference"/>
        </w:rPr>
        <w:footnoteRef/>
      </w:r>
      <w:r>
        <w:t xml:space="preserve"> </w:t>
      </w:r>
      <w:r w:rsidRPr="001E2B28">
        <w:t xml:space="preserve">PLEEGZORG VLAANDEREN, </w:t>
      </w:r>
      <w:r w:rsidRPr="001E2B28">
        <w:rPr>
          <w:i/>
        </w:rPr>
        <w:t>Wat is pleegzorg</w:t>
      </w:r>
      <w:r w:rsidRPr="001E2B28">
        <w:t>, http://www.pleegzorgvlaanderen.be.</w:t>
      </w:r>
    </w:p>
  </w:footnote>
  <w:footnote w:id="186">
    <w:p w:rsidR="002A0E74" w:rsidRPr="001E2B28" w:rsidRDefault="002A0E74">
      <w:pPr>
        <w:pStyle w:val="FootnoteText"/>
      </w:pPr>
      <w:r w:rsidRPr="001E2B28">
        <w:rPr>
          <w:rStyle w:val="FootnoteReference"/>
        </w:rPr>
        <w:footnoteRef/>
      </w:r>
      <w:r w:rsidRPr="001E2B28">
        <w:t xml:space="preserve"> </w:t>
      </w:r>
      <w:r w:rsidRPr="001E2B28">
        <w:rPr>
          <w:smallCaps/>
        </w:rPr>
        <w:t xml:space="preserve">B. DE SMET, </w:t>
      </w:r>
      <w:r w:rsidRPr="001E2B28">
        <w:rPr>
          <w:i/>
        </w:rPr>
        <w:t>Jeugdbeschermingsrecht in hoofdlijnen,</w:t>
      </w:r>
      <w:r w:rsidRPr="001E2B28">
        <w:t xml:space="preserve"> Antwerpen, Intersentia, 2007, 111.</w:t>
      </w:r>
    </w:p>
  </w:footnote>
  <w:footnote w:id="187">
    <w:p w:rsidR="002A0E74" w:rsidRPr="001E2B28" w:rsidRDefault="002A0E74" w:rsidP="006131F0">
      <w:pPr>
        <w:rPr>
          <w:sz w:val="20"/>
          <w:szCs w:val="20"/>
        </w:rPr>
      </w:pPr>
      <w:r w:rsidRPr="001E2B28">
        <w:rPr>
          <w:rStyle w:val="FootnoteReference"/>
          <w:sz w:val="20"/>
          <w:szCs w:val="20"/>
        </w:rPr>
        <w:footnoteRef/>
      </w:r>
      <w:r w:rsidRPr="001E2B28">
        <w:rPr>
          <w:sz w:val="20"/>
          <w:szCs w:val="20"/>
        </w:rPr>
        <w:t xml:space="preserve"> </w:t>
      </w:r>
      <w:r w:rsidRPr="001E2B28">
        <w:rPr>
          <w:smallCaps/>
          <w:sz w:val="20"/>
          <w:szCs w:val="20"/>
        </w:rPr>
        <w:t>K. VAN PUT, “</w:t>
      </w:r>
      <w:r w:rsidRPr="001E2B28">
        <w:rPr>
          <w:color w:val="000000" w:themeColor="text1"/>
          <w:sz w:val="20"/>
          <w:szCs w:val="20"/>
        </w:rPr>
        <w:t xml:space="preserve">Topics uit het personen- en familierecht” in ORDE VAN VLAAMSE BALIES (ed.), </w:t>
      </w:r>
      <w:r w:rsidRPr="001E2B28">
        <w:rPr>
          <w:i/>
          <w:sz w:val="20"/>
          <w:szCs w:val="20"/>
        </w:rPr>
        <w:t>Bijzondere opleiding jeugdrecht 2013-2014</w:t>
      </w:r>
      <w:r w:rsidRPr="001E2B28">
        <w:rPr>
          <w:sz w:val="20"/>
          <w:szCs w:val="20"/>
        </w:rPr>
        <w:t xml:space="preserve">, Brusssel, Kluwer, 2013, </w:t>
      </w:r>
      <w:r>
        <w:rPr>
          <w:sz w:val="20"/>
          <w:szCs w:val="20"/>
        </w:rPr>
        <w:t xml:space="preserve">(269) </w:t>
      </w:r>
      <w:r w:rsidRPr="001E2B28">
        <w:rPr>
          <w:sz w:val="20"/>
          <w:szCs w:val="20"/>
        </w:rPr>
        <w:t>361, nr. 228.</w:t>
      </w:r>
    </w:p>
  </w:footnote>
  <w:footnote w:id="188">
    <w:p w:rsidR="002A0E74" w:rsidRPr="001E2B28" w:rsidRDefault="002A0E74" w:rsidP="00724A88">
      <w:pPr>
        <w:pStyle w:val="FootnoteText"/>
      </w:pPr>
      <w:r w:rsidRPr="001E2B28">
        <w:rPr>
          <w:rStyle w:val="FootnoteReference"/>
        </w:rPr>
        <w:footnoteRef/>
      </w:r>
      <w:r w:rsidRPr="001E2B28">
        <w:t xml:space="preserve"> </w:t>
      </w:r>
      <w:r w:rsidRPr="001E2B28">
        <w:rPr>
          <w:smallCaps/>
        </w:rPr>
        <w:t xml:space="preserve">B. DE SMET, </w:t>
      </w:r>
      <w:r w:rsidRPr="001E2B28">
        <w:rPr>
          <w:i/>
        </w:rPr>
        <w:t>Jeugdbeschermingsrecht in hoofdlijnen,</w:t>
      </w:r>
      <w:r w:rsidRPr="001E2B28">
        <w:t xml:space="preserve"> Antwerpen, Intersentia, 2007, 65-66.</w:t>
      </w:r>
    </w:p>
  </w:footnote>
  <w:footnote w:id="189">
    <w:p w:rsidR="002A0E74" w:rsidRPr="001E2B28" w:rsidRDefault="002A0E74">
      <w:pPr>
        <w:pStyle w:val="FootnoteText"/>
      </w:pPr>
      <w:r w:rsidRPr="001E2B28">
        <w:rPr>
          <w:rStyle w:val="FootnoteReference"/>
        </w:rPr>
        <w:footnoteRef/>
      </w:r>
      <w:r w:rsidRPr="001E2B28">
        <w:t xml:space="preserve"> </w:t>
      </w:r>
      <w:r w:rsidRPr="001E2B28">
        <w:rPr>
          <w:smallCaps/>
        </w:rPr>
        <w:t xml:space="preserve">B. DE SMET, </w:t>
      </w:r>
      <w:r w:rsidRPr="001E2B28">
        <w:rPr>
          <w:i/>
        </w:rPr>
        <w:t>Jeugdbeschermingsrecht in hoofdlijnen,</w:t>
      </w:r>
      <w:r w:rsidRPr="001E2B28">
        <w:t xml:space="preserve"> Antwerpen, Intersentia, 2007, 66.</w:t>
      </w:r>
    </w:p>
  </w:footnote>
  <w:footnote w:id="190">
    <w:p w:rsidR="002A0E74" w:rsidRPr="001E2B28" w:rsidRDefault="002A0E74">
      <w:pPr>
        <w:pStyle w:val="FootnoteText"/>
      </w:pPr>
      <w:r w:rsidRPr="001E2B28">
        <w:rPr>
          <w:rStyle w:val="FootnoteReference"/>
        </w:rPr>
        <w:footnoteRef/>
      </w:r>
      <w:r w:rsidRPr="001E2B28">
        <w:t xml:space="preserve"> </w:t>
      </w:r>
      <w:r w:rsidRPr="001E2B28">
        <w:t xml:space="preserve">Voorstel van wet tot wijziging van de wetgeving voor wat betreft de rechten en plichten van de pleegouders, </w:t>
      </w:r>
      <w:r w:rsidRPr="001E2B28">
        <w:rPr>
          <w:i/>
        </w:rPr>
        <w:t xml:space="preserve">Parl.St. </w:t>
      </w:r>
      <w:r w:rsidRPr="001E2B28">
        <w:t>Kamer 2014-15, nr. 54-0697/001, 4-5.</w:t>
      </w:r>
    </w:p>
  </w:footnote>
  <w:footnote w:id="191">
    <w:p w:rsidR="002A0E74" w:rsidRPr="001E2B28" w:rsidRDefault="002A0E74">
      <w:pPr>
        <w:pStyle w:val="FootnoteText"/>
      </w:pPr>
      <w:r w:rsidRPr="001E2B28">
        <w:rPr>
          <w:rStyle w:val="FootnoteReference"/>
        </w:rPr>
        <w:footnoteRef/>
      </w:r>
      <w:r w:rsidRPr="001E2B28">
        <w:t xml:space="preserve"> </w:t>
      </w:r>
      <w:r w:rsidRPr="001E2B28">
        <w:rPr>
          <w:smallCaps/>
        </w:rPr>
        <w:t>K. VAN PUT, “</w:t>
      </w:r>
      <w:r w:rsidRPr="001E2B28">
        <w:rPr>
          <w:color w:val="000000" w:themeColor="text1"/>
        </w:rPr>
        <w:t xml:space="preserve">Topics uit het personen- en familierecht” in ORDE VAN VLAAMSE BALIES (ed.), </w:t>
      </w:r>
      <w:r w:rsidRPr="001E2B28">
        <w:rPr>
          <w:i/>
        </w:rPr>
        <w:t>Bijzondere opleiding jeugdrecht 2013-2014</w:t>
      </w:r>
      <w:r w:rsidRPr="001E2B28">
        <w:t xml:space="preserve">, Brusssel, Kluwer, 2013, </w:t>
      </w:r>
      <w:r>
        <w:t xml:space="preserve">(269) </w:t>
      </w:r>
      <w:r w:rsidRPr="001E2B28">
        <w:t>359, nr. 222.</w:t>
      </w:r>
    </w:p>
  </w:footnote>
  <w:footnote w:id="192">
    <w:p w:rsidR="002A0E74" w:rsidRPr="001E2B28" w:rsidRDefault="002A0E74">
      <w:pPr>
        <w:pStyle w:val="FootnoteText"/>
      </w:pPr>
      <w:r w:rsidRPr="001E2B28">
        <w:rPr>
          <w:rStyle w:val="FootnoteReference"/>
        </w:rPr>
        <w:footnoteRef/>
      </w:r>
      <w:r w:rsidRPr="001E2B28">
        <w:t xml:space="preserve"> </w:t>
      </w:r>
      <w:r w:rsidRPr="001E2B28">
        <w:rPr>
          <w:smallCaps/>
        </w:rPr>
        <w:t>K. VAN PUT, “</w:t>
      </w:r>
      <w:r w:rsidRPr="001E2B28">
        <w:rPr>
          <w:color w:val="000000" w:themeColor="text1"/>
        </w:rPr>
        <w:t xml:space="preserve">Topics uit het personen- en familierecht” in ORDE VAN VLAAMSE BALIES (ed.), </w:t>
      </w:r>
      <w:r w:rsidRPr="001E2B28">
        <w:rPr>
          <w:i/>
        </w:rPr>
        <w:t>Bijzondere opleiding jeugdrecht 2013-2014</w:t>
      </w:r>
      <w:r w:rsidRPr="001E2B28">
        <w:t xml:space="preserve">, Brusssel, Kluwer, 2013, </w:t>
      </w:r>
      <w:r>
        <w:t xml:space="preserve">(269) </w:t>
      </w:r>
      <w:r w:rsidRPr="001E2B28">
        <w:t>350, nr. 194.</w:t>
      </w:r>
    </w:p>
  </w:footnote>
  <w:footnote w:id="193">
    <w:p w:rsidR="002A0E74" w:rsidRPr="001E2B28" w:rsidRDefault="002A0E74">
      <w:pPr>
        <w:pStyle w:val="FootnoteText"/>
      </w:pPr>
      <w:r w:rsidRPr="001E2B28">
        <w:rPr>
          <w:rStyle w:val="FootnoteReference"/>
        </w:rPr>
        <w:footnoteRef/>
      </w:r>
      <w:r w:rsidRPr="001E2B28">
        <w:t xml:space="preserve"> </w:t>
      </w:r>
      <w:r w:rsidRPr="001E2B28">
        <w:rPr>
          <w:smallCaps/>
        </w:rPr>
        <w:t>P.</w:t>
      </w:r>
      <w:r w:rsidRPr="001E2B28">
        <w:rPr>
          <w:color w:val="000000"/>
        </w:rPr>
        <w:t xml:space="preserve"> </w:t>
      </w:r>
      <w:r w:rsidRPr="001E2B28">
        <w:rPr>
          <w:smallCaps/>
          <w:color w:val="000000"/>
        </w:rPr>
        <w:t xml:space="preserve">SENAEVE, </w:t>
      </w:r>
      <w:r w:rsidRPr="001E2B28">
        <w:rPr>
          <w:i/>
          <w:iCs/>
          <w:color w:val="000000"/>
        </w:rPr>
        <w:t>Compendium van het Personen- en Familierecht</w:t>
      </w:r>
      <w:r w:rsidRPr="001E2B28">
        <w:rPr>
          <w:color w:val="000000"/>
        </w:rPr>
        <w:t xml:space="preserve">, Leuven, Acco, 2015, 362, nr. 1165; </w:t>
      </w:r>
      <w:r w:rsidRPr="001E2B28">
        <w:t>T. WUYTS</w:t>
      </w:r>
      <w:r w:rsidRPr="001E2B28">
        <w:rPr>
          <w:smallCaps/>
        </w:rPr>
        <w:t>,</w:t>
      </w:r>
      <w:r w:rsidRPr="001E2B28">
        <w:t xml:space="preserve"> “Ouderlijk gezag moet op maat van het gezin georganiseerd kunnen worden”, </w:t>
      </w:r>
      <w:r w:rsidRPr="001E2B28">
        <w:rPr>
          <w:i/>
          <w:iCs/>
        </w:rPr>
        <w:t xml:space="preserve">TJK </w:t>
      </w:r>
      <w:r w:rsidRPr="001E2B28">
        <w:t>2014, afl.1, (6) 9-10, nr. 5.</w:t>
      </w:r>
    </w:p>
  </w:footnote>
  <w:footnote w:id="194">
    <w:p w:rsidR="002A0E74" w:rsidRPr="007E076B" w:rsidRDefault="002A0E74">
      <w:pPr>
        <w:pStyle w:val="FootnoteText"/>
      </w:pPr>
      <w:r w:rsidRPr="001E2B28">
        <w:rPr>
          <w:rStyle w:val="FootnoteReference"/>
        </w:rPr>
        <w:footnoteRef/>
      </w:r>
      <w:r w:rsidRPr="001E2B28">
        <w:t xml:space="preserve"> </w:t>
      </w:r>
      <w:r w:rsidRPr="001E2B28">
        <w:rPr>
          <w:smallCaps/>
        </w:rPr>
        <w:t>K. VAN PUT, “</w:t>
      </w:r>
      <w:r w:rsidRPr="001E2B28">
        <w:rPr>
          <w:color w:val="000000" w:themeColor="text1"/>
        </w:rPr>
        <w:t xml:space="preserve">Topics uit het personen- en familierecht” in ORDE VAN VLAAMSE BALIES (ed.), </w:t>
      </w:r>
      <w:r w:rsidRPr="001E2B28">
        <w:rPr>
          <w:i/>
        </w:rPr>
        <w:t>Bijzondere opleiding jeugdrecht 2013-2014</w:t>
      </w:r>
      <w:r w:rsidRPr="001E2B28">
        <w:t xml:space="preserve">, Brusssel, Kluwer, 2013, </w:t>
      </w:r>
      <w:r>
        <w:t xml:space="preserve">(269) </w:t>
      </w:r>
      <w:r w:rsidRPr="001E2B28">
        <w:t>361, nr. 228.</w:t>
      </w:r>
    </w:p>
  </w:footnote>
  <w:footnote w:id="195">
    <w:p w:rsidR="002A0E74" w:rsidRPr="00361605" w:rsidRDefault="002A0E74">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4.</w:t>
      </w:r>
    </w:p>
  </w:footnote>
  <w:footnote w:id="196">
    <w:p w:rsidR="002A0E74" w:rsidRPr="007E076B" w:rsidRDefault="002A0E74">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w:t>
      </w:r>
    </w:p>
  </w:footnote>
  <w:footnote w:id="197">
    <w:p w:rsidR="002A0E74" w:rsidRPr="000F792A" w:rsidRDefault="002A0E74">
      <w:pPr>
        <w:pStyle w:val="FootnoteText"/>
      </w:pPr>
      <w:r>
        <w:rPr>
          <w:rStyle w:val="FootnoteReference"/>
        </w:rPr>
        <w:footnoteRef/>
      </w:r>
      <w:r>
        <w:t xml:space="preserve"> </w:t>
      </w:r>
      <w:r w:rsidRPr="00C61702">
        <w:t xml:space="preserve">PLEEGZORG VLAANDEREN, </w:t>
      </w:r>
      <w:r w:rsidRPr="00C61702">
        <w:rPr>
          <w:i/>
        </w:rPr>
        <w:t xml:space="preserve">Statuut voor pleegouders, </w:t>
      </w:r>
      <w:r w:rsidRPr="00C61702">
        <w:t>http://www.pleegzorgvlaanderen.be.</w:t>
      </w:r>
    </w:p>
  </w:footnote>
  <w:footnote w:id="198">
    <w:p w:rsidR="002A0E74" w:rsidRDefault="002A0E74">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7.</w:t>
      </w:r>
    </w:p>
  </w:footnote>
  <w:footnote w:id="199">
    <w:p w:rsidR="002A0E74" w:rsidRPr="008125C3" w:rsidRDefault="002A0E74" w:rsidP="00361605">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7.</w:t>
      </w:r>
    </w:p>
  </w:footnote>
  <w:footnote w:id="200">
    <w:p w:rsidR="002A0E74" w:rsidRPr="008125C3" w:rsidRDefault="002A0E74" w:rsidP="00361605">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14.</w:t>
      </w:r>
    </w:p>
  </w:footnote>
  <w:footnote w:id="201">
    <w:p w:rsidR="002A0E74" w:rsidRPr="008125C3" w:rsidRDefault="002A0E74" w:rsidP="00361605">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14.</w:t>
      </w:r>
    </w:p>
  </w:footnote>
  <w:footnote w:id="202">
    <w:p w:rsidR="002A0E74" w:rsidRPr="008125C3" w:rsidRDefault="002A0E74" w:rsidP="00361605">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14.</w:t>
      </w:r>
    </w:p>
  </w:footnote>
  <w:footnote w:id="203">
    <w:p w:rsidR="002A0E74" w:rsidRPr="008D0020" w:rsidRDefault="002A0E74" w:rsidP="008D0020">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9.</w:t>
      </w:r>
    </w:p>
  </w:footnote>
  <w:footnote w:id="204">
    <w:p w:rsidR="002A0E74" w:rsidRPr="008125C3" w:rsidRDefault="002A0E74" w:rsidP="00361605">
      <w:pPr>
        <w:pStyle w:val="FootnoteText"/>
      </w:pPr>
      <w:r>
        <w:rPr>
          <w:rStyle w:val="FootnoteReference"/>
        </w:rPr>
        <w:footnoteRef/>
      </w:r>
      <w:r>
        <w:t xml:space="preserve"> </w:t>
      </w:r>
      <w:r>
        <w:t>Voorstel van wet</w:t>
      </w:r>
      <w:r w:rsidRPr="00784780">
        <w:t xml:space="preserve"> tot wijziging van de wetgeving voor wat betreft de rechten en plic</w:t>
      </w:r>
      <w:r>
        <w:t xml:space="preserve">hten van de pleegouders, </w:t>
      </w:r>
      <w:r w:rsidRPr="00784780">
        <w:rPr>
          <w:i/>
        </w:rPr>
        <w:t>Parl.St.</w:t>
      </w:r>
      <w:r>
        <w:rPr>
          <w:i/>
        </w:rPr>
        <w:t xml:space="preserve"> </w:t>
      </w:r>
      <w:r w:rsidRPr="00784780">
        <w:t>Kamer</w:t>
      </w:r>
      <w:r>
        <w:t xml:space="preserve"> 2014-15, nr. 54-0697/001, 10.</w:t>
      </w:r>
    </w:p>
  </w:footnote>
  <w:footnote w:id="205">
    <w:p w:rsidR="002A0E74" w:rsidRDefault="002A0E74" w:rsidP="00120FF2">
      <w:pPr>
        <w:pStyle w:val="FootnoteText"/>
      </w:pPr>
      <w:r>
        <w:rPr>
          <w:rStyle w:val="FootnoteReference"/>
        </w:rPr>
        <w:footnoteRef/>
      </w:r>
      <w:r>
        <w:t xml:space="preserve"> </w:t>
      </w:r>
      <w:r w:rsidRPr="00187999">
        <w:rPr>
          <w:smallCaps/>
        </w:rPr>
        <w:t>P.</w:t>
      </w:r>
      <w:r w:rsidRPr="00187999">
        <w:rPr>
          <w:color w:val="000000"/>
        </w:rPr>
        <w:t xml:space="preserve"> </w:t>
      </w:r>
      <w:r>
        <w:rPr>
          <w:smallCaps/>
          <w:color w:val="000000"/>
        </w:rPr>
        <w:t>SENAEVE</w:t>
      </w:r>
      <w:r w:rsidRPr="00187999">
        <w:rPr>
          <w:smallCaps/>
          <w:color w:val="000000"/>
        </w:rPr>
        <w:t>,</w:t>
      </w:r>
      <w:r>
        <w:rPr>
          <w:smallCaps/>
          <w:color w:val="000000"/>
        </w:rPr>
        <w:t xml:space="preserve"> </w:t>
      </w:r>
      <w:r w:rsidRPr="00187999">
        <w:rPr>
          <w:i/>
          <w:iCs/>
          <w:color w:val="000000"/>
        </w:rPr>
        <w:t>Compendium van het Personen- en Familierecht</w:t>
      </w:r>
      <w:r>
        <w:rPr>
          <w:color w:val="000000"/>
        </w:rPr>
        <w:t>, Leuven, Acco</w:t>
      </w:r>
      <w:r w:rsidRPr="00841BD5">
        <w:rPr>
          <w:color w:val="000000"/>
        </w:rPr>
        <w:t>, 2015, 263</w:t>
      </w:r>
      <w:r>
        <w:rPr>
          <w:color w:val="000000"/>
        </w:rPr>
        <w:t>, nr. 804</w:t>
      </w:r>
      <w:r w:rsidRPr="00187999">
        <w:rPr>
          <w:color w:val="000000"/>
        </w:rPr>
        <w:t>.</w:t>
      </w:r>
    </w:p>
  </w:footnote>
  <w:footnote w:id="206">
    <w:p w:rsidR="002A0E74" w:rsidRPr="00C61702" w:rsidRDefault="002A0E74" w:rsidP="000F792A">
      <w:pPr>
        <w:pStyle w:val="FootnoteText"/>
      </w:pPr>
      <w:r>
        <w:rPr>
          <w:rStyle w:val="FootnoteReference"/>
        </w:rPr>
        <w:footnoteRef/>
      </w:r>
      <w:r>
        <w:t xml:space="preserve"> </w:t>
      </w:r>
      <w:r w:rsidRPr="00B31C91">
        <w:rPr>
          <w:smallCaps/>
        </w:rPr>
        <w:t xml:space="preserve">J.-J. </w:t>
      </w:r>
      <w:r>
        <w:rPr>
          <w:smallCaps/>
        </w:rPr>
        <w:t xml:space="preserve">DE GUCHT, </w:t>
      </w:r>
      <w:r w:rsidRPr="000F792A">
        <w:rPr>
          <w:i/>
        </w:rPr>
        <w:t>De tijd dat het twee-ouderschapsideaal de norm was, is niet meer van deze tijd</w:t>
      </w:r>
      <w:r w:rsidRPr="00B31C91">
        <w:t>, 2015, http://www.knack.be/nieuws/belgie/de-tijd-dat-het-twee-ouderschapsideaal-de-norm-was-is-niet-meer-van-deze-tijd/article-opinion-</w:t>
      </w:r>
      <w:r>
        <w:t>546377.html.</w:t>
      </w:r>
    </w:p>
  </w:footnote>
  <w:footnote w:id="207">
    <w:p w:rsidR="002A0E74" w:rsidRPr="00C61702" w:rsidRDefault="002A0E74">
      <w:pPr>
        <w:pStyle w:val="FootnoteText"/>
      </w:pPr>
      <w:r w:rsidRPr="00C61702">
        <w:rPr>
          <w:rStyle w:val="FootnoteReference"/>
        </w:rPr>
        <w:footnoteRef/>
      </w:r>
      <w:r>
        <w:t xml:space="preserve"> </w:t>
      </w:r>
      <w:r w:rsidRPr="00C61702">
        <w:t xml:space="preserve">T. JUNES, </w:t>
      </w:r>
      <w:r w:rsidRPr="00C61702">
        <w:rPr>
          <w:i/>
        </w:rPr>
        <w:t>'Kinderwensspeeddate' voor holebi's en singles in Antwerpen,</w:t>
      </w:r>
      <w:r w:rsidRPr="00C61702">
        <w:t xml:space="preserve"> http://www.zizo-magazine.be/speeddate-voor-holebis-en-singles-met-een-kinderwens-komt-naar-antwerpen.</w:t>
      </w:r>
    </w:p>
  </w:footnote>
  <w:footnote w:id="208">
    <w:p w:rsidR="002A0E74" w:rsidRDefault="002A0E74">
      <w:pPr>
        <w:pStyle w:val="FootnoteText"/>
      </w:pPr>
      <w:r w:rsidRPr="00C61702">
        <w:rPr>
          <w:rStyle w:val="FootnoteReference"/>
        </w:rPr>
        <w:footnoteRef/>
      </w:r>
      <w:r w:rsidRPr="00C61702">
        <w:t xml:space="preserve"> </w:t>
      </w:r>
      <w:r w:rsidRPr="00C61702">
        <w:t>Wet van 18 mei 2006 tot wijziging van een aantal bepalingen van het Burgerlijk Wetboek</w:t>
      </w:r>
      <w:r>
        <w:t xml:space="preserve"> teneinde de adoptie door personen van hetzelfde geslacht mogelijk te maken, </w:t>
      </w:r>
      <w:r w:rsidRPr="00BE0723">
        <w:rPr>
          <w:i/>
          <w:iCs/>
        </w:rPr>
        <w:t>B.S.</w:t>
      </w:r>
      <w:r>
        <w:t xml:space="preserve"> 20 juni 2006.</w:t>
      </w:r>
    </w:p>
  </w:footnote>
  <w:footnote w:id="209">
    <w:p w:rsidR="002A0E74" w:rsidRPr="00310B3C" w:rsidRDefault="002A0E74" w:rsidP="00103D29">
      <w:pPr>
        <w:pStyle w:val="FootnoteText"/>
      </w:pPr>
      <w:r>
        <w:rPr>
          <w:rStyle w:val="FootnoteReference"/>
        </w:rPr>
        <w:footnoteRef/>
      </w:r>
      <w:r>
        <w:t xml:space="preserve"> </w:t>
      </w:r>
      <w:r w:rsidRPr="00B31C91">
        <w:t xml:space="preserve">Voorstel van wet tot wijziging van de wetgeving betreffende de bescherming van het kind wat de invoering van het zorgouderschap betreft, </w:t>
      </w:r>
      <w:r>
        <w:rPr>
          <w:i/>
          <w:iCs/>
        </w:rPr>
        <w:t>Parl.</w:t>
      </w:r>
      <w:r w:rsidRPr="00B31C91">
        <w:rPr>
          <w:i/>
          <w:iCs/>
        </w:rPr>
        <w:t>St.</w:t>
      </w:r>
      <w:r w:rsidRPr="00B31C91">
        <w:t xml:space="preserve"> Kamer 2014, nr. 54-0114/001, 3;</w:t>
      </w:r>
      <w:r>
        <w:t xml:space="preserve"> </w:t>
      </w:r>
      <w:r w:rsidRPr="00B31C91">
        <w:rPr>
          <w:smallCaps/>
        </w:rPr>
        <w:t xml:space="preserve">J.-J. </w:t>
      </w:r>
      <w:r>
        <w:rPr>
          <w:smallCaps/>
        </w:rPr>
        <w:t xml:space="preserve">DE GUCHT, </w:t>
      </w:r>
      <w:r w:rsidRPr="000F792A">
        <w:rPr>
          <w:i/>
        </w:rPr>
        <w:t>De tijd dat het twee-ouderschapsideaal de norm was, is niet meer van deze tijd</w:t>
      </w:r>
      <w:r w:rsidRPr="00B31C91">
        <w:t xml:space="preserve">, 2015, </w:t>
      </w:r>
      <w:hyperlink r:id="rId10" w:history="1">
        <w:r w:rsidRPr="007C2F76">
          <w:rPr>
            <w:rStyle w:val="Hyperlink"/>
          </w:rPr>
          <w:t>http://www.knack.be/nieuws/belgie/de-tijd-dat-het-twee-ouderschapsideaal-de-norm-was-is-niet-meer-van-deze-tijd/article-opinion-546377.html</w:t>
        </w:r>
      </w:hyperlink>
      <w:r>
        <w:t xml:space="preserve">; </w:t>
      </w:r>
      <w:r w:rsidRPr="00B31C91">
        <w:rPr>
          <w:smallCaps/>
        </w:rPr>
        <w:t xml:space="preserve">T. </w:t>
      </w:r>
      <w:r>
        <w:rPr>
          <w:smallCaps/>
        </w:rPr>
        <w:t>WUYTS</w:t>
      </w:r>
      <w:r w:rsidRPr="00B31C91">
        <w:rPr>
          <w:smallCaps/>
        </w:rPr>
        <w:t>,</w:t>
      </w:r>
      <w:r w:rsidRPr="00B31C91">
        <w:t xml:space="preserve"> “Ouderlijk gezag moet op maat van het gezin georganiseerd kunnen worden”, </w:t>
      </w:r>
      <w:r w:rsidRPr="00B31C91">
        <w:rPr>
          <w:i/>
          <w:iCs/>
        </w:rPr>
        <w:t xml:space="preserve">TJK </w:t>
      </w:r>
      <w:r>
        <w:t>2014, afl. 1, (6) 7, nr. 1</w:t>
      </w:r>
      <w:r w:rsidRPr="00B31C91">
        <w:t>.</w:t>
      </w:r>
    </w:p>
  </w:footnote>
  <w:footnote w:id="210">
    <w:p w:rsidR="002A0E74" w:rsidRPr="00177A5B" w:rsidRDefault="002A0E74">
      <w:pPr>
        <w:pStyle w:val="FootnoteText"/>
      </w:pPr>
      <w:r>
        <w:rPr>
          <w:rStyle w:val="FootnoteReference"/>
        </w:rPr>
        <w:footnoteRef/>
      </w:r>
      <w:r>
        <w:t xml:space="preserve"> </w:t>
      </w:r>
      <w:r w:rsidRPr="00B31C91">
        <w:t xml:space="preserve">Voorstel van wet tot wijziging van de wetgeving betreffende de bescherming van het kind wat de invoering van het zorgouderschap betreft, </w:t>
      </w:r>
      <w:r>
        <w:rPr>
          <w:i/>
          <w:iCs/>
        </w:rPr>
        <w:t>Parl.</w:t>
      </w:r>
      <w:r w:rsidRPr="00B31C91">
        <w:rPr>
          <w:i/>
          <w:iCs/>
        </w:rPr>
        <w:t>St.</w:t>
      </w:r>
      <w:r w:rsidRPr="00B31C91">
        <w:t xml:space="preserve"> Kamer 2014, nr. 54-0114/001</w:t>
      </w:r>
      <w:r>
        <w:t>, 3.</w:t>
      </w:r>
    </w:p>
  </w:footnote>
  <w:footnote w:id="211">
    <w:p w:rsidR="002A0E74" w:rsidRDefault="002A0E74" w:rsidP="007A68B6">
      <w:pPr>
        <w:pStyle w:val="FootnoteText"/>
      </w:pPr>
      <w:r>
        <w:rPr>
          <w:rStyle w:val="FootnoteReference"/>
        </w:rPr>
        <w:footnoteRef/>
      </w:r>
      <w:r>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Leuven, Acco, 2015, 215</w:t>
      </w:r>
      <w:r w:rsidRPr="00187999">
        <w:rPr>
          <w:color w:val="000000"/>
        </w:rPr>
        <w:t>, nr. 636;</w:t>
      </w:r>
      <w:r w:rsidRPr="00187999">
        <w:t xml:space="preserve">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 442, nr. 721.</w:t>
      </w:r>
    </w:p>
  </w:footnote>
  <w:footnote w:id="212">
    <w:p w:rsidR="002A0E74" w:rsidRDefault="002A0E74" w:rsidP="007A68B6">
      <w:pPr>
        <w:pStyle w:val="FootnoteText"/>
      </w:pPr>
      <w:r>
        <w:rPr>
          <w:rStyle w:val="FootnoteReference"/>
        </w:rPr>
        <w:footnoteRef/>
      </w:r>
      <w:r>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Leuven, Acco, 2015, 215</w:t>
      </w:r>
      <w:r w:rsidRPr="00187999">
        <w:rPr>
          <w:color w:val="000000"/>
        </w:rPr>
        <w:t xml:space="preserve">, nr. 636; </w:t>
      </w:r>
      <w:r w:rsidRPr="00187999">
        <w:rPr>
          <w:smallCaps/>
        </w:rPr>
        <w:t xml:space="preserve">F. </w:t>
      </w:r>
      <w:r>
        <w:rPr>
          <w:smallCaps/>
        </w:rPr>
        <w:t>SWENNEN</w:t>
      </w:r>
      <w:r w:rsidRPr="00187999">
        <w:rPr>
          <w:smallCaps/>
        </w:rPr>
        <w:t xml:space="preserve">, </w:t>
      </w:r>
      <w:r w:rsidRPr="00AE4DA8">
        <w:rPr>
          <w:i/>
          <w:iCs/>
        </w:rPr>
        <w:t>Het personen- en familierecht</w:t>
      </w:r>
      <w:r w:rsidRPr="00187999">
        <w:t>, Antwerpen, Intersentia, 2015, 442, nr. 721.</w:t>
      </w:r>
    </w:p>
  </w:footnote>
  <w:footnote w:id="213">
    <w:p w:rsidR="002A0E74" w:rsidRDefault="002A0E74" w:rsidP="007A68B6">
      <w:pPr>
        <w:pStyle w:val="FootnoteText"/>
      </w:pPr>
      <w:r>
        <w:rPr>
          <w:rStyle w:val="FootnoteReference"/>
        </w:rPr>
        <w:footnoteRef/>
      </w:r>
      <w:r>
        <w:t xml:space="preserve"> </w:t>
      </w:r>
      <w:r w:rsidRPr="00187999">
        <w:rPr>
          <w:smallCaps/>
        </w:rPr>
        <w:t>P.</w:t>
      </w:r>
      <w:r w:rsidRPr="00187999">
        <w:rPr>
          <w:color w:val="000000"/>
        </w:rPr>
        <w:t xml:space="preserve"> </w:t>
      </w:r>
      <w:r>
        <w:rPr>
          <w:smallCaps/>
          <w:color w:val="000000"/>
        </w:rPr>
        <w:t xml:space="preserve">SENAEVE, </w:t>
      </w:r>
      <w:r w:rsidRPr="00187999">
        <w:rPr>
          <w:i/>
          <w:iCs/>
          <w:color w:val="000000"/>
        </w:rPr>
        <w:t>Compendium van het Personen- en Familierecht</w:t>
      </w:r>
      <w:r>
        <w:rPr>
          <w:color w:val="000000"/>
        </w:rPr>
        <w:t>, Leuven, Acco, 2015, 264, nr. 807-810.</w:t>
      </w:r>
    </w:p>
  </w:footnote>
  <w:footnote w:id="214">
    <w:p w:rsidR="002A0E74" w:rsidRDefault="002A0E74">
      <w:pPr>
        <w:pStyle w:val="FootnoteText"/>
      </w:pPr>
      <w:r>
        <w:rPr>
          <w:rStyle w:val="FootnoteReference"/>
        </w:rPr>
        <w:footnoteRef/>
      </w:r>
      <w:r>
        <w:t xml:space="preserve"> </w:t>
      </w:r>
      <w:r w:rsidRPr="006E5DD4">
        <w:t xml:space="preserve">Wet 5 mei 2014 houdende de vaststelling van de afstamming van de meemoeder, </w:t>
      </w:r>
      <w:r w:rsidRPr="006E5DD4">
        <w:rPr>
          <w:i/>
          <w:iCs/>
        </w:rPr>
        <w:t>B.S.</w:t>
      </w:r>
      <w:r>
        <w:t xml:space="preserve"> 01 januari 2015.</w:t>
      </w:r>
    </w:p>
  </w:footnote>
  <w:footnote w:id="215">
    <w:p w:rsidR="002A0E74" w:rsidRDefault="002A0E74">
      <w:pPr>
        <w:pStyle w:val="FootnoteText"/>
      </w:pPr>
      <w:r>
        <w:rPr>
          <w:rStyle w:val="FootnoteReference"/>
        </w:rPr>
        <w:footnoteRef/>
      </w:r>
      <w:r>
        <w:t xml:space="preserve"> </w:t>
      </w:r>
      <w:r w:rsidRPr="006E5DD4">
        <w:rPr>
          <w:smallCaps/>
        </w:rPr>
        <w:t xml:space="preserve">G. </w:t>
      </w:r>
      <w:r>
        <w:rPr>
          <w:smallCaps/>
        </w:rPr>
        <w:t>SEGHERS</w:t>
      </w:r>
      <w:r w:rsidRPr="006E5DD4">
        <w:rPr>
          <w:smallCaps/>
        </w:rPr>
        <w:t xml:space="preserve"> </w:t>
      </w:r>
      <w:r w:rsidRPr="006E5DD4">
        <w:t xml:space="preserve">en </w:t>
      </w:r>
      <w:r w:rsidRPr="006E5DD4">
        <w:rPr>
          <w:smallCaps/>
        </w:rPr>
        <w:t xml:space="preserve">F. </w:t>
      </w:r>
      <w:r>
        <w:rPr>
          <w:smallCaps/>
        </w:rPr>
        <w:t>SWENNEN</w:t>
      </w:r>
      <w:r w:rsidRPr="006E5DD4">
        <w:rPr>
          <w:smallCaps/>
        </w:rPr>
        <w:t xml:space="preserve">, </w:t>
      </w:r>
      <w:r w:rsidRPr="006E5DD4">
        <w:t xml:space="preserve">“Meemoederschap zonder adoptie – de wet van 5 mei 2014 tot vaststelling van de afstamming van de meemoeder”, </w:t>
      </w:r>
      <w:r w:rsidRPr="006E5DD4">
        <w:rPr>
          <w:i/>
          <w:iCs/>
        </w:rPr>
        <w:t>TBBR</w:t>
      </w:r>
      <w:r w:rsidRPr="006E5DD4">
        <w:t xml:space="preserve"> 2014, </w:t>
      </w:r>
      <w:r>
        <w:t xml:space="preserve">(480) </w:t>
      </w:r>
      <w:r w:rsidRPr="006E5DD4">
        <w:t>480, nr. 1.</w:t>
      </w:r>
    </w:p>
  </w:footnote>
  <w:footnote w:id="216">
    <w:p w:rsidR="002A0E74" w:rsidRPr="001219C9" w:rsidRDefault="002A0E74">
      <w:pPr>
        <w:pStyle w:val="FootnoteText"/>
      </w:pPr>
      <w:r>
        <w:rPr>
          <w:rStyle w:val="FootnoteReference"/>
        </w:rPr>
        <w:footnoteRef/>
      </w:r>
      <w:r>
        <w:t xml:space="preserve"> </w:t>
      </w:r>
      <w:r w:rsidRPr="00A7468F">
        <w:t xml:space="preserve">Addendum op het verzoek tot het opstellen van een informatieverslag betreffende een onderzoek van de mogelijkheden voor een wettelijke regeling van meeouderschap, </w:t>
      </w:r>
      <w:r w:rsidRPr="00A7468F">
        <w:rPr>
          <w:i/>
          <w:iCs/>
        </w:rPr>
        <w:t>Parl.St.</w:t>
      </w:r>
      <w:r w:rsidRPr="00A7468F">
        <w:t xml:space="preserve"> Senaat 2015-16, nr. 6-98/3, 2; </w:t>
      </w:r>
      <w:r w:rsidRPr="00A7468F">
        <w:rPr>
          <w:smallCaps/>
        </w:rPr>
        <w:t xml:space="preserve">G. HIERNAUX, </w:t>
      </w:r>
      <w:r w:rsidRPr="00A7468F">
        <w:t>“L’autorité parentale et le rôle des tiers</w:t>
      </w:r>
      <w:r w:rsidRPr="00A7468F">
        <w:rPr>
          <w:color w:val="000000"/>
        </w:rPr>
        <w:t xml:space="preserve">” </w:t>
      </w:r>
      <w:r w:rsidRPr="00A7468F">
        <w:t xml:space="preserve">in </w:t>
      </w:r>
      <w:r w:rsidRPr="00A7468F">
        <w:rPr>
          <w:smallCaps/>
        </w:rPr>
        <w:t>GALLUS, N. (</w:t>
      </w:r>
      <w:r w:rsidRPr="00A7468F">
        <w:t>ed.),</w:t>
      </w:r>
      <w:r w:rsidRPr="00A7468F">
        <w:rPr>
          <w:i/>
          <w:iCs/>
        </w:rPr>
        <w:t xml:space="preserve"> Les recompositions familiales, </w:t>
      </w:r>
      <w:r w:rsidRPr="00A7468F">
        <w:t xml:space="preserve">Limal, Anthemis, 2015, </w:t>
      </w:r>
      <w:r>
        <w:t xml:space="preserve">(75) </w:t>
      </w:r>
      <w:r w:rsidRPr="00A7468F">
        <w:t>82</w:t>
      </w:r>
      <w:r>
        <w:t>.</w:t>
      </w:r>
    </w:p>
  </w:footnote>
  <w:footnote w:id="217">
    <w:p w:rsidR="002A0E74" w:rsidRDefault="002A0E74" w:rsidP="007A68B6">
      <w:pPr>
        <w:pStyle w:val="FootnoteText"/>
      </w:pPr>
      <w:r>
        <w:rPr>
          <w:rStyle w:val="FootnoteReference"/>
        </w:rPr>
        <w:footnoteRef/>
      </w:r>
      <w:r>
        <w:t xml:space="preserve"> </w:t>
      </w:r>
      <w:r w:rsidRPr="00187999">
        <w:rPr>
          <w:smallCaps/>
        </w:rPr>
        <w:t xml:space="preserve">H. </w:t>
      </w:r>
      <w:r>
        <w:rPr>
          <w:smallCaps/>
        </w:rPr>
        <w:t>CASMAN</w:t>
      </w:r>
      <w:r w:rsidRPr="00187999">
        <w:rPr>
          <w:smallCaps/>
        </w:rPr>
        <w:t>,</w:t>
      </w:r>
      <w:r w:rsidRPr="00187999">
        <w:t xml:space="preserve"> “Gehuwd, wettelijk of feitelijk samenwonend: wat maakt het uit? Gevolgen ten aanzien van de kinderen.” in </w:t>
      </w:r>
      <w:r>
        <w:rPr>
          <w:smallCaps/>
        </w:rPr>
        <w:t>FORDER</w:t>
      </w:r>
      <w:r w:rsidRPr="00187999">
        <w:rPr>
          <w:smallCaps/>
        </w:rPr>
        <w:t xml:space="preserve">, C. </w:t>
      </w:r>
      <w:r w:rsidRPr="00187999">
        <w:t xml:space="preserve">en </w:t>
      </w:r>
      <w:r>
        <w:rPr>
          <w:smallCaps/>
        </w:rPr>
        <w:t>VERBEKE</w:t>
      </w:r>
      <w:r w:rsidRPr="00187999">
        <w:rPr>
          <w:smallCaps/>
        </w:rPr>
        <w:t>, A. (</w:t>
      </w:r>
      <w:r w:rsidRPr="00187999">
        <w:t xml:space="preserve">eds.), </w:t>
      </w:r>
      <w:r w:rsidRPr="00187999">
        <w:rPr>
          <w:i/>
          <w:iCs/>
        </w:rPr>
        <w:t xml:space="preserve">Gehuwd of niet: maakt het iets uit?, </w:t>
      </w:r>
      <w:r w:rsidRPr="00187999">
        <w:t xml:space="preserve">Antwerpen-Groningen, Intersentia, 2005, </w:t>
      </w:r>
      <w:r>
        <w:t xml:space="preserve">(231) </w:t>
      </w:r>
      <w:r w:rsidRPr="00187999">
        <w:t xml:space="preserve">247, nr. 60; </w:t>
      </w:r>
      <w:r>
        <w:rPr>
          <w:smallCaps/>
        </w:rPr>
        <w:t xml:space="preserve">H. CASMAN, </w:t>
      </w:r>
      <w:r w:rsidRPr="00187999">
        <w:rPr>
          <w:smallCaps/>
        </w:rPr>
        <w:t>“</w:t>
      </w:r>
      <w:r w:rsidRPr="00187999">
        <w:t xml:space="preserve">Actueel Belgisch afstammingsrecht in vogelvlucht.”, </w:t>
      </w:r>
      <w:r w:rsidRPr="00187999">
        <w:rPr>
          <w:i/>
          <w:iCs/>
        </w:rPr>
        <w:t>Not.Fisc.M.</w:t>
      </w:r>
      <w:r w:rsidRPr="00187999">
        <w:t xml:space="preserve"> 2008, afl. 4, </w:t>
      </w:r>
      <w:r>
        <w:t xml:space="preserve">(119) </w:t>
      </w:r>
      <w:r w:rsidRPr="00187999">
        <w:t xml:space="preserve">121;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rsidRPr="00187999">
        <w:t xml:space="preserve"> 2006, afl. 10, </w:t>
      </w:r>
      <w:r>
        <w:t xml:space="preserve"> (567)</w:t>
      </w:r>
      <w:r w:rsidRPr="00187999">
        <w:t xml:space="preserve"> 567, nr. 1; </w:t>
      </w:r>
      <w:r>
        <w:rPr>
          <w:smallCaps/>
        </w:rPr>
        <w:t>KINDERRECHTENCOMMISSARIAAT</w:t>
      </w:r>
      <w:r w:rsidRPr="00187999">
        <w:rPr>
          <w:i/>
          <w:iCs/>
          <w:smallCaps/>
        </w:rPr>
        <w:t xml:space="preserve">, </w:t>
      </w:r>
      <w:r w:rsidRPr="00187999">
        <w:rPr>
          <w:i/>
          <w:iCs/>
        </w:rPr>
        <w:t>Kinderen &amp; scheiding</w:t>
      </w:r>
      <w:r w:rsidRPr="00187999">
        <w:t xml:space="preserve">, Brussel, </w:t>
      </w:r>
      <w:r>
        <w:rPr>
          <w:color w:val="000000"/>
        </w:rPr>
        <w:t>Kinderrechtencommissariaat</w:t>
      </w:r>
      <w:r w:rsidRPr="00187999">
        <w:t xml:space="preserve">, 2006, 59-60; </w:t>
      </w:r>
      <w:r w:rsidRPr="00187999">
        <w:rPr>
          <w:smallCaps/>
        </w:rPr>
        <w:t xml:space="preserve">T. </w:t>
      </w:r>
      <w:r>
        <w:rPr>
          <w:smallCaps/>
        </w:rPr>
        <w:t>ROBERT</w:t>
      </w:r>
      <w:r w:rsidRPr="00187999">
        <w:rPr>
          <w:smallCaps/>
        </w:rPr>
        <w:t xml:space="preserve">, </w:t>
      </w:r>
      <w:r w:rsidRPr="00187999">
        <w:t xml:space="preserve">“Naar een afstammingsloos gezag?” (noot onder Arbitragehof 8 oktober 2003), </w:t>
      </w:r>
      <w:r w:rsidRPr="00187999">
        <w:rPr>
          <w:i/>
          <w:iCs/>
        </w:rPr>
        <w:t>TJK</w:t>
      </w:r>
      <w:r w:rsidRPr="00187999">
        <w:t xml:space="preserve"> 2004, </w:t>
      </w:r>
      <w:r>
        <w:t xml:space="preserve">(39) </w:t>
      </w:r>
      <w:r w:rsidRPr="00187999">
        <w:t>40, nr 2;</w:t>
      </w:r>
      <w:r>
        <w:t xml:space="preserve"> </w:t>
      </w:r>
      <w:r>
        <w:rPr>
          <w:smallCaps/>
        </w:rPr>
        <w:t xml:space="preserve">G. SEGHERS </w:t>
      </w:r>
      <w:r>
        <w:t xml:space="preserve">en </w:t>
      </w:r>
      <w:r>
        <w:rPr>
          <w:smallCaps/>
        </w:rPr>
        <w:t xml:space="preserve">F. SWENNEN, </w:t>
      </w:r>
      <w:r>
        <w:t xml:space="preserve">“Meemoederschap zonder adoptie – de wet van 5 mei 2014 tot vaststelling van de afstamming van de meemoeder”, </w:t>
      </w:r>
      <w:r w:rsidRPr="006E5DD4">
        <w:rPr>
          <w:i/>
          <w:iCs/>
        </w:rPr>
        <w:t>TBBR</w:t>
      </w:r>
      <w:r>
        <w:t xml:space="preserve"> 2014, (480) 481, nr. 2;</w:t>
      </w:r>
      <w:r w:rsidRPr="00187999">
        <w:t xml:space="preserve">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rsidRPr="00187999">
        <w:t xml:space="preserve">en </w:t>
      </w:r>
      <w:r>
        <w:rPr>
          <w:smallCaps/>
        </w:rPr>
        <w:t>VERSCHELDEN</w:t>
      </w:r>
      <w:r w:rsidRPr="00187999">
        <w:rPr>
          <w:smallCaps/>
        </w:rPr>
        <w:t>, G.</w:t>
      </w:r>
      <w:r w:rsidRPr="00187999">
        <w:t xml:space="preserve"> (eds.), </w:t>
      </w:r>
      <w:r w:rsidRPr="00187999">
        <w:rPr>
          <w:i/>
          <w:iCs/>
        </w:rPr>
        <w:t>Ouders en kinderen</w:t>
      </w:r>
      <w:r w:rsidRPr="00187999">
        <w:t xml:space="preserve">, Antwerpen, Intersentia, 2013, </w:t>
      </w:r>
      <w:r>
        <w:t xml:space="preserve">(257) </w:t>
      </w:r>
      <w:r w:rsidRPr="00187999">
        <w:t xml:space="preserve">264 en 277-278, nr. 326 en 344; </w:t>
      </w:r>
      <w:r w:rsidRPr="00187999">
        <w:rPr>
          <w:smallCaps/>
        </w:rPr>
        <w:t xml:space="preserve">A. </w:t>
      </w:r>
      <w:r>
        <w:rPr>
          <w:smallCaps/>
        </w:rPr>
        <w:t>VANDEKERCKHOVE</w:t>
      </w:r>
      <w:r w:rsidRPr="00187999">
        <w:rPr>
          <w:smallCaps/>
        </w:rPr>
        <w:t>, “</w:t>
      </w:r>
      <w:r w:rsidRPr="00187999">
        <w:t xml:space="preserve">Zorgouderschap? Meerdere ouderschapsstatuten voor één kind?”, </w:t>
      </w:r>
      <w:r w:rsidRPr="00187999">
        <w:rPr>
          <w:i/>
          <w:iCs/>
        </w:rPr>
        <w:t>TJK</w:t>
      </w:r>
      <w:r w:rsidRPr="00187999">
        <w:t xml:space="preserve"> 2006, </w:t>
      </w:r>
      <w:r>
        <w:rPr>
          <w:color w:val="000000"/>
        </w:rPr>
        <w:t xml:space="preserve">(256) </w:t>
      </w:r>
      <w:r w:rsidRPr="00187999">
        <w:t xml:space="preserve">256-257; </w:t>
      </w:r>
      <w:r w:rsidRPr="00187999">
        <w:rPr>
          <w:smallCaps/>
        </w:rPr>
        <w:t xml:space="preserve">G. </w:t>
      </w:r>
      <w:r>
        <w:rPr>
          <w:smallCaps/>
        </w:rPr>
        <w:t>VERSCHELDEN</w:t>
      </w:r>
      <w:r w:rsidRPr="00187999">
        <w:rPr>
          <w:smallCaps/>
        </w:rPr>
        <w:t xml:space="preserve">, </w:t>
      </w:r>
      <w:r w:rsidRPr="00187999">
        <w:rPr>
          <w:i/>
          <w:iCs/>
        </w:rPr>
        <w:t>Handboek Belgisch familierecht,</w:t>
      </w:r>
      <w:r w:rsidRPr="00187999">
        <w:t xml:space="preserve"> Brugge, Die Keure, 2010, 10, nr. 17;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135</w:t>
      </w:r>
      <w:r w:rsidRPr="006E5DD4">
        <w:t>, nr. 136.</w:t>
      </w:r>
    </w:p>
  </w:footnote>
  <w:footnote w:id="218">
    <w:p w:rsidR="002A0E74" w:rsidRPr="00FA36ED" w:rsidRDefault="002A0E74" w:rsidP="004D5ACF">
      <w:pPr>
        <w:pStyle w:val="FootnoteText"/>
        <w:rPr>
          <w:lang w:val="fr-FR"/>
        </w:rPr>
      </w:pPr>
      <w:r w:rsidRPr="00721EE1">
        <w:rPr>
          <w:rStyle w:val="FootnoteReference"/>
        </w:rPr>
        <w:footnoteRef/>
      </w:r>
      <w:r w:rsidRPr="00DE7665">
        <w:rPr>
          <w:lang w:val="fr-FR"/>
        </w:rPr>
        <w:t xml:space="preserve"> </w:t>
      </w:r>
      <w:r w:rsidRPr="00376465">
        <w:rPr>
          <w:smallCaps/>
          <w:lang w:val="fr-BE"/>
        </w:rPr>
        <w:t xml:space="preserve">F. </w:t>
      </w:r>
      <w:r>
        <w:rPr>
          <w:smallCaps/>
          <w:lang w:val="fr-BE"/>
        </w:rPr>
        <w:t>GILLOT-DE VRIES</w:t>
      </w:r>
      <w:r w:rsidRPr="00376465">
        <w:rPr>
          <w:smallCaps/>
          <w:lang w:val="fr-BE"/>
        </w:rPr>
        <w:t xml:space="preserve"> </w:t>
      </w:r>
      <w:r w:rsidRPr="00376465">
        <w:rPr>
          <w:lang w:val="fr-BE"/>
        </w:rPr>
        <w:t xml:space="preserve">en C. </w:t>
      </w:r>
      <w:r>
        <w:rPr>
          <w:smallCaps/>
          <w:lang w:val="fr-BE"/>
        </w:rPr>
        <w:t>MOTTRIE</w:t>
      </w:r>
      <w:r w:rsidRPr="00376465">
        <w:rPr>
          <w:smallCaps/>
          <w:lang w:val="fr-BE"/>
        </w:rPr>
        <w:t xml:space="preserve">, </w:t>
      </w:r>
      <w:r w:rsidRPr="00376465">
        <w:rPr>
          <w:lang w:val="fr-BE"/>
        </w:rPr>
        <w:t xml:space="preserve">“Analyse conceptuelle des notions de parentalité et de filiation du point de vue psychologique” in </w:t>
      </w:r>
      <w:r>
        <w:rPr>
          <w:smallCaps/>
          <w:lang w:val="fr-BE"/>
        </w:rPr>
        <w:t>GALLUS, N</w:t>
      </w:r>
      <w:r w:rsidRPr="00376465">
        <w:rPr>
          <w:smallCaps/>
          <w:lang w:val="fr-BE"/>
        </w:rPr>
        <w:t>. (</w:t>
      </w:r>
      <w:r w:rsidRPr="00376465">
        <w:rPr>
          <w:lang w:val="fr-BE"/>
        </w:rPr>
        <w:t>ed.),</w:t>
      </w:r>
      <w:r w:rsidRPr="00376465">
        <w:rPr>
          <w:i/>
          <w:iCs/>
          <w:lang w:val="fr-BE"/>
        </w:rPr>
        <w:t xml:space="preserve"> Les recompositions familiales, </w:t>
      </w:r>
      <w:r w:rsidRPr="00376465">
        <w:rPr>
          <w:lang w:val="fr-BE"/>
        </w:rPr>
        <w:t xml:space="preserve">Limal, Anthemis, 2015, </w:t>
      </w:r>
      <w:r>
        <w:rPr>
          <w:lang w:val="fr-BE"/>
        </w:rPr>
        <w:t xml:space="preserve">(25) </w:t>
      </w:r>
      <w:r w:rsidRPr="00376465">
        <w:rPr>
          <w:lang w:val="fr-BE"/>
        </w:rPr>
        <w:t xml:space="preserve">37-38; </w:t>
      </w:r>
      <w:r>
        <w:rPr>
          <w:smallCaps/>
          <w:lang w:val="fr-BE"/>
        </w:rPr>
        <w:t>G. HIERNAUX</w:t>
      </w:r>
      <w:r w:rsidRPr="00376465">
        <w:rPr>
          <w:smallCaps/>
          <w:lang w:val="fr-BE"/>
        </w:rPr>
        <w:t xml:space="preserve">, </w:t>
      </w:r>
      <w:r w:rsidRPr="00376465">
        <w:rPr>
          <w:lang w:val="fr-BE"/>
        </w:rPr>
        <w:t>“</w:t>
      </w:r>
      <w:r>
        <w:rPr>
          <w:lang w:val="fr-BE"/>
        </w:rPr>
        <w:t>L’autorité parentale et le rôle des tiers</w:t>
      </w:r>
      <w:r w:rsidRPr="00376465">
        <w:rPr>
          <w:color w:val="000000"/>
          <w:lang w:val="fr-BE"/>
        </w:rPr>
        <w:t xml:space="preserve">” </w:t>
      </w:r>
      <w:r w:rsidRPr="00376465">
        <w:rPr>
          <w:lang w:val="fr-BE"/>
        </w:rPr>
        <w:t xml:space="preserve">in </w:t>
      </w:r>
      <w:r>
        <w:rPr>
          <w:smallCaps/>
          <w:lang w:val="fr-BE"/>
        </w:rPr>
        <w:t>GALLUS, N</w:t>
      </w:r>
      <w:r w:rsidRPr="00376465">
        <w:rPr>
          <w:smallCaps/>
          <w:lang w:val="fr-BE"/>
        </w:rPr>
        <w:t>. (</w:t>
      </w:r>
      <w:r w:rsidRPr="00376465">
        <w:rPr>
          <w:lang w:val="fr-BE"/>
        </w:rPr>
        <w:t>ed.),</w:t>
      </w:r>
      <w:r w:rsidRPr="00376465">
        <w:rPr>
          <w:i/>
          <w:iCs/>
          <w:lang w:val="fr-BE"/>
        </w:rPr>
        <w:t xml:space="preserve"> Les recompositions familiales, </w:t>
      </w:r>
      <w:r w:rsidRPr="00376465">
        <w:rPr>
          <w:lang w:val="fr-BE"/>
        </w:rPr>
        <w:t xml:space="preserve">Limal, Anthemis, 2015, </w:t>
      </w:r>
      <w:r>
        <w:rPr>
          <w:lang w:val="fr-BE"/>
        </w:rPr>
        <w:t>(75) 82</w:t>
      </w:r>
      <w:r w:rsidRPr="00FA36ED">
        <w:rPr>
          <w:lang w:val="fr-FR"/>
        </w:rPr>
        <w:t>.</w:t>
      </w:r>
    </w:p>
  </w:footnote>
  <w:footnote w:id="219">
    <w:p w:rsidR="002A0E74" w:rsidRPr="00A7468F" w:rsidRDefault="002A0E74" w:rsidP="00C265E5">
      <w:pPr>
        <w:autoSpaceDE w:val="0"/>
        <w:autoSpaceDN w:val="0"/>
        <w:adjustRightInd w:val="0"/>
        <w:rPr>
          <w:sz w:val="20"/>
          <w:szCs w:val="20"/>
        </w:rPr>
      </w:pPr>
      <w:r w:rsidRPr="00A7468F">
        <w:rPr>
          <w:rStyle w:val="FootnoteReference"/>
          <w:sz w:val="20"/>
          <w:szCs w:val="20"/>
        </w:rPr>
        <w:footnoteRef/>
      </w:r>
      <w:r w:rsidRPr="00A7468F">
        <w:rPr>
          <w:sz w:val="20"/>
          <w:szCs w:val="20"/>
        </w:rPr>
        <w:t xml:space="preserve">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 2; </w:t>
      </w:r>
      <w:r>
        <w:rPr>
          <w:smallCaps/>
          <w:sz w:val="20"/>
          <w:szCs w:val="20"/>
        </w:rPr>
        <w:t>M.V. ANTOKOLSKAIA, W.M</w:t>
      </w:r>
      <w:r w:rsidRPr="00A7468F">
        <w:rPr>
          <w:smallCaps/>
          <w:sz w:val="20"/>
          <w:szCs w:val="20"/>
        </w:rPr>
        <w:t>. SCHRAMA, K.R.S.D. BOELE-WOELKI, C.C.J.H</w:t>
      </w:r>
      <w:r>
        <w:rPr>
          <w:smallCaps/>
          <w:sz w:val="20"/>
          <w:szCs w:val="20"/>
        </w:rPr>
        <w:t>.</w:t>
      </w:r>
      <w:r w:rsidRPr="00A7468F">
        <w:rPr>
          <w:smallCaps/>
          <w:sz w:val="20"/>
          <w:szCs w:val="20"/>
        </w:rPr>
        <w:t xml:space="preserve"> BIJLEVELD, C.G. JEPPESEN DE BOER </w:t>
      </w:r>
      <w:r w:rsidRPr="00A7468F">
        <w:rPr>
          <w:sz w:val="20"/>
          <w:szCs w:val="20"/>
        </w:rPr>
        <w:t xml:space="preserve">en G. </w:t>
      </w:r>
      <w:r w:rsidRPr="00A7468F">
        <w:rPr>
          <w:smallCaps/>
          <w:sz w:val="20"/>
          <w:szCs w:val="20"/>
        </w:rPr>
        <w:t xml:space="preserve">VAN ROSSUM, </w:t>
      </w:r>
      <w:r w:rsidRPr="00A7468F">
        <w:rPr>
          <w:i/>
          <w:iCs/>
          <w:sz w:val="20"/>
          <w:szCs w:val="20"/>
        </w:rPr>
        <w:t>Meeroudergezag: een oplossing voor kinderen met meer dan twee ouders? Een empirisch en rechtsvergelijkend onderzoek.</w:t>
      </w:r>
      <w:r w:rsidRPr="00A7468F">
        <w:rPr>
          <w:sz w:val="20"/>
          <w:szCs w:val="20"/>
        </w:rPr>
        <w:t xml:space="preserve">, Den Haag, Boom Juridische uitgevers, 2014, 31; </w:t>
      </w:r>
      <w:r w:rsidRPr="00A7468F">
        <w:rPr>
          <w:smallCaps/>
          <w:sz w:val="20"/>
          <w:szCs w:val="20"/>
        </w:rPr>
        <w:t xml:space="preserve">M. VONK, </w:t>
      </w:r>
      <w:r w:rsidRPr="00A7468F">
        <w:rPr>
          <w:sz w:val="20"/>
          <w:szCs w:val="20"/>
        </w:rPr>
        <w:t xml:space="preserve">“Een huis voor alle kinderen. De juridische verankering van intentionele meeroudergezinnen in het afstammingsrecht.”, </w:t>
      </w:r>
      <w:r w:rsidRPr="00A7468F">
        <w:rPr>
          <w:i/>
          <w:iCs/>
          <w:sz w:val="20"/>
          <w:szCs w:val="20"/>
        </w:rPr>
        <w:t>Nederlands Juristenblad</w:t>
      </w:r>
      <w:r w:rsidRPr="00A7468F">
        <w:rPr>
          <w:sz w:val="20"/>
          <w:szCs w:val="20"/>
        </w:rPr>
        <w:t xml:space="preserve"> 2013, afl. 33, </w:t>
      </w:r>
      <w:r>
        <w:rPr>
          <w:sz w:val="20"/>
          <w:szCs w:val="20"/>
        </w:rPr>
        <w:t xml:space="preserve">(2244) </w:t>
      </w:r>
      <w:r w:rsidRPr="00A7468F">
        <w:rPr>
          <w:sz w:val="20"/>
          <w:szCs w:val="20"/>
        </w:rPr>
        <w:t>2244.</w:t>
      </w:r>
    </w:p>
  </w:footnote>
  <w:footnote w:id="220">
    <w:p w:rsidR="002A0E74" w:rsidRDefault="002A0E74">
      <w:pPr>
        <w:pStyle w:val="FootnoteText"/>
      </w:pPr>
      <w:r>
        <w:rPr>
          <w:rStyle w:val="FootnoteReference"/>
        </w:rPr>
        <w:footnoteRef/>
      </w:r>
      <w:r>
        <w:t xml:space="preserve"> </w:t>
      </w:r>
      <w:r w:rsidRPr="00A7468F">
        <w:t xml:space="preserve">Addendum op het verzoek tot het opstellen van een informatieverslag betreffende een onderzoek van de mogelijkheden voor een wettelijke regeling van meeouderschap, </w:t>
      </w:r>
      <w:r w:rsidRPr="00A7468F">
        <w:rPr>
          <w:i/>
          <w:iCs/>
        </w:rPr>
        <w:t>Parl.St.</w:t>
      </w:r>
      <w:r w:rsidRPr="00A7468F">
        <w:t xml:space="preserve"> Senaat 2015-16, nr. 6-98/3, 2-</w:t>
      </w:r>
      <w:r w:rsidRPr="00721EE1">
        <w:t>3</w:t>
      </w:r>
      <w:r>
        <w:t>.</w:t>
      </w:r>
    </w:p>
  </w:footnote>
  <w:footnote w:id="221">
    <w:p w:rsidR="002A0E74" w:rsidRDefault="002A0E74" w:rsidP="00C265E5">
      <w:pPr>
        <w:autoSpaceDE w:val="0"/>
        <w:autoSpaceDN w:val="0"/>
        <w:adjustRightInd w:val="0"/>
      </w:pPr>
      <w:r w:rsidRPr="00A7468F">
        <w:rPr>
          <w:rStyle w:val="FootnoteReference"/>
          <w:sz w:val="20"/>
          <w:szCs w:val="20"/>
        </w:rPr>
        <w:footnoteRef/>
      </w:r>
      <w:r w:rsidRPr="00A7468F">
        <w:rPr>
          <w:sz w:val="20"/>
          <w:szCs w:val="20"/>
        </w:rPr>
        <w:t xml:space="preserve">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 2-</w:t>
      </w:r>
      <w:r w:rsidRPr="00721EE1">
        <w:rPr>
          <w:sz w:val="20"/>
          <w:szCs w:val="20"/>
        </w:rPr>
        <w:t xml:space="preserve">3; </w:t>
      </w:r>
      <w:r w:rsidRPr="00721EE1">
        <w:rPr>
          <w:smallCaps/>
          <w:sz w:val="20"/>
          <w:szCs w:val="20"/>
        </w:rPr>
        <w:t xml:space="preserve">M.V. </w:t>
      </w:r>
      <w:r>
        <w:rPr>
          <w:smallCaps/>
          <w:sz w:val="20"/>
          <w:szCs w:val="20"/>
        </w:rPr>
        <w:t>ANTOKOLSKAIA</w:t>
      </w:r>
      <w:r w:rsidRPr="00721EE1">
        <w:rPr>
          <w:smallCaps/>
          <w:sz w:val="20"/>
          <w:szCs w:val="20"/>
        </w:rPr>
        <w:t xml:space="preserve">, W.M. </w:t>
      </w:r>
      <w:r>
        <w:rPr>
          <w:smallCaps/>
          <w:sz w:val="20"/>
          <w:szCs w:val="20"/>
        </w:rPr>
        <w:t>SCHRAMA</w:t>
      </w:r>
      <w:r w:rsidRPr="00721EE1">
        <w:rPr>
          <w:smallCaps/>
          <w:sz w:val="20"/>
          <w:szCs w:val="20"/>
        </w:rPr>
        <w:t xml:space="preserve">, K.R.S.D. </w:t>
      </w:r>
      <w:r>
        <w:rPr>
          <w:smallCaps/>
          <w:sz w:val="20"/>
          <w:szCs w:val="20"/>
        </w:rPr>
        <w:t>BOELE-WOELKI</w:t>
      </w:r>
      <w:r w:rsidRPr="00721EE1">
        <w:rPr>
          <w:smallCaps/>
          <w:sz w:val="20"/>
          <w:szCs w:val="20"/>
        </w:rPr>
        <w:t>, C.C.J.H</w:t>
      </w:r>
      <w:r>
        <w:rPr>
          <w:smallCaps/>
          <w:sz w:val="20"/>
          <w:szCs w:val="20"/>
        </w:rPr>
        <w:t>.</w:t>
      </w:r>
      <w:r w:rsidRPr="00721EE1">
        <w:rPr>
          <w:smallCaps/>
          <w:sz w:val="20"/>
          <w:szCs w:val="20"/>
        </w:rPr>
        <w:t xml:space="preserve"> </w:t>
      </w:r>
      <w:r>
        <w:rPr>
          <w:smallCaps/>
          <w:sz w:val="20"/>
          <w:szCs w:val="20"/>
        </w:rPr>
        <w:t>BIJLEVELD</w:t>
      </w:r>
      <w:r w:rsidRPr="00721EE1">
        <w:rPr>
          <w:smallCaps/>
          <w:sz w:val="20"/>
          <w:szCs w:val="20"/>
        </w:rPr>
        <w:t xml:space="preserve">, C.G. </w:t>
      </w:r>
      <w:r>
        <w:rPr>
          <w:smallCaps/>
          <w:sz w:val="20"/>
          <w:szCs w:val="20"/>
        </w:rPr>
        <w:t>JEPPESEN DE BOER</w:t>
      </w:r>
      <w:r w:rsidRPr="00721EE1">
        <w:rPr>
          <w:smallCaps/>
          <w:sz w:val="20"/>
          <w:szCs w:val="20"/>
        </w:rPr>
        <w:t xml:space="preserve"> </w:t>
      </w:r>
      <w:r w:rsidRPr="00721EE1">
        <w:rPr>
          <w:sz w:val="20"/>
          <w:szCs w:val="20"/>
        </w:rPr>
        <w:t xml:space="preserve">en G. </w:t>
      </w:r>
      <w:r>
        <w:rPr>
          <w:smallCaps/>
          <w:sz w:val="20"/>
          <w:szCs w:val="20"/>
        </w:rPr>
        <w:t>VAN ROSSUM</w:t>
      </w:r>
      <w:r w:rsidRPr="00721EE1">
        <w:rPr>
          <w:smallCaps/>
          <w:sz w:val="20"/>
          <w:szCs w:val="20"/>
        </w:rPr>
        <w:t xml:space="preserve">, </w:t>
      </w:r>
      <w:r w:rsidRPr="00721EE1">
        <w:rPr>
          <w:i/>
          <w:iCs/>
          <w:sz w:val="20"/>
          <w:szCs w:val="20"/>
        </w:rPr>
        <w:t>Meeroudergezag: een oplossing voor kinderen met meer dan twee ouders? Een empirisch en rechtsvergelijkend onderzoek.</w:t>
      </w:r>
      <w:r w:rsidRPr="00721EE1">
        <w:rPr>
          <w:sz w:val="20"/>
          <w:szCs w:val="20"/>
        </w:rPr>
        <w:t>, Den Haag, Boom Juridische uitgevers, 2014, 31.</w:t>
      </w:r>
    </w:p>
  </w:footnote>
  <w:footnote w:id="222">
    <w:p w:rsidR="002A0E74" w:rsidRPr="002370DF" w:rsidRDefault="002A0E74">
      <w:pPr>
        <w:pStyle w:val="FootnoteText"/>
      </w:pPr>
      <w:r>
        <w:rPr>
          <w:rStyle w:val="FootnoteReference"/>
        </w:rPr>
        <w:footnoteRef/>
      </w:r>
      <w:r>
        <w:t xml:space="preserve"> </w:t>
      </w:r>
      <w:r w:rsidRPr="00B31C91">
        <w:t xml:space="preserve">Voorstel van wet tot wijziging van de wetgeving betreffende de bescherming van het kind wat de invoering van het zorgouderschap betreft, </w:t>
      </w:r>
      <w:r>
        <w:rPr>
          <w:i/>
          <w:iCs/>
        </w:rPr>
        <w:t>Parl.</w:t>
      </w:r>
      <w:r w:rsidRPr="00B31C91">
        <w:rPr>
          <w:i/>
          <w:iCs/>
        </w:rPr>
        <w:t>St.</w:t>
      </w:r>
      <w:r w:rsidRPr="00B31C91">
        <w:t xml:space="preserve"> Kamer 2014, nr. 54-0114/001</w:t>
      </w:r>
      <w:r>
        <w:t>, 3.</w:t>
      </w:r>
    </w:p>
  </w:footnote>
  <w:footnote w:id="223">
    <w:p w:rsidR="002A0E74" w:rsidRDefault="002A0E74" w:rsidP="00365412">
      <w:r w:rsidRPr="00187999">
        <w:rPr>
          <w:rStyle w:val="FootnoteReference"/>
          <w:sz w:val="20"/>
          <w:szCs w:val="20"/>
        </w:rPr>
        <w:footnoteRef/>
      </w:r>
      <w:r w:rsidRPr="00376465">
        <w:rPr>
          <w:sz w:val="20"/>
          <w:szCs w:val="20"/>
        </w:rPr>
        <w:t xml:space="preserve"> </w:t>
      </w:r>
      <w:r w:rsidRPr="00376465">
        <w:rPr>
          <w:smallCaps/>
          <w:sz w:val="20"/>
          <w:szCs w:val="20"/>
        </w:rPr>
        <w:t xml:space="preserve">F. </w:t>
      </w:r>
      <w:r>
        <w:rPr>
          <w:smallCaps/>
          <w:sz w:val="20"/>
          <w:szCs w:val="20"/>
        </w:rPr>
        <w:t>GILLOT-DE VRIES</w:t>
      </w:r>
      <w:r w:rsidRPr="00376465">
        <w:rPr>
          <w:smallCaps/>
          <w:sz w:val="20"/>
          <w:szCs w:val="20"/>
        </w:rPr>
        <w:t xml:space="preserve"> </w:t>
      </w:r>
      <w:r w:rsidRPr="00376465">
        <w:rPr>
          <w:sz w:val="20"/>
          <w:szCs w:val="20"/>
        </w:rPr>
        <w:t xml:space="preserve">en C. </w:t>
      </w:r>
      <w:r>
        <w:rPr>
          <w:smallCaps/>
          <w:sz w:val="20"/>
          <w:szCs w:val="20"/>
        </w:rPr>
        <w:t>MOTTRIE</w:t>
      </w:r>
      <w:r w:rsidRPr="00376465">
        <w:rPr>
          <w:smallCaps/>
          <w:sz w:val="20"/>
          <w:szCs w:val="20"/>
        </w:rPr>
        <w:t xml:space="preserve">, </w:t>
      </w:r>
      <w:r w:rsidRPr="00376465">
        <w:rPr>
          <w:sz w:val="20"/>
          <w:szCs w:val="20"/>
        </w:rPr>
        <w:t xml:space="preserve">“Analyse conceptuelle des notions de parentalité et de filiation du point de vue psychologique” in </w:t>
      </w:r>
      <w:r>
        <w:rPr>
          <w:smallCaps/>
          <w:sz w:val="20"/>
          <w:szCs w:val="20"/>
        </w:rPr>
        <w:t>GALLUS, N</w:t>
      </w:r>
      <w:r w:rsidRPr="00376465">
        <w:rPr>
          <w:smallCaps/>
          <w:sz w:val="20"/>
          <w:szCs w:val="20"/>
        </w:rPr>
        <w:t>. (</w:t>
      </w:r>
      <w:r w:rsidRPr="00376465">
        <w:rPr>
          <w:sz w:val="20"/>
          <w:szCs w:val="20"/>
        </w:rPr>
        <w:t>ed.),</w:t>
      </w:r>
      <w:r w:rsidRPr="00376465">
        <w:rPr>
          <w:i/>
          <w:iCs/>
          <w:sz w:val="20"/>
          <w:szCs w:val="20"/>
        </w:rPr>
        <w:t xml:space="preserve"> Les recompositions familiales, </w:t>
      </w:r>
      <w:r w:rsidRPr="00376465">
        <w:rPr>
          <w:sz w:val="20"/>
          <w:szCs w:val="20"/>
        </w:rPr>
        <w:t xml:space="preserve">Limal, Anthemis, 2015, </w:t>
      </w:r>
      <w:r>
        <w:rPr>
          <w:sz w:val="20"/>
          <w:szCs w:val="20"/>
        </w:rPr>
        <w:t xml:space="preserve">(25) </w:t>
      </w:r>
      <w:r w:rsidRPr="00376465">
        <w:rPr>
          <w:sz w:val="20"/>
          <w:szCs w:val="20"/>
        </w:rPr>
        <w:t>37-38;</w:t>
      </w:r>
      <w:r w:rsidRPr="00376465">
        <w:t xml:space="preserve"> </w:t>
      </w:r>
      <w:r w:rsidRPr="00376465">
        <w:rPr>
          <w:smallCaps/>
          <w:sz w:val="20"/>
          <w:szCs w:val="20"/>
        </w:rPr>
        <w:t xml:space="preserve">A. </w:t>
      </w:r>
      <w:r>
        <w:rPr>
          <w:smallCaps/>
          <w:sz w:val="20"/>
          <w:szCs w:val="20"/>
        </w:rPr>
        <w:t>HUYGENS,</w:t>
      </w:r>
      <w:r w:rsidRPr="00187999">
        <w:rPr>
          <w:smallCaps/>
          <w:sz w:val="20"/>
          <w:szCs w:val="20"/>
        </w:rPr>
        <w:t xml:space="preserve"> </w:t>
      </w:r>
      <w:r w:rsidRPr="00187999">
        <w:rPr>
          <w:sz w:val="20"/>
          <w:szCs w:val="20"/>
        </w:rPr>
        <w:t xml:space="preserve">“Persoonlijk gezag over minderjarige kinderen: quo vadis?”, </w:t>
      </w:r>
      <w:r w:rsidRPr="00187999">
        <w:rPr>
          <w:i/>
          <w:iCs/>
          <w:sz w:val="20"/>
          <w:szCs w:val="20"/>
        </w:rPr>
        <w:t>TBBR</w:t>
      </w:r>
      <w:r w:rsidRPr="00187999">
        <w:rPr>
          <w:sz w:val="20"/>
          <w:szCs w:val="20"/>
        </w:rPr>
        <w:t xml:space="preserve"> 2006, afl. 10,</w:t>
      </w:r>
      <w:r>
        <w:rPr>
          <w:sz w:val="20"/>
          <w:szCs w:val="20"/>
        </w:rPr>
        <w:t xml:space="preserve"> (567)</w:t>
      </w:r>
      <w:r w:rsidRPr="00187999">
        <w:rPr>
          <w:sz w:val="20"/>
          <w:szCs w:val="20"/>
        </w:rPr>
        <w:t xml:space="preserve"> 567-568, nr</w:t>
      </w:r>
      <w:r w:rsidRPr="00187999">
        <w:rPr>
          <w:smallCaps/>
          <w:color w:val="000000"/>
          <w:sz w:val="20"/>
          <w:szCs w:val="20"/>
        </w:rPr>
        <w:t xml:space="preserve">. 1; </w:t>
      </w:r>
      <w:r>
        <w:rPr>
          <w:smallCaps/>
          <w:color w:val="000000"/>
          <w:sz w:val="20"/>
          <w:szCs w:val="20"/>
        </w:rPr>
        <w:t>KINDERRECHTENCOMMISSARIAAT</w:t>
      </w:r>
      <w:r w:rsidRPr="00187999">
        <w:rPr>
          <w:i/>
          <w:iCs/>
          <w:smallCaps/>
          <w:color w:val="000000"/>
          <w:sz w:val="20"/>
          <w:szCs w:val="20"/>
        </w:rPr>
        <w:t xml:space="preserve">, </w:t>
      </w:r>
      <w:r w:rsidRPr="00187999">
        <w:rPr>
          <w:i/>
          <w:iCs/>
          <w:color w:val="000000"/>
          <w:sz w:val="20"/>
          <w:szCs w:val="20"/>
        </w:rPr>
        <w:t>Kinderen &amp; scheiding</w:t>
      </w:r>
      <w:r w:rsidRPr="00187999">
        <w:rPr>
          <w:color w:val="000000"/>
          <w:sz w:val="20"/>
          <w:szCs w:val="20"/>
        </w:rPr>
        <w:t xml:space="preserve">, Brussel, </w:t>
      </w:r>
      <w:r w:rsidRPr="002515AE">
        <w:rPr>
          <w:color w:val="000000"/>
          <w:sz w:val="20"/>
          <w:szCs w:val="20"/>
        </w:rPr>
        <w:t>Kinderrechtencommissariaat,</w:t>
      </w:r>
      <w:r w:rsidRPr="00187999">
        <w:rPr>
          <w:color w:val="000000"/>
          <w:sz w:val="20"/>
          <w:szCs w:val="20"/>
        </w:rPr>
        <w:t xml:space="preserve"> 2006, 59-60.</w:t>
      </w:r>
    </w:p>
  </w:footnote>
  <w:footnote w:id="224">
    <w:p w:rsidR="002A0E74" w:rsidRDefault="002A0E74" w:rsidP="004773DE">
      <w:pPr>
        <w:pStyle w:val="FootnoteText"/>
      </w:pPr>
      <w:r w:rsidRPr="00187999">
        <w:rPr>
          <w:rStyle w:val="FootnoteReference"/>
        </w:rPr>
        <w:footnoteRef/>
      </w:r>
      <w:r w:rsidRPr="00187999">
        <w:t xml:space="preserve">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rsidRPr="00187999">
        <w:t xml:space="preserve"> 2006, afl. 10,</w:t>
      </w:r>
      <w:r>
        <w:t xml:space="preserve"> (567)</w:t>
      </w:r>
      <w:r w:rsidRPr="00187999">
        <w:t xml:space="preserve"> 567-568, nr</w:t>
      </w:r>
      <w:r w:rsidRPr="00187999">
        <w:rPr>
          <w:smallCaps/>
          <w:color w:val="000000"/>
        </w:rPr>
        <w:t xml:space="preserve">. 1; </w:t>
      </w:r>
      <w:r>
        <w:rPr>
          <w:smallCaps/>
          <w:color w:val="000000"/>
        </w:rPr>
        <w:t>KINDERRECHTENCOMMISSARIAAT</w:t>
      </w:r>
      <w:r w:rsidRPr="00187999">
        <w:rPr>
          <w:i/>
          <w:iCs/>
          <w:smallCaps/>
          <w:color w:val="000000"/>
        </w:rPr>
        <w:t xml:space="preserve">, </w:t>
      </w:r>
      <w:r w:rsidRPr="00187999">
        <w:rPr>
          <w:i/>
          <w:iCs/>
          <w:color w:val="000000"/>
        </w:rPr>
        <w:t>Kinderen &amp; scheiding</w:t>
      </w:r>
      <w:r w:rsidRPr="00187999">
        <w:rPr>
          <w:color w:val="000000"/>
        </w:rPr>
        <w:t xml:space="preserve">, Brussel, </w:t>
      </w:r>
      <w:r>
        <w:rPr>
          <w:color w:val="000000"/>
        </w:rPr>
        <w:t>Kinderrechtencommissariaat</w:t>
      </w:r>
      <w:r w:rsidRPr="00187999">
        <w:rPr>
          <w:color w:val="000000"/>
        </w:rPr>
        <w:t xml:space="preserve">, 2006, 59-60; </w:t>
      </w:r>
      <w:r w:rsidRPr="00187999">
        <w:rPr>
          <w:smallCaps/>
        </w:rPr>
        <w:t xml:space="preserve">A. </w:t>
      </w:r>
      <w:r>
        <w:rPr>
          <w:smallCaps/>
          <w:color w:val="000000"/>
        </w:rPr>
        <w:t>VANDEKERCKHOVE</w:t>
      </w:r>
      <w:r w:rsidRPr="00187999">
        <w:rPr>
          <w:smallCaps/>
          <w:color w:val="000000"/>
        </w:rPr>
        <w:t>, “</w:t>
      </w:r>
      <w:r w:rsidRPr="00187999">
        <w:rPr>
          <w:color w:val="000000"/>
        </w:rPr>
        <w:t xml:space="preserve">Zorgouderschap? Meerdere ouderschapsstatuten voor één kind?”, </w:t>
      </w:r>
      <w:r w:rsidRPr="00187999">
        <w:rPr>
          <w:i/>
          <w:iCs/>
          <w:color w:val="000000"/>
        </w:rPr>
        <w:t>TJK</w:t>
      </w:r>
      <w:r w:rsidRPr="00187999">
        <w:rPr>
          <w:color w:val="000000"/>
        </w:rPr>
        <w:t xml:space="preserve"> 2006,</w:t>
      </w:r>
      <w:r>
        <w:rPr>
          <w:color w:val="000000"/>
        </w:rPr>
        <w:t xml:space="preserve"> (256)</w:t>
      </w:r>
      <w:r w:rsidRPr="00187999">
        <w:rPr>
          <w:color w:val="000000"/>
        </w:rPr>
        <w:t xml:space="preserve"> 256-257; </w:t>
      </w:r>
      <w:r w:rsidRPr="00187999">
        <w:rPr>
          <w:smallCaps/>
          <w:color w:val="000000"/>
        </w:rPr>
        <w:t xml:space="preserve">G. </w:t>
      </w:r>
      <w:r>
        <w:rPr>
          <w:smallCaps/>
        </w:rPr>
        <w:t>VERSCHELDEN</w:t>
      </w:r>
      <w:r w:rsidRPr="00187999">
        <w:rPr>
          <w:smallCaps/>
        </w:rPr>
        <w:t xml:space="preserve">, </w:t>
      </w:r>
      <w:r w:rsidRPr="00187999">
        <w:rPr>
          <w:i/>
          <w:iCs/>
        </w:rPr>
        <w:t>Handboek Belgisch familierecht,</w:t>
      </w:r>
      <w:r w:rsidRPr="00187999">
        <w:t xml:space="preserve"> Brugge, Die Keure, 2010, 304-305, nr. 712; </w:t>
      </w:r>
      <w:r w:rsidRPr="00187999">
        <w:rPr>
          <w:smallCaps/>
        </w:rPr>
        <w:t>T.</w:t>
      </w:r>
      <w:r w:rsidRPr="00187999">
        <w:t xml:space="preserve"> </w:t>
      </w:r>
      <w:r>
        <w:rPr>
          <w:smallCaps/>
          <w:color w:val="000000"/>
        </w:rPr>
        <w:t>WUYTS</w:t>
      </w:r>
      <w:r w:rsidRPr="00187999">
        <w:rPr>
          <w:smallCaps/>
        </w:rPr>
        <w:t xml:space="preserve">, </w:t>
      </w:r>
      <w:r w:rsidRPr="00187999">
        <w:rPr>
          <w:i/>
          <w:iCs/>
        </w:rPr>
        <w:t>Naar een coherente gezagsregeling over minderjarigen</w:t>
      </w:r>
      <w:r w:rsidRPr="00187999">
        <w:t xml:space="preserve">, </w:t>
      </w:r>
      <w:r>
        <w:rPr>
          <w:iCs/>
        </w:rPr>
        <w:t>doctoraatsthesis Rechten KU Leuven, 2012</w:t>
      </w:r>
      <w:r w:rsidRPr="00187999">
        <w:t xml:space="preserve">, </w:t>
      </w:r>
      <w:r w:rsidRPr="00187999">
        <w:rPr>
          <w:color w:val="000000"/>
        </w:rPr>
        <w:t>353-354, nr. 551.</w:t>
      </w:r>
    </w:p>
  </w:footnote>
  <w:footnote w:id="225">
    <w:p w:rsidR="002A0E74" w:rsidRDefault="002A0E74" w:rsidP="004773DE">
      <w:pPr>
        <w:pStyle w:val="FootnoteText"/>
      </w:pPr>
      <w:r>
        <w:rPr>
          <w:rStyle w:val="FootnoteReference"/>
        </w:rPr>
        <w:footnoteRef/>
      </w:r>
      <w:r w:rsidRPr="00913099">
        <w:t xml:space="preserve"> </w:t>
      </w:r>
      <w:r w:rsidRPr="00187999">
        <w:rPr>
          <w:smallCaps/>
        </w:rPr>
        <w:t xml:space="preserve">A. </w:t>
      </w:r>
      <w:r>
        <w:rPr>
          <w:smallCaps/>
          <w:color w:val="000000"/>
        </w:rPr>
        <w:t>VANDEKERCKHOVE</w:t>
      </w:r>
      <w:r w:rsidRPr="00187999">
        <w:rPr>
          <w:smallCaps/>
          <w:color w:val="000000"/>
        </w:rPr>
        <w:t>, “</w:t>
      </w:r>
      <w:r w:rsidRPr="00187999">
        <w:rPr>
          <w:color w:val="000000"/>
        </w:rPr>
        <w:t xml:space="preserve">Zorgouderschap? Meerdere ouderschapsstatuten voor één kind?”, </w:t>
      </w:r>
      <w:r w:rsidRPr="00187999">
        <w:rPr>
          <w:i/>
          <w:iCs/>
          <w:color w:val="000000"/>
        </w:rPr>
        <w:t>TJK</w:t>
      </w:r>
      <w:r w:rsidRPr="00187999">
        <w:rPr>
          <w:color w:val="000000"/>
        </w:rPr>
        <w:t xml:space="preserve"> 2006, </w:t>
      </w:r>
      <w:r>
        <w:rPr>
          <w:color w:val="000000"/>
        </w:rPr>
        <w:t xml:space="preserve">(256) </w:t>
      </w:r>
      <w:r w:rsidRPr="00187999">
        <w:rPr>
          <w:color w:val="000000"/>
        </w:rPr>
        <w:t xml:space="preserve">256-257; </w:t>
      </w:r>
      <w:r w:rsidRPr="00187999">
        <w:rPr>
          <w:smallCaps/>
          <w:color w:val="000000"/>
        </w:rPr>
        <w:t xml:space="preserve">G. </w:t>
      </w:r>
      <w:r>
        <w:rPr>
          <w:smallCaps/>
        </w:rPr>
        <w:t>VERSCHELDEN</w:t>
      </w:r>
      <w:r w:rsidRPr="00187999">
        <w:rPr>
          <w:smallCaps/>
        </w:rPr>
        <w:t xml:space="preserve">, </w:t>
      </w:r>
      <w:r w:rsidRPr="00187999">
        <w:rPr>
          <w:i/>
          <w:iCs/>
        </w:rPr>
        <w:t>Handboek Belgisch familierecht,</w:t>
      </w:r>
      <w:r w:rsidRPr="00187999">
        <w:t xml:space="preserve"> Brugge, Die Keure, 2010, 10, nr. 17; </w:t>
      </w:r>
      <w:r>
        <w:rPr>
          <w:smallCaps/>
        </w:rPr>
        <w:t>T. WUYTS</w:t>
      </w:r>
      <w:r w:rsidRPr="00187999">
        <w:rPr>
          <w:smallCaps/>
        </w:rPr>
        <w:t>,</w:t>
      </w:r>
      <w:r w:rsidRPr="00187999">
        <w:t xml:space="preserve"> “Ouderlijk gezag moet op maat van het gezin georganiseerd kunnen worden”, </w:t>
      </w:r>
      <w:r w:rsidRPr="00187999">
        <w:rPr>
          <w:i/>
          <w:iCs/>
        </w:rPr>
        <w:t xml:space="preserve">TJK </w:t>
      </w:r>
      <w:r w:rsidRPr="00187999">
        <w:t>2014, afl. 1,</w:t>
      </w:r>
      <w:r>
        <w:t xml:space="preserve"> (6)</w:t>
      </w:r>
      <w:r w:rsidRPr="00187999">
        <w:t xml:space="preserve"> 8-10, nr. 3-5.</w:t>
      </w:r>
    </w:p>
  </w:footnote>
  <w:footnote w:id="226">
    <w:p w:rsidR="002A0E74" w:rsidRDefault="002A0E74">
      <w:pPr>
        <w:pStyle w:val="FootnoteText"/>
      </w:pPr>
      <w:r>
        <w:rPr>
          <w:rStyle w:val="FootnoteReference"/>
        </w:rPr>
        <w:footnoteRef/>
      </w:r>
      <w:r>
        <w:t xml:space="preserve"> </w:t>
      </w:r>
      <w:r w:rsidRPr="00187999">
        <w:rPr>
          <w:smallCaps/>
        </w:rPr>
        <w:t xml:space="preserve">H. </w:t>
      </w:r>
      <w:r>
        <w:rPr>
          <w:smallCaps/>
        </w:rPr>
        <w:t>CASMAN</w:t>
      </w:r>
      <w:r w:rsidRPr="00187999">
        <w:rPr>
          <w:smallCaps/>
        </w:rPr>
        <w:t>,</w:t>
      </w:r>
      <w:r>
        <w:rPr>
          <w:smallCaps/>
          <w:vanish/>
        </w:rPr>
        <w:t xml:space="preserve"> </w:t>
      </w:r>
      <w:r w:rsidRPr="00187999">
        <w:t xml:space="preserve">“Gehuwd, wettelijk of feitelijk samenwonend: wat maakt het uit? Gevolgen ten aanzien van de kinderen.” in </w:t>
      </w:r>
      <w:r>
        <w:rPr>
          <w:smallCaps/>
        </w:rPr>
        <w:t>FORDER</w:t>
      </w:r>
      <w:r w:rsidRPr="00187999">
        <w:rPr>
          <w:smallCaps/>
        </w:rPr>
        <w:t xml:space="preserve">, C. </w:t>
      </w:r>
      <w:r w:rsidRPr="00187999">
        <w:t xml:space="preserve">en </w:t>
      </w:r>
      <w:r>
        <w:rPr>
          <w:smallCaps/>
        </w:rPr>
        <w:t>VERBEKE</w:t>
      </w:r>
      <w:r w:rsidRPr="00187999">
        <w:rPr>
          <w:smallCaps/>
        </w:rPr>
        <w:t>, A. (</w:t>
      </w:r>
      <w:r w:rsidRPr="00187999">
        <w:t xml:space="preserve">eds.), </w:t>
      </w:r>
      <w:r w:rsidRPr="00187999">
        <w:rPr>
          <w:i/>
          <w:iCs/>
        </w:rPr>
        <w:t xml:space="preserve">Gehuwd of niet: maakt het iets uit?, </w:t>
      </w:r>
      <w:r w:rsidRPr="00187999">
        <w:t>Antwerpe</w:t>
      </w:r>
      <w:r>
        <w:t xml:space="preserve">n-Groningen, Intersentia, 2005, (231) </w:t>
      </w:r>
      <w:r w:rsidRPr="00187999">
        <w:t>2</w:t>
      </w:r>
      <w:r>
        <w:t>47, nr. 60</w:t>
      </w:r>
      <w:r w:rsidRPr="00187999">
        <w:t xml:space="preserve">; </w:t>
      </w:r>
      <w:r w:rsidRPr="00187999">
        <w:rPr>
          <w:smallCaps/>
        </w:rPr>
        <w:t xml:space="preserve">H. </w:t>
      </w:r>
      <w:r>
        <w:rPr>
          <w:smallCaps/>
        </w:rPr>
        <w:t>CASMAN,</w:t>
      </w:r>
      <w:r w:rsidRPr="00187999">
        <w:rPr>
          <w:smallCaps/>
        </w:rPr>
        <w:t xml:space="preserve"> “</w:t>
      </w:r>
      <w:r w:rsidRPr="00187999">
        <w:t xml:space="preserve">Actueel Belgisch afstammingsrecht in vogelvlucht.”, </w:t>
      </w:r>
      <w:r w:rsidRPr="00187999">
        <w:rPr>
          <w:i/>
          <w:iCs/>
        </w:rPr>
        <w:t>Not.Fisc.M.</w:t>
      </w:r>
      <w:r w:rsidRPr="00187999">
        <w:t xml:space="preserve"> 2008, afl. 4, </w:t>
      </w:r>
      <w:r>
        <w:t xml:space="preserve">(119) </w:t>
      </w:r>
      <w:r w:rsidRPr="00187999">
        <w:t xml:space="preserve">121; </w:t>
      </w:r>
      <w:r w:rsidRPr="00376465">
        <w:rPr>
          <w:smallCaps/>
        </w:rPr>
        <w:t xml:space="preserve">F. </w:t>
      </w:r>
      <w:r>
        <w:rPr>
          <w:smallCaps/>
        </w:rPr>
        <w:t>GILLOT-DE VRIES</w:t>
      </w:r>
      <w:r w:rsidRPr="00376465">
        <w:rPr>
          <w:smallCaps/>
        </w:rPr>
        <w:t xml:space="preserve"> </w:t>
      </w:r>
      <w:r w:rsidRPr="00376465">
        <w:t xml:space="preserve">en C. </w:t>
      </w:r>
      <w:r>
        <w:rPr>
          <w:smallCaps/>
        </w:rPr>
        <w:t>MOTTRIE</w:t>
      </w:r>
      <w:r w:rsidRPr="00376465">
        <w:rPr>
          <w:smallCaps/>
        </w:rPr>
        <w:t xml:space="preserve">, </w:t>
      </w:r>
      <w:r w:rsidRPr="00376465">
        <w:t xml:space="preserve">“Analyse conceptuelle des notions de parentalité et de filiation du point de vue psychologique” in </w:t>
      </w:r>
      <w:r>
        <w:rPr>
          <w:smallCaps/>
        </w:rPr>
        <w:t>GALLUS, N</w:t>
      </w:r>
      <w:r w:rsidRPr="00376465">
        <w:rPr>
          <w:smallCaps/>
        </w:rPr>
        <w:t>. (</w:t>
      </w:r>
      <w:r w:rsidRPr="00376465">
        <w:t>ed.),</w:t>
      </w:r>
      <w:r w:rsidRPr="00376465">
        <w:rPr>
          <w:i/>
          <w:iCs/>
        </w:rPr>
        <w:t xml:space="preserve"> Les recompositions familiales, </w:t>
      </w:r>
      <w:r w:rsidRPr="00376465">
        <w:t xml:space="preserve">Limal, Anthemis, 2015, </w:t>
      </w:r>
      <w:r>
        <w:t xml:space="preserve">(25) 29; </w:t>
      </w:r>
      <w:r w:rsidRPr="00376465">
        <w:rPr>
          <w:smallCaps/>
        </w:rPr>
        <w:t xml:space="preserve">G. </w:t>
      </w:r>
      <w:r>
        <w:rPr>
          <w:smallCaps/>
        </w:rPr>
        <w:t>HIERNAUX</w:t>
      </w:r>
      <w:r w:rsidRPr="00376465">
        <w:rPr>
          <w:smallCaps/>
        </w:rPr>
        <w:t xml:space="preserve">, </w:t>
      </w:r>
      <w:r w:rsidRPr="00376465">
        <w:t>“L’autorité parentale et le rôle des tiers</w:t>
      </w:r>
      <w:r w:rsidRPr="00376465">
        <w:rPr>
          <w:color w:val="000000"/>
        </w:rPr>
        <w:t xml:space="preserve">” </w:t>
      </w:r>
      <w:r w:rsidRPr="00376465">
        <w:t xml:space="preserve">in </w:t>
      </w:r>
      <w:r>
        <w:rPr>
          <w:smallCaps/>
        </w:rPr>
        <w:t>GALLUS, N</w:t>
      </w:r>
      <w:r w:rsidRPr="00376465">
        <w:rPr>
          <w:smallCaps/>
        </w:rPr>
        <w:t>. (</w:t>
      </w:r>
      <w:r w:rsidRPr="00376465">
        <w:t>ed.),</w:t>
      </w:r>
      <w:r w:rsidRPr="00376465">
        <w:rPr>
          <w:i/>
          <w:iCs/>
        </w:rPr>
        <w:t xml:space="preserve"> Les recompositions familiales, </w:t>
      </w:r>
      <w:r w:rsidRPr="00376465">
        <w:t xml:space="preserve">Limal, Anthemis, 2015, </w:t>
      </w:r>
      <w:r>
        <w:t xml:space="preserve">(75) 96; </w:t>
      </w:r>
      <w:r w:rsidRPr="00187999">
        <w:rPr>
          <w:smallCaps/>
        </w:rPr>
        <w:t xml:space="preserve">A. </w:t>
      </w:r>
      <w:r>
        <w:rPr>
          <w:smallCaps/>
        </w:rPr>
        <w:t xml:space="preserve">HUYGENS, </w:t>
      </w:r>
      <w:r w:rsidRPr="00187999">
        <w:t xml:space="preserve">“Persoonlijk gezag over minderjarige kinderen: quo vadis?”, </w:t>
      </w:r>
      <w:r w:rsidRPr="00187999">
        <w:rPr>
          <w:i/>
          <w:iCs/>
        </w:rPr>
        <w:t>TBBR</w:t>
      </w:r>
      <w:r w:rsidRPr="00187999">
        <w:t xml:space="preserve"> 2006, afl. 10, </w:t>
      </w:r>
      <w:r>
        <w:t>(567)</w:t>
      </w:r>
      <w:r w:rsidRPr="00187999">
        <w:t xml:space="preserve"> 567, nr. 1; </w:t>
      </w:r>
      <w:r>
        <w:rPr>
          <w:smallCaps/>
        </w:rPr>
        <w:t>KINDERRECHTENCOMMISSARIAAT</w:t>
      </w:r>
      <w:r w:rsidRPr="00187999">
        <w:rPr>
          <w:i/>
          <w:iCs/>
          <w:smallCaps/>
        </w:rPr>
        <w:t xml:space="preserve">, </w:t>
      </w:r>
      <w:r w:rsidRPr="00187999">
        <w:rPr>
          <w:i/>
          <w:iCs/>
        </w:rPr>
        <w:t>Kinderen &amp; scheiding</w:t>
      </w:r>
      <w:r w:rsidRPr="00187999">
        <w:t xml:space="preserve">, Brussel, </w:t>
      </w:r>
      <w:r>
        <w:rPr>
          <w:color w:val="000000"/>
        </w:rPr>
        <w:t>Kinderrechtencommissariaat</w:t>
      </w:r>
      <w:r w:rsidRPr="00187999">
        <w:t xml:space="preserve">, 2006, 59-60; </w:t>
      </w:r>
      <w:r w:rsidRPr="00187999">
        <w:rPr>
          <w:smallCaps/>
        </w:rPr>
        <w:t xml:space="preserve">T. </w:t>
      </w:r>
      <w:r>
        <w:rPr>
          <w:smallCaps/>
        </w:rPr>
        <w:t>ROBERT</w:t>
      </w:r>
      <w:r w:rsidRPr="00187999">
        <w:rPr>
          <w:smallCaps/>
        </w:rPr>
        <w:t xml:space="preserve">, </w:t>
      </w:r>
      <w:r w:rsidRPr="00187999">
        <w:t xml:space="preserve">“Naar een afstammingsloos gezag?” (noot onder Arbitragehof 8 oktober 2003), </w:t>
      </w:r>
      <w:r w:rsidRPr="00187999">
        <w:rPr>
          <w:i/>
          <w:iCs/>
        </w:rPr>
        <w:t>TJK</w:t>
      </w:r>
      <w:r w:rsidRPr="00187999">
        <w:t xml:space="preserve"> 2004, </w:t>
      </w:r>
      <w:r>
        <w:t xml:space="preserve">(39) </w:t>
      </w:r>
      <w:r w:rsidRPr="00187999">
        <w:t>40, nr</w:t>
      </w:r>
      <w:r>
        <w:t>.</w:t>
      </w:r>
      <w:r w:rsidRPr="00187999">
        <w:t xml:space="preserve"> 2; </w:t>
      </w:r>
      <w:r w:rsidRPr="00187999">
        <w:rPr>
          <w:smallCaps/>
        </w:rPr>
        <w:t xml:space="preserve">F. </w:t>
      </w:r>
      <w:r>
        <w:rPr>
          <w:smallCaps/>
        </w:rPr>
        <w:t>SWENNEN</w:t>
      </w:r>
      <w:r w:rsidRPr="00187999">
        <w:rPr>
          <w:smallCaps/>
        </w:rPr>
        <w:t xml:space="preserve">, </w:t>
      </w:r>
      <w:r w:rsidRPr="00187999">
        <w:t xml:space="preserve">“Rechten van niet-ouders met betrekking tot minderjarigen” in </w:t>
      </w:r>
      <w:r>
        <w:rPr>
          <w:smallCaps/>
        </w:rPr>
        <w:t>SENAEVE</w:t>
      </w:r>
      <w:r w:rsidRPr="00187999">
        <w:rPr>
          <w:smallCaps/>
        </w:rPr>
        <w:t xml:space="preserve">, P., </w:t>
      </w:r>
      <w:r>
        <w:rPr>
          <w:smallCaps/>
        </w:rPr>
        <w:t>SWENNEN</w:t>
      </w:r>
      <w:r w:rsidRPr="00187999">
        <w:rPr>
          <w:smallCaps/>
        </w:rPr>
        <w:t xml:space="preserve">, F. </w:t>
      </w:r>
      <w:r>
        <w:t>en</w:t>
      </w:r>
      <w:r w:rsidRPr="00187999">
        <w:rPr>
          <w:smallCaps/>
        </w:rPr>
        <w:t xml:space="preserve"> </w:t>
      </w:r>
      <w:r>
        <w:rPr>
          <w:smallCaps/>
        </w:rPr>
        <w:t>VERSCHELDEN</w:t>
      </w:r>
      <w:r w:rsidRPr="00187999">
        <w:rPr>
          <w:smallCaps/>
        </w:rPr>
        <w:t>, G.</w:t>
      </w:r>
      <w:r w:rsidRPr="00187999">
        <w:t xml:space="preserve"> (eds.), </w:t>
      </w:r>
      <w:r w:rsidRPr="00187999">
        <w:rPr>
          <w:i/>
          <w:iCs/>
        </w:rPr>
        <w:t>Ouders en kinderen</w:t>
      </w:r>
      <w:r w:rsidRPr="00187999">
        <w:t xml:space="preserve">, Antwerpen, Intersentia, 2013, </w:t>
      </w:r>
      <w:r>
        <w:t xml:space="preserve">(257) </w:t>
      </w:r>
      <w:r w:rsidRPr="00187999">
        <w:t xml:space="preserve">264 en 277-278, nr. 326 en 344; </w:t>
      </w:r>
      <w:r w:rsidRPr="00187999">
        <w:rPr>
          <w:smallCaps/>
        </w:rPr>
        <w:t xml:space="preserve">A. </w:t>
      </w:r>
      <w:r>
        <w:rPr>
          <w:smallCaps/>
        </w:rPr>
        <w:t>VANDEKERCKHOVE</w:t>
      </w:r>
      <w:r w:rsidRPr="00187999">
        <w:rPr>
          <w:smallCaps/>
        </w:rPr>
        <w:t>, “</w:t>
      </w:r>
      <w:r w:rsidRPr="00187999">
        <w:t xml:space="preserve">Zorgouderschap? Meerdere ouderschapsstatuten voor één kind?”, </w:t>
      </w:r>
      <w:r w:rsidRPr="00187999">
        <w:rPr>
          <w:i/>
          <w:iCs/>
        </w:rPr>
        <w:t>TJK</w:t>
      </w:r>
      <w:r w:rsidRPr="00187999">
        <w:t xml:space="preserve"> 2006, </w:t>
      </w:r>
      <w:r>
        <w:rPr>
          <w:color w:val="000000"/>
        </w:rPr>
        <w:t xml:space="preserve">(256) </w:t>
      </w:r>
      <w:r w:rsidRPr="00187999">
        <w:t xml:space="preserve">256-257; </w:t>
      </w:r>
      <w:r w:rsidRPr="00187999">
        <w:rPr>
          <w:smallCaps/>
        </w:rPr>
        <w:t xml:space="preserve">G. </w:t>
      </w:r>
      <w:r>
        <w:rPr>
          <w:smallCaps/>
        </w:rPr>
        <w:t>VERSCHELDEN</w:t>
      </w:r>
      <w:r w:rsidRPr="00187999">
        <w:rPr>
          <w:smallCaps/>
        </w:rPr>
        <w:t xml:space="preserve">, </w:t>
      </w:r>
      <w:r w:rsidRPr="00187999">
        <w:rPr>
          <w:i/>
          <w:iCs/>
        </w:rPr>
        <w:t>Handboek Belgisch familierecht,</w:t>
      </w:r>
      <w:r w:rsidRPr="00187999">
        <w:t xml:space="preserve"> Brugge, Die Keure, 2010, 10, nr. 17.</w:t>
      </w:r>
    </w:p>
  </w:footnote>
  <w:footnote w:id="227">
    <w:p w:rsidR="002A0E74" w:rsidRPr="00AA2640" w:rsidRDefault="002A0E74" w:rsidP="004773DE">
      <w:pPr>
        <w:rPr>
          <w:sz w:val="20"/>
          <w:szCs w:val="20"/>
        </w:rPr>
      </w:pPr>
      <w:r w:rsidRPr="00AA2640">
        <w:rPr>
          <w:rStyle w:val="FootnoteReference"/>
          <w:sz w:val="20"/>
          <w:szCs w:val="20"/>
        </w:rPr>
        <w:footnoteRef/>
      </w:r>
      <w:r w:rsidRPr="00AA2640">
        <w:rPr>
          <w:sz w:val="20"/>
          <w:szCs w:val="20"/>
        </w:rPr>
        <w:t xml:space="preserve"> </w:t>
      </w:r>
      <w:r w:rsidRPr="00AA2640">
        <w:rPr>
          <w:smallCaps/>
          <w:color w:val="000000"/>
          <w:sz w:val="20"/>
          <w:szCs w:val="20"/>
        </w:rPr>
        <w:t xml:space="preserve">F. </w:t>
      </w:r>
      <w:r w:rsidRPr="00AA2640">
        <w:rPr>
          <w:smallCaps/>
          <w:sz w:val="20"/>
          <w:szCs w:val="20"/>
        </w:rPr>
        <w:t xml:space="preserve">SWENNEN, </w:t>
      </w:r>
      <w:r w:rsidRPr="00AA2640">
        <w:rPr>
          <w:sz w:val="20"/>
          <w:szCs w:val="20"/>
        </w:rPr>
        <w:t xml:space="preserve">“Rechten van niet-ouders met betrekking tot minderjarigen” in </w:t>
      </w:r>
      <w:r w:rsidRPr="00AA2640">
        <w:rPr>
          <w:smallCaps/>
          <w:sz w:val="20"/>
          <w:szCs w:val="20"/>
        </w:rPr>
        <w:t xml:space="preserve">SENAEVE, P., SWENNEN, F. </w:t>
      </w:r>
      <w:r>
        <w:rPr>
          <w:sz w:val="20"/>
          <w:szCs w:val="20"/>
        </w:rPr>
        <w:t xml:space="preserve">en </w:t>
      </w:r>
      <w:r w:rsidRPr="00AA2640">
        <w:rPr>
          <w:smallCaps/>
          <w:sz w:val="20"/>
          <w:szCs w:val="20"/>
        </w:rPr>
        <w:t>VERSCHELDEN, G.</w:t>
      </w:r>
      <w:r w:rsidRPr="00AA2640">
        <w:rPr>
          <w:sz w:val="20"/>
          <w:szCs w:val="20"/>
        </w:rPr>
        <w:t xml:space="preserve"> (eds.), </w:t>
      </w:r>
      <w:r w:rsidRPr="00AA2640">
        <w:rPr>
          <w:i/>
          <w:iCs/>
          <w:sz w:val="20"/>
          <w:szCs w:val="20"/>
        </w:rPr>
        <w:t>Ouders en kinderen</w:t>
      </w:r>
      <w:r w:rsidRPr="00AA2640">
        <w:rPr>
          <w:sz w:val="20"/>
          <w:szCs w:val="20"/>
        </w:rPr>
        <w:t xml:space="preserve">, Antwerpen, Intersentia, 2013, </w:t>
      </w:r>
      <w:r>
        <w:rPr>
          <w:sz w:val="20"/>
          <w:szCs w:val="20"/>
        </w:rPr>
        <w:t xml:space="preserve">(257) </w:t>
      </w:r>
      <w:r w:rsidRPr="00AA2640">
        <w:rPr>
          <w:sz w:val="20"/>
          <w:szCs w:val="20"/>
        </w:rPr>
        <w:t xml:space="preserve">264, nr. 326; </w:t>
      </w:r>
      <w:r w:rsidRPr="00AA2640">
        <w:rPr>
          <w:smallCaps/>
          <w:sz w:val="20"/>
          <w:szCs w:val="20"/>
        </w:rPr>
        <w:t>T. WUYTS,</w:t>
      </w:r>
      <w:r w:rsidRPr="00AA2640">
        <w:rPr>
          <w:sz w:val="20"/>
          <w:szCs w:val="20"/>
        </w:rPr>
        <w:t xml:space="preserve"> “Ouderlijk gezag moet op maat van het gezin georganiseerd kunnen worden”, </w:t>
      </w:r>
      <w:r w:rsidRPr="00AA2640">
        <w:rPr>
          <w:i/>
          <w:iCs/>
          <w:sz w:val="20"/>
          <w:szCs w:val="20"/>
        </w:rPr>
        <w:t xml:space="preserve">TJK </w:t>
      </w:r>
      <w:r w:rsidRPr="00AA2640">
        <w:rPr>
          <w:sz w:val="20"/>
          <w:szCs w:val="20"/>
        </w:rPr>
        <w:t>2014, afl. 1, (6) 8, nr. 3.</w:t>
      </w:r>
    </w:p>
  </w:footnote>
  <w:footnote w:id="228">
    <w:p w:rsidR="002A0E74" w:rsidRPr="000822F9" w:rsidRDefault="002A0E74" w:rsidP="00207085">
      <w:pPr>
        <w:pStyle w:val="FootnoteText"/>
      </w:pPr>
      <w:r w:rsidRPr="000822F9">
        <w:rPr>
          <w:rStyle w:val="FootnoteReference"/>
        </w:rPr>
        <w:footnoteRef/>
      </w:r>
      <w:r w:rsidRPr="000822F9">
        <w:rPr>
          <w:smallCaps/>
        </w:rPr>
        <w:t xml:space="preserve"> </w:t>
      </w:r>
      <w:r w:rsidRPr="000822F9">
        <w:rPr>
          <w:smallCaps/>
        </w:rPr>
        <w:t>P.</w:t>
      </w:r>
      <w:r w:rsidRPr="000822F9">
        <w:rPr>
          <w:color w:val="000000"/>
        </w:rPr>
        <w:t xml:space="preserve"> </w:t>
      </w:r>
      <w:r w:rsidRPr="000822F9">
        <w:rPr>
          <w:smallCaps/>
          <w:color w:val="000000"/>
        </w:rPr>
        <w:t xml:space="preserve">SENAEVE, </w:t>
      </w:r>
      <w:r w:rsidRPr="000822F9">
        <w:rPr>
          <w:i/>
          <w:iCs/>
          <w:color w:val="000000"/>
        </w:rPr>
        <w:t>Compendium van het Personen- en Familierecht</w:t>
      </w:r>
      <w:r w:rsidRPr="000822F9">
        <w:rPr>
          <w:color w:val="000000"/>
        </w:rPr>
        <w:t xml:space="preserve">, Leuven, Acco, 2015, 336, nr. 1070; </w:t>
      </w:r>
      <w:r w:rsidRPr="000822F9">
        <w:rPr>
          <w:smallCaps/>
          <w:color w:val="000000"/>
        </w:rPr>
        <w:t xml:space="preserve">F. </w:t>
      </w:r>
      <w:r w:rsidRPr="000822F9">
        <w:rPr>
          <w:smallCaps/>
        </w:rPr>
        <w:t xml:space="preserve">SWENNEN, </w:t>
      </w:r>
      <w:r w:rsidRPr="000822F9">
        <w:t xml:space="preserve">“Rechten van niet-ouders met betrekking tot minderjarigen” in </w:t>
      </w:r>
      <w:r w:rsidRPr="000822F9">
        <w:rPr>
          <w:smallCaps/>
        </w:rPr>
        <w:t xml:space="preserve">SENAEVE, P., SWENNEN, F. </w:t>
      </w:r>
      <w:r w:rsidRPr="000822F9">
        <w:t xml:space="preserve">en </w:t>
      </w:r>
      <w:r w:rsidRPr="000822F9">
        <w:rPr>
          <w:smallCaps/>
        </w:rPr>
        <w:t>VERSCHELDEN, G.</w:t>
      </w:r>
      <w:r w:rsidRPr="000822F9">
        <w:t xml:space="preserve"> (eds.), </w:t>
      </w:r>
      <w:r w:rsidRPr="000822F9">
        <w:rPr>
          <w:i/>
          <w:iCs/>
        </w:rPr>
        <w:t>Ouders en kinderen</w:t>
      </w:r>
      <w:r w:rsidRPr="000822F9">
        <w:t xml:space="preserve">, Antwerpen, Intersentia, 2013, </w:t>
      </w:r>
      <w:r>
        <w:t xml:space="preserve">(257) </w:t>
      </w:r>
      <w:r w:rsidRPr="000822F9">
        <w:t xml:space="preserve">264, nr. 326; </w:t>
      </w:r>
      <w:r w:rsidRPr="000822F9">
        <w:rPr>
          <w:smallCaps/>
        </w:rPr>
        <w:t>T. WUYTS, “</w:t>
      </w:r>
      <w:r w:rsidRPr="000822F9">
        <w:t xml:space="preserve">De rechtspositie van meemoeders en hun kinderen” in </w:t>
      </w:r>
      <w:r w:rsidRPr="000822F9">
        <w:rPr>
          <w:smallCaps/>
        </w:rPr>
        <w:t xml:space="preserve">SENAEVE, P., SWENNEN, F. </w:t>
      </w:r>
      <w:r w:rsidRPr="000822F9">
        <w:t xml:space="preserve">en </w:t>
      </w:r>
      <w:r w:rsidRPr="000822F9">
        <w:rPr>
          <w:smallCaps/>
        </w:rPr>
        <w:t>VERSCHELDEN, G.</w:t>
      </w:r>
      <w:r w:rsidRPr="000822F9">
        <w:t xml:space="preserve"> (eds.), </w:t>
      </w:r>
      <w:r w:rsidRPr="000822F9">
        <w:rPr>
          <w:i/>
          <w:iCs/>
        </w:rPr>
        <w:t>Ouders en kinderen</w:t>
      </w:r>
      <w:r w:rsidRPr="000822F9">
        <w:t xml:space="preserve">, Antwerpen, Intersentia, 2013, </w:t>
      </w:r>
      <w:r>
        <w:t xml:space="preserve">(71) </w:t>
      </w:r>
      <w:r w:rsidRPr="000822F9">
        <w:t>119, nr. 135.</w:t>
      </w:r>
    </w:p>
  </w:footnote>
  <w:footnote w:id="229">
    <w:p w:rsidR="002A0E74" w:rsidRPr="00AA2640" w:rsidRDefault="002A0E74">
      <w:pPr>
        <w:pStyle w:val="FootnoteText"/>
      </w:pPr>
      <w:r w:rsidRPr="00AA2640">
        <w:rPr>
          <w:rStyle w:val="FootnoteReference"/>
        </w:rPr>
        <w:footnoteRef/>
      </w:r>
      <w:r w:rsidRPr="00AA2640">
        <w:t xml:space="preserve"> </w:t>
      </w:r>
      <w:r w:rsidRPr="00AA2640">
        <w:t xml:space="preserve">Voorstel van wet tot wijziging van de wetgeving betreffende de bescherming van het kind wat de invoering van het zorgouderschap betreft, </w:t>
      </w:r>
      <w:r w:rsidRPr="00AA2640">
        <w:rPr>
          <w:i/>
          <w:iCs/>
        </w:rPr>
        <w:t>Parl.St</w:t>
      </w:r>
      <w:r w:rsidRPr="00AA2640">
        <w:t>. Kamer 2014, nr. 54-0114/001, 4.</w:t>
      </w:r>
    </w:p>
  </w:footnote>
  <w:footnote w:id="230">
    <w:p w:rsidR="002A0E74" w:rsidRPr="00AA2640" w:rsidRDefault="002A0E74" w:rsidP="005E2576">
      <w:pPr>
        <w:pStyle w:val="FootnoteText"/>
      </w:pPr>
      <w:r w:rsidRPr="00AA2640">
        <w:rPr>
          <w:rStyle w:val="FootnoteReference"/>
        </w:rPr>
        <w:footnoteRef/>
      </w:r>
      <w:r w:rsidRPr="00AA2640">
        <w:t xml:space="preserve"> </w:t>
      </w:r>
      <w:r w:rsidRPr="00AA2640">
        <w:t xml:space="preserve">Voorstel van wet tot wijziging van de wetgeving betreffende de bescherming van het kind wat de invoering van het zorgouderschap betreft, </w:t>
      </w:r>
      <w:r w:rsidRPr="00AA2640">
        <w:rPr>
          <w:i/>
          <w:iCs/>
        </w:rPr>
        <w:t>Parl.St</w:t>
      </w:r>
      <w:r w:rsidRPr="00AA2640">
        <w:t>. Kamer 2014, nr. 54-0114/001, 4.</w:t>
      </w:r>
    </w:p>
  </w:footnote>
  <w:footnote w:id="231">
    <w:p w:rsidR="002A0E74" w:rsidRPr="00AA2640" w:rsidRDefault="002A0E74" w:rsidP="004773DE">
      <w:pPr>
        <w:pStyle w:val="FootnoteText"/>
      </w:pPr>
      <w:r w:rsidRPr="00AA2640">
        <w:rPr>
          <w:rStyle w:val="FootnoteReference"/>
        </w:rPr>
        <w:footnoteRef/>
      </w:r>
      <w:r w:rsidRPr="00AA2640">
        <w:t xml:space="preserve"> </w:t>
      </w:r>
      <w:r w:rsidRPr="00AA2640">
        <w:rPr>
          <w:smallCaps/>
        </w:rPr>
        <w:t xml:space="preserve">A. HUYGENS, </w:t>
      </w:r>
      <w:r w:rsidRPr="00AA2640">
        <w:t xml:space="preserve">“Persoonlijk gezag over minderjarige kinderen: quo vadis?”, </w:t>
      </w:r>
      <w:r w:rsidRPr="00AA2640">
        <w:rPr>
          <w:i/>
          <w:iCs/>
        </w:rPr>
        <w:t>TBBR</w:t>
      </w:r>
      <w:r w:rsidRPr="00AA2640">
        <w:t xml:space="preserve"> 2006, afl. 10, (567) 567-568, nr</w:t>
      </w:r>
      <w:r w:rsidRPr="00AA2640">
        <w:rPr>
          <w:smallCaps/>
          <w:color w:val="000000"/>
        </w:rPr>
        <w:t xml:space="preserve">. 1; </w:t>
      </w:r>
      <w:r w:rsidRPr="00AA2640">
        <w:rPr>
          <w:smallCaps/>
        </w:rPr>
        <w:t>P.</w:t>
      </w:r>
      <w:r w:rsidRPr="00AA2640">
        <w:rPr>
          <w:color w:val="000000"/>
        </w:rPr>
        <w:t xml:space="preserve"> </w:t>
      </w:r>
      <w:r w:rsidRPr="00AA2640">
        <w:rPr>
          <w:smallCaps/>
          <w:color w:val="000000"/>
        </w:rPr>
        <w:t xml:space="preserve">SENAEVE, </w:t>
      </w:r>
      <w:r w:rsidRPr="00AA2640">
        <w:rPr>
          <w:i/>
          <w:iCs/>
          <w:color w:val="000000"/>
        </w:rPr>
        <w:t>Compendium van het Personen- en Familierecht</w:t>
      </w:r>
      <w:r w:rsidRPr="00AA2640">
        <w:rPr>
          <w:color w:val="000000"/>
        </w:rPr>
        <w:t xml:space="preserve">, Leuven, Acco, 2015, 328-329, nr. 1043 en 1046; </w:t>
      </w:r>
      <w:r w:rsidRPr="00AA2640">
        <w:rPr>
          <w:smallCaps/>
          <w:color w:val="000000"/>
        </w:rPr>
        <w:t xml:space="preserve">K. </w:t>
      </w:r>
      <w:r w:rsidRPr="00AA2640">
        <w:rPr>
          <w:smallCaps/>
        </w:rPr>
        <w:t xml:space="preserve">UYTTERHOEVEN, </w:t>
      </w:r>
      <w:r w:rsidRPr="00AA2640">
        <w:t xml:space="preserve">“Worden stiefouders stiefmoederlijk behandeld?”, </w:t>
      </w:r>
      <w:r w:rsidRPr="00AA2640">
        <w:rPr>
          <w:i/>
          <w:iCs/>
        </w:rPr>
        <w:t>T.Fam</w:t>
      </w:r>
      <w:r w:rsidRPr="00AA2640">
        <w:t>. 2009, afl. 7, (125) 125.</w:t>
      </w:r>
    </w:p>
  </w:footnote>
  <w:footnote w:id="232">
    <w:p w:rsidR="002A0E74" w:rsidRPr="00AA2640" w:rsidRDefault="002A0E74" w:rsidP="000B1780">
      <w:pPr>
        <w:pStyle w:val="FootnoteText"/>
      </w:pPr>
      <w:r w:rsidRPr="00AA2640">
        <w:rPr>
          <w:rStyle w:val="FootnoteReference"/>
        </w:rPr>
        <w:footnoteRef/>
      </w:r>
      <w:r w:rsidRPr="00AA2640">
        <w:t xml:space="preserve"> </w:t>
      </w:r>
      <w:r w:rsidRPr="00AA2640">
        <w:t xml:space="preserve">Art. 374, §1, lid 2 BW.; </w:t>
      </w:r>
      <w:r w:rsidRPr="00AA2640">
        <w:rPr>
          <w:smallCaps/>
        </w:rPr>
        <w:t>P.</w:t>
      </w:r>
      <w:r w:rsidRPr="00AA2640">
        <w:rPr>
          <w:color w:val="000000"/>
        </w:rPr>
        <w:t xml:space="preserve"> </w:t>
      </w:r>
      <w:r w:rsidRPr="00AA2640">
        <w:rPr>
          <w:smallCaps/>
          <w:color w:val="000000"/>
        </w:rPr>
        <w:t xml:space="preserve">SENAEVE, </w:t>
      </w:r>
      <w:r w:rsidRPr="00AA2640">
        <w:rPr>
          <w:i/>
          <w:iCs/>
          <w:color w:val="000000"/>
        </w:rPr>
        <w:t>Compendium van het Personen- en Familierecht</w:t>
      </w:r>
      <w:r w:rsidRPr="00AA2640">
        <w:rPr>
          <w:color w:val="000000"/>
        </w:rPr>
        <w:t xml:space="preserve">, Leuven, Acco, 2015, 329, nr. 1046; </w:t>
      </w:r>
      <w:r w:rsidRPr="00AA2640">
        <w:rPr>
          <w:smallCaps/>
        </w:rPr>
        <w:t xml:space="preserve">F. SWENNEN, </w:t>
      </w:r>
      <w:r w:rsidRPr="00AA2640">
        <w:rPr>
          <w:i/>
          <w:iCs/>
        </w:rPr>
        <w:t>Het personen- en familierecht</w:t>
      </w:r>
      <w:r w:rsidRPr="00AA2640">
        <w:t>, Antwerpen, Intersentia, 2015, 514, nr. 865.</w:t>
      </w:r>
      <w:r w:rsidRPr="00AA2640">
        <w:rPr>
          <w:color w:val="000000"/>
        </w:rPr>
        <w:t xml:space="preserve"> </w:t>
      </w:r>
    </w:p>
  </w:footnote>
  <w:footnote w:id="233">
    <w:p w:rsidR="002A0E74" w:rsidRPr="00AA2640" w:rsidRDefault="002A0E74">
      <w:pPr>
        <w:pStyle w:val="FootnoteText"/>
      </w:pPr>
      <w:r w:rsidRPr="00AA2640">
        <w:rPr>
          <w:rStyle w:val="FootnoteReference"/>
        </w:rPr>
        <w:footnoteRef/>
      </w:r>
      <w:r w:rsidRPr="00AA2640">
        <w:t xml:space="preserve"> </w:t>
      </w:r>
      <w:r w:rsidRPr="00AA2640">
        <w:rPr>
          <w:smallCaps/>
        </w:rPr>
        <w:t>P.</w:t>
      </w:r>
      <w:r w:rsidRPr="00AA2640">
        <w:rPr>
          <w:color w:val="000000"/>
        </w:rPr>
        <w:t xml:space="preserve"> </w:t>
      </w:r>
      <w:r w:rsidRPr="00AA2640">
        <w:rPr>
          <w:smallCaps/>
          <w:color w:val="000000"/>
        </w:rPr>
        <w:t xml:space="preserve">SENAEVE, </w:t>
      </w:r>
      <w:r w:rsidRPr="00AA2640">
        <w:rPr>
          <w:i/>
          <w:iCs/>
          <w:color w:val="000000"/>
        </w:rPr>
        <w:t>Compendium van het Personen- en Familierecht</w:t>
      </w:r>
      <w:r w:rsidRPr="00AA2640">
        <w:rPr>
          <w:color w:val="000000"/>
        </w:rPr>
        <w:t>, Leuven, Acco, 2015, 329, nr. 1046.</w:t>
      </w:r>
    </w:p>
  </w:footnote>
  <w:footnote w:id="234">
    <w:p w:rsidR="002A0E74" w:rsidRPr="00AA2640" w:rsidRDefault="002A0E74">
      <w:pPr>
        <w:pStyle w:val="FootnoteText"/>
      </w:pPr>
      <w:r w:rsidRPr="00AA2640">
        <w:rPr>
          <w:rStyle w:val="FootnoteReference"/>
        </w:rPr>
        <w:footnoteRef/>
      </w:r>
      <w:r w:rsidRPr="00AA2640">
        <w:t xml:space="preserve"> </w:t>
      </w:r>
      <w:r w:rsidRPr="00AA2640">
        <w:t xml:space="preserve">COC NEDERLAND, </w:t>
      </w:r>
      <w:r w:rsidRPr="00AA2640">
        <w:rPr>
          <w:i/>
        </w:rPr>
        <w:t>Kin</w:t>
      </w:r>
      <w:r>
        <w:rPr>
          <w:i/>
        </w:rPr>
        <w:t>deren hebben vaker meer ouders -</w:t>
      </w:r>
      <w:r w:rsidRPr="00AA2640">
        <w:rPr>
          <w:i/>
        </w:rPr>
        <w:t xml:space="preserve"> regel dat!,</w:t>
      </w:r>
      <w:r w:rsidRPr="00AA2640">
        <w:t xml:space="preserve"> </w:t>
      </w:r>
      <w:r>
        <w:fldChar w:fldCharType="begin"/>
      </w:r>
      <w:r>
        <w:instrText>HYPERLINK "https://www.coc.nl/jouw-belangen/kinderen-hebben-vaker-meer-ouders-regel-dat"</w:instrText>
      </w:r>
      <w:r>
        <w:fldChar w:fldCharType="separate"/>
      </w:r>
      <w:r w:rsidRPr="00AA2640">
        <w:rPr>
          <w:rStyle w:val="Hyperlink"/>
          <w:i w:val="0"/>
        </w:rPr>
        <w:t>https://www.coc.nl/jouw-belangen/kinderen-hebben-vaker-meer-ouders-regel-dat</w:t>
      </w:r>
      <w:r>
        <w:fldChar w:fldCharType="end"/>
      </w:r>
      <w:r w:rsidRPr="00AA2640">
        <w:rPr>
          <w:i/>
        </w:rPr>
        <w:t>.</w:t>
      </w:r>
    </w:p>
  </w:footnote>
  <w:footnote w:id="235">
    <w:p w:rsidR="002A0E74" w:rsidRDefault="002A0E74" w:rsidP="008A09CC">
      <w:r w:rsidRPr="00AA2640">
        <w:rPr>
          <w:rStyle w:val="FootnoteReference"/>
          <w:sz w:val="20"/>
          <w:szCs w:val="20"/>
        </w:rPr>
        <w:footnoteRef/>
      </w:r>
      <w:r w:rsidRPr="00AA2640">
        <w:rPr>
          <w:sz w:val="20"/>
          <w:szCs w:val="20"/>
        </w:rPr>
        <w:t xml:space="preserve"> </w:t>
      </w:r>
      <w:r w:rsidRPr="00AA2640">
        <w:rPr>
          <w:sz w:val="20"/>
          <w:szCs w:val="20"/>
        </w:rPr>
        <w:t xml:space="preserve">COC NEDERLAND, </w:t>
      </w:r>
      <w:r w:rsidRPr="00AA2640">
        <w:rPr>
          <w:i/>
          <w:sz w:val="20"/>
          <w:szCs w:val="20"/>
        </w:rPr>
        <w:t>Kin</w:t>
      </w:r>
      <w:r>
        <w:rPr>
          <w:i/>
          <w:sz w:val="20"/>
          <w:szCs w:val="20"/>
        </w:rPr>
        <w:t>deren hebben vaker meer ouders -</w:t>
      </w:r>
      <w:r w:rsidRPr="00AA2640">
        <w:rPr>
          <w:i/>
          <w:sz w:val="20"/>
          <w:szCs w:val="20"/>
        </w:rPr>
        <w:t xml:space="preserve"> regel dat!,</w:t>
      </w:r>
      <w:r w:rsidRPr="00AA2640">
        <w:rPr>
          <w:sz w:val="20"/>
          <w:szCs w:val="20"/>
        </w:rPr>
        <w:t xml:space="preserve"> </w:t>
      </w:r>
      <w:r>
        <w:fldChar w:fldCharType="begin"/>
      </w:r>
      <w:r>
        <w:instrText>HYPERLINK "https://www.coc.nl/jouw-belangen/kinderen-hebben-vaker-meer-ouders-regel-dat"</w:instrText>
      </w:r>
      <w:r>
        <w:fldChar w:fldCharType="separate"/>
      </w:r>
      <w:r w:rsidRPr="00AA2640">
        <w:rPr>
          <w:rStyle w:val="Hyperlink"/>
          <w:i w:val="0"/>
          <w:sz w:val="20"/>
          <w:szCs w:val="20"/>
        </w:rPr>
        <w:t>https://www.coc.nl/jouw-belangen/kinderen-hebben-vaker-meer-ouders-regel-dat</w:t>
      </w:r>
      <w:r>
        <w:fldChar w:fldCharType="end"/>
      </w:r>
      <w:r w:rsidRPr="00AA2640">
        <w:rPr>
          <w:i/>
          <w:sz w:val="20"/>
          <w:szCs w:val="20"/>
        </w:rPr>
        <w:t>.</w:t>
      </w:r>
    </w:p>
  </w:footnote>
  <w:footnote w:id="236">
    <w:p w:rsidR="002A0E74" w:rsidRPr="00A7468F" w:rsidRDefault="002A0E74">
      <w:pPr>
        <w:pStyle w:val="FootnoteText"/>
      </w:pPr>
      <w:r w:rsidRPr="00A7468F">
        <w:rPr>
          <w:rStyle w:val="FootnoteReference"/>
        </w:rPr>
        <w:footnoteRef/>
      </w:r>
      <w:r w:rsidRPr="00A7468F">
        <w:t xml:space="preserve"> </w:t>
      </w:r>
      <w:r w:rsidRPr="00A7468F">
        <w:rPr>
          <w:smallCaps/>
        </w:rPr>
        <w:t>P.</w:t>
      </w:r>
      <w:r w:rsidRPr="00A7468F">
        <w:rPr>
          <w:color w:val="000000"/>
        </w:rPr>
        <w:t xml:space="preserve"> </w:t>
      </w:r>
      <w:r w:rsidRPr="00A7468F">
        <w:rPr>
          <w:smallCaps/>
          <w:color w:val="000000"/>
        </w:rPr>
        <w:t xml:space="preserve">SENAEVE, </w:t>
      </w:r>
      <w:r w:rsidRPr="00A7468F">
        <w:rPr>
          <w:i/>
          <w:iCs/>
          <w:color w:val="000000"/>
        </w:rPr>
        <w:t>Compendium van het Personen- en Familierecht</w:t>
      </w:r>
      <w:r w:rsidRPr="00A7468F">
        <w:rPr>
          <w:color w:val="000000"/>
        </w:rPr>
        <w:t>, Leuven, Acco, 2015, 329, nr. 1045.</w:t>
      </w:r>
    </w:p>
  </w:footnote>
  <w:footnote w:id="237">
    <w:p w:rsidR="002A0E74" w:rsidRPr="00A7468F" w:rsidRDefault="002A0E74">
      <w:pPr>
        <w:pStyle w:val="FootnoteText"/>
      </w:pPr>
      <w:r w:rsidRPr="00A7468F">
        <w:rPr>
          <w:rStyle w:val="FootnoteReference"/>
        </w:rPr>
        <w:footnoteRef/>
      </w:r>
      <w:r w:rsidRPr="00A7468F">
        <w:t xml:space="preserve"> </w:t>
      </w:r>
      <w:r w:rsidRPr="00A7468F">
        <w:rPr>
          <w:smallCaps/>
        </w:rPr>
        <w:t>P.</w:t>
      </w:r>
      <w:r w:rsidRPr="00A7468F">
        <w:rPr>
          <w:color w:val="000000"/>
        </w:rPr>
        <w:t xml:space="preserve"> </w:t>
      </w:r>
      <w:r w:rsidRPr="00A7468F">
        <w:rPr>
          <w:smallCaps/>
          <w:color w:val="000000"/>
        </w:rPr>
        <w:t xml:space="preserve">SENAEVE, </w:t>
      </w:r>
      <w:r w:rsidRPr="00A7468F">
        <w:rPr>
          <w:i/>
          <w:iCs/>
          <w:color w:val="000000"/>
        </w:rPr>
        <w:t>Compendium van het Personen- en Familierecht</w:t>
      </w:r>
      <w:r w:rsidRPr="00A7468F">
        <w:rPr>
          <w:color w:val="000000"/>
        </w:rPr>
        <w:t>, Leuven, Acco, 2015, 329, nr. 1045.</w:t>
      </w:r>
    </w:p>
  </w:footnote>
  <w:footnote w:id="238">
    <w:p w:rsidR="002A0E74" w:rsidRPr="00A7468F" w:rsidRDefault="002A0E74" w:rsidP="00A7468F">
      <w:pPr>
        <w:autoSpaceDE w:val="0"/>
        <w:autoSpaceDN w:val="0"/>
        <w:adjustRightInd w:val="0"/>
        <w:rPr>
          <w:sz w:val="20"/>
          <w:szCs w:val="20"/>
        </w:rPr>
      </w:pPr>
      <w:r w:rsidRPr="00A7468F">
        <w:rPr>
          <w:rStyle w:val="FootnoteReference"/>
          <w:sz w:val="20"/>
          <w:szCs w:val="20"/>
        </w:rPr>
        <w:footnoteRef/>
      </w:r>
      <w:r>
        <w:rPr>
          <w:sz w:val="20"/>
          <w:szCs w:val="20"/>
        </w:rPr>
        <w:t xml:space="preserve">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 3.</w:t>
      </w:r>
    </w:p>
  </w:footnote>
  <w:footnote w:id="239">
    <w:p w:rsidR="002A0E74" w:rsidRDefault="002A0E74">
      <w:pPr>
        <w:pStyle w:val="FootnoteText"/>
      </w:pPr>
      <w:r>
        <w:rPr>
          <w:rStyle w:val="FootnoteReference"/>
        </w:rPr>
        <w:footnoteRef/>
      </w:r>
      <w:r>
        <w:t xml:space="preserve"> </w:t>
      </w:r>
      <w:r w:rsidRPr="00A7468F">
        <w:rPr>
          <w:smallCaps/>
        </w:rPr>
        <w:t>P.</w:t>
      </w:r>
      <w:r w:rsidRPr="00A7468F">
        <w:rPr>
          <w:color w:val="000000"/>
        </w:rPr>
        <w:t xml:space="preserve"> </w:t>
      </w:r>
      <w:r w:rsidRPr="00A7468F">
        <w:rPr>
          <w:smallCaps/>
          <w:color w:val="000000"/>
        </w:rPr>
        <w:t xml:space="preserve">SENAEVE, </w:t>
      </w:r>
      <w:r w:rsidRPr="00A7468F">
        <w:rPr>
          <w:i/>
          <w:iCs/>
          <w:color w:val="000000"/>
        </w:rPr>
        <w:t>Compendium van het Personen- en Familierecht</w:t>
      </w:r>
      <w:r w:rsidRPr="00A7468F">
        <w:rPr>
          <w:color w:val="000000"/>
        </w:rPr>
        <w:t>, Leuven, Acco, 2015, 329, nr. 1045.</w:t>
      </w:r>
    </w:p>
  </w:footnote>
  <w:footnote w:id="240">
    <w:p w:rsidR="002A0E74" w:rsidRDefault="002A0E74">
      <w:pPr>
        <w:pStyle w:val="FootnoteText"/>
      </w:pPr>
      <w:r>
        <w:rPr>
          <w:rStyle w:val="FootnoteReference"/>
        </w:rPr>
        <w:footnoteRef/>
      </w:r>
      <w:r>
        <w:t xml:space="preserve"> </w:t>
      </w:r>
      <w:r w:rsidRPr="00A7468F">
        <w:t xml:space="preserve">Addendum op het verzoek tot het opstellen van een informatieverslag betreffende een onderzoek van de mogelijkheden voor een wettelijke regeling van meeouderschap, </w:t>
      </w:r>
      <w:r w:rsidRPr="00A7468F">
        <w:rPr>
          <w:i/>
          <w:iCs/>
        </w:rPr>
        <w:t>Parl.St.</w:t>
      </w:r>
      <w:r w:rsidRPr="00A7468F">
        <w:t xml:space="preserve"> Senaat 2015-16, nr. 6-98/3, 3.</w:t>
      </w:r>
    </w:p>
  </w:footnote>
  <w:footnote w:id="241">
    <w:p w:rsidR="002A0E74" w:rsidRPr="00A7468F" w:rsidRDefault="002A0E74" w:rsidP="00BA3642">
      <w:pPr>
        <w:pStyle w:val="FootnoteText"/>
      </w:pPr>
      <w:r w:rsidRPr="00A7468F">
        <w:rPr>
          <w:rStyle w:val="FootnoteReference"/>
        </w:rPr>
        <w:footnoteRef/>
      </w:r>
      <w:r>
        <w:t xml:space="preserve"> </w:t>
      </w:r>
      <w:r>
        <w:t xml:space="preserve">Art. </w:t>
      </w:r>
      <w:r w:rsidRPr="00A7468F">
        <w:t xml:space="preserve">373-375 BW.; </w:t>
      </w:r>
      <w:r w:rsidRPr="00A7468F">
        <w:rPr>
          <w:smallCaps/>
        </w:rPr>
        <w:t>P.</w:t>
      </w:r>
      <w:r w:rsidRPr="00A7468F">
        <w:rPr>
          <w:color w:val="000000"/>
        </w:rPr>
        <w:t xml:space="preserve"> </w:t>
      </w:r>
      <w:r w:rsidRPr="00A7468F">
        <w:rPr>
          <w:smallCaps/>
          <w:color w:val="000000"/>
        </w:rPr>
        <w:t xml:space="preserve">SENAEVE, </w:t>
      </w:r>
      <w:r w:rsidRPr="00A7468F">
        <w:rPr>
          <w:i/>
          <w:iCs/>
          <w:color w:val="000000"/>
        </w:rPr>
        <w:t>Compendium van het Personen- en Familierecht</w:t>
      </w:r>
      <w:r w:rsidRPr="00A7468F">
        <w:rPr>
          <w:color w:val="000000"/>
        </w:rPr>
        <w:t xml:space="preserve">, Leuven, Acco, 2015, 328-329, nr. 1044-1045; </w:t>
      </w:r>
      <w:r w:rsidRPr="00A7468F">
        <w:rPr>
          <w:smallCaps/>
        </w:rPr>
        <w:t xml:space="preserve">G. VERSCHELDEN, </w:t>
      </w:r>
      <w:r w:rsidRPr="00A7468F">
        <w:rPr>
          <w:i/>
          <w:iCs/>
        </w:rPr>
        <w:t>Handboek Belgisch familierecht,</w:t>
      </w:r>
      <w:r w:rsidRPr="00A7468F">
        <w:t xml:space="preserve"> Brugge, Die Keure, 2010, 304, nr. 710.</w:t>
      </w:r>
    </w:p>
  </w:footnote>
  <w:footnote w:id="242">
    <w:p w:rsidR="002A0E74" w:rsidRDefault="002A0E74" w:rsidP="00A7468F">
      <w:pPr>
        <w:autoSpaceDE w:val="0"/>
        <w:autoSpaceDN w:val="0"/>
        <w:adjustRightInd w:val="0"/>
      </w:pPr>
      <w:r w:rsidRPr="00A7468F">
        <w:rPr>
          <w:rStyle w:val="FootnoteReference"/>
          <w:sz w:val="20"/>
          <w:szCs w:val="20"/>
        </w:rPr>
        <w:footnoteRef/>
      </w:r>
      <w:r>
        <w:rPr>
          <w:sz w:val="20"/>
          <w:szCs w:val="20"/>
        </w:rPr>
        <w:t xml:space="preserve">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 3; </w:t>
      </w:r>
      <w:r w:rsidRPr="00A7468F">
        <w:rPr>
          <w:smallCaps/>
          <w:sz w:val="20"/>
          <w:szCs w:val="20"/>
        </w:rPr>
        <w:t xml:space="preserve">G. VERSCHELDEN, </w:t>
      </w:r>
      <w:r w:rsidRPr="00A7468F">
        <w:rPr>
          <w:sz w:val="20"/>
          <w:szCs w:val="20"/>
        </w:rPr>
        <w:t>“Arbitragehof zet deur open voor zorgouderschap”,</w:t>
      </w:r>
      <w:r w:rsidRPr="00A7468F">
        <w:rPr>
          <w:i/>
          <w:iCs/>
          <w:sz w:val="20"/>
          <w:szCs w:val="20"/>
        </w:rPr>
        <w:t xml:space="preserve"> Juristenkrant</w:t>
      </w:r>
      <w:r w:rsidRPr="00A7468F">
        <w:rPr>
          <w:sz w:val="20"/>
          <w:szCs w:val="20"/>
        </w:rPr>
        <w:t xml:space="preserve"> 2003, 19 november 2003, afl. 78, </w:t>
      </w:r>
      <w:r>
        <w:rPr>
          <w:sz w:val="20"/>
          <w:szCs w:val="20"/>
        </w:rPr>
        <w:t xml:space="preserve">(13) </w:t>
      </w:r>
      <w:r w:rsidRPr="00A7468F">
        <w:rPr>
          <w:sz w:val="20"/>
          <w:szCs w:val="20"/>
        </w:rPr>
        <w:t>13.</w:t>
      </w:r>
    </w:p>
  </w:footnote>
  <w:footnote w:id="243">
    <w:p w:rsidR="002A0E74" w:rsidRPr="00A7468F" w:rsidRDefault="002A0E74" w:rsidP="00A7468F">
      <w:pPr>
        <w:autoSpaceDE w:val="0"/>
        <w:autoSpaceDN w:val="0"/>
        <w:adjustRightInd w:val="0"/>
        <w:rPr>
          <w:sz w:val="20"/>
          <w:szCs w:val="20"/>
        </w:rPr>
      </w:pPr>
      <w:r w:rsidRPr="00A7468F">
        <w:rPr>
          <w:rStyle w:val="FootnoteReference"/>
          <w:sz w:val="20"/>
          <w:szCs w:val="20"/>
        </w:rPr>
        <w:footnoteRef/>
      </w:r>
      <w:r>
        <w:rPr>
          <w:sz w:val="20"/>
          <w:szCs w:val="20"/>
        </w:rPr>
        <w:t xml:space="preserve">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 4.</w:t>
      </w:r>
    </w:p>
  </w:footnote>
  <w:footnote w:id="244">
    <w:p w:rsidR="002A0E74" w:rsidRPr="00A25108" w:rsidRDefault="002A0E74">
      <w:pPr>
        <w:pStyle w:val="FootnoteText"/>
      </w:pPr>
      <w:r w:rsidRPr="00A7468F">
        <w:rPr>
          <w:rStyle w:val="FootnoteReference"/>
        </w:rPr>
        <w:footnoteRef/>
      </w:r>
      <w:r w:rsidRPr="00A7468F">
        <w:t xml:space="preserve"> </w:t>
      </w:r>
      <w:r w:rsidRPr="00A25108">
        <w:t xml:space="preserve">Voorstel van wet tot invoering van het zorgouderschap in het Burgerlijk Wetboek, </w:t>
      </w:r>
      <w:r w:rsidRPr="00A25108">
        <w:rPr>
          <w:i/>
          <w:iCs/>
        </w:rPr>
        <w:t>Parl.St.</w:t>
      </w:r>
      <w:r w:rsidRPr="00A25108">
        <w:t xml:space="preserve"> Kamer 2003-04, nr. 51-0815/001.</w:t>
      </w:r>
    </w:p>
  </w:footnote>
  <w:footnote w:id="245">
    <w:p w:rsidR="002A0E74" w:rsidRPr="00A25108" w:rsidRDefault="002A0E74">
      <w:pPr>
        <w:pStyle w:val="FootnoteText"/>
      </w:pPr>
      <w:r w:rsidRPr="00A25108">
        <w:rPr>
          <w:rStyle w:val="FootnoteReference"/>
        </w:rPr>
        <w:footnoteRef/>
      </w:r>
      <w:r w:rsidRPr="00A25108">
        <w:t xml:space="preserve"> </w:t>
      </w:r>
      <w:r w:rsidRPr="00A25108">
        <w:t xml:space="preserve">Voorstel van wet tot invoering van het zorgouderschap in het Burgerlijk Wetboek, </w:t>
      </w:r>
      <w:r w:rsidRPr="00A25108">
        <w:rPr>
          <w:i/>
          <w:iCs/>
        </w:rPr>
        <w:t>Parl.St.</w:t>
      </w:r>
      <w:r w:rsidRPr="00A25108">
        <w:t xml:space="preserve"> Kamer 2003-04, nr. 51-0815/001, 3.</w:t>
      </w:r>
    </w:p>
  </w:footnote>
  <w:footnote w:id="246">
    <w:p w:rsidR="002A0E74" w:rsidRPr="00A25108" w:rsidRDefault="002A0E74" w:rsidP="00642E09">
      <w:pPr>
        <w:rPr>
          <w:sz w:val="20"/>
          <w:szCs w:val="20"/>
        </w:rPr>
      </w:pPr>
      <w:r w:rsidRPr="00A25108">
        <w:rPr>
          <w:rStyle w:val="FootnoteReference"/>
          <w:sz w:val="20"/>
          <w:szCs w:val="20"/>
        </w:rPr>
        <w:footnoteRef/>
      </w:r>
      <w:r w:rsidRPr="00A25108">
        <w:rPr>
          <w:sz w:val="20"/>
          <w:szCs w:val="20"/>
        </w:rPr>
        <w:t xml:space="preserve"> </w:t>
      </w:r>
      <w:r w:rsidRPr="00A25108">
        <w:rPr>
          <w:sz w:val="20"/>
          <w:szCs w:val="20"/>
        </w:rPr>
        <w:t xml:space="preserve">Voorstel van wet tot wijziging van de wetgeving betreffende de bescherming van het kind wat de invoering van het zorgouderschap betreft, </w:t>
      </w:r>
      <w:r w:rsidRPr="00A25108">
        <w:rPr>
          <w:i/>
          <w:iCs/>
          <w:sz w:val="20"/>
          <w:szCs w:val="20"/>
        </w:rPr>
        <w:t>Parl.St.</w:t>
      </w:r>
      <w:r w:rsidRPr="00A25108">
        <w:rPr>
          <w:sz w:val="20"/>
          <w:szCs w:val="20"/>
        </w:rPr>
        <w:t xml:space="preserve"> Kamer 2014, nr. 54-0114/001; Voorstel van wet teneinde het zorgouderschap in het Burgerlijk Wetboek op te nemen., </w:t>
      </w:r>
      <w:r w:rsidRPr="00A25108">
        <w:rPr>
          <w:i/>
          <w:iCs/>
          <w:sz w:val="20"/>
          <w:szCs w:val="20"/>
        </w:rPr>
        <w:t>Parl.St.</w:t>
      </w:r>
      <w:r w:rsidRPr="00A25108">
        <w:rPr>
          <w:sz w:val="20"/>
          <w:szCs w:val="20"/>
        </w:rPr>
        <w:t xml:space="preserve"> Kamer 2014, nr. 54-0194/001. </w:t>
      </w:r>
    </w:p>
  </w:footnote>
  <w:footnote w:id="247">
    <w:p w:rsidR="002A0E74" w:rsidRPr="00A25108" w:rsidRDefault="002A0E74" w:rsidP="00881D38">
      <w:pPr>
        <w:autoSpaceDE w:val="0"/>
        <w:autoSpaceDN w:val="0"/>
        <w:adjustRightInd w:val="0"/>
        <w:rPr>
          <w:sz w:val="20"/>
          <w:szCs w:val="20"/>
        </w:rPr>
      </w:pPr>
      <w:r w:rsidRPr="00A25108">
        <w:rPr>
          <w:rStyle w:val="FootnoteReference"/>
          <w:sz w:val="20"/>
          <w:szCs w:val="20"/>
        </w:rPr>
        <w:footnoteRef/>
      </w:r>
      <w:r w:rsidRPr="00A25108">
        <w:rPr>
          <w:sz w:val="20"/>
          <w:szCs w:val="20"/>
        </w:rPr>
        <w:t xml:space="preserve"> </w:t>
      </w:r>
      <w:r w:rsidRPr="00A25108">
        <w:rPr>
          <w:sz w:val="20"/>
          <w:szCs w:val="20"/>
        </w:rPr>
        <w:t xml:space="preserve">Verzoek tot het opstellen van een informatieverslag betreffende een onderzoek van de mogelijkheden voor een wettelijke regeling van meeouderschap, </w:t>
      </w:r>
      <w:r w:rsidRPr="00A25108">
        <w:rPr>
          <w:i/>
          <w:iCs/>
          <w:sz w:val="20"/>
          <w:szCs w:val="20"/>
        </w:rPr>
        <w:t>Parl.St.</w:t>
      </w:r>
      <w:r w:rsidRPr="00A25108">
        <w:rPr>
          <w:sz w:val="20"/>
          <w:szCs w:val="20"/>
        </w:rPr>
        <w:t xml:space="preserve"> Senaat 2014-15, nr. 6-98/1.</w:t>
      </w:r>
    </w:p>
  </w:footnote>
  <w:footnote w:id="248">
    <w:p w:rsidR="002A0E74" w:rsidRPr="00A7468F" w:rsidRDefault="002A0E74" w:rsidP="00E219FE">
      <w:pPr>
        <w:autoSpaceDE w:val="0"/>
        <w:autoSpaceDN w:val="0"/>
        <w:adjustRightInd w:val="0"/>
        <w:rPr>
          <w:sz w:val="20"/>
          <w:szCs w:val="20"/>
        </w:rPr>
      </w:pPr>
      <w:r w:rsidRPr="00A25108">
        <w:rPr>
          <w:rStyle w:val="FootnoteReference"/>
          <w:sz w:val="20"/>
          <w:szCs w:val="20"/>
        </w:rPr>
        <w:footnoteRef/>
      </w:r>
      <w:r w:rsidRPr="00A25108">
        <w:rPr>
          <w:sz w:val="20"/>
          <w:szCs w:val="20"/>
        </w:rPr>
        <w:t xml:space="preserve"> </w:t>
      </w:r>
      <w:r w:rsidRPr="00A25108">
        <w:rPr>
          <w:sz w:val="20"/>
          <w:szCs w:val="20"/>
        </w:rPr>
        <w:t xml:space="preserve">Addendum op het verzoek tot het opstellen van een informatieverslag betreffende een onderzoek van de mogelijkheden voor een wettelijke regeling van meeouderschap, </w:t>
      </w:r>
      <w:r w:rsidRPr="00A25108">
        <w:rPr>
          <w:i/>
          <w:iCs/>
          <w:sz w:val="20"/>
          <w:szCs w:val="20"/>
        </w:rPr>
        <w:t>Parl.St.</w:t>
      </w:r>
      <w:r w:rsidRPr="00A25108">
        <w:rPr>
          <w:sz w:val="20"/>
          <w:szCs w:val="20"/>
        </w:rPr>
        <w:t xml:space="preserve"> Senaat 2015-16, nr. 6-98/3.</w:t>
      </w:r>
    </w:p>
  </w:footnote>
  <w:footnote w:id="249">
    <w:p w:rsidR="002A0E74" w:rsidRPr="00A7468F" w:rsidRDefault="002A0E74" w:rsidP="00881D38">
      <w:pPr>
        <w:autoSpaceDE w:val="0"/>
        <w:autoSpaceDN w:val="0"/>
        <w:adjustRightInd w:val="0"/>
      </w:pPr>
      <w:r w:rsidRPr="00A7468F">
        <w:rPr>
          <w:rStyle w:val="FootnoteReference"/>
          <w:sz w:val="20"/>
          <w:szCs w:val="20"/>
        </w:rPr>
        <w:footnoteRef/>
      </w:r>
      <w:r>
        <w:rPr>
          <w:sz w:val="20"/>
          <w:szCs w:val="20"/>
        </w:rPr>
        <w:t xml:space="preserve">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w:t>
      </w:r>
      <w:r>
        <w:rPr>
          <w:sz w:val="20"/>
          <w:szCs w:val="20"/>
        </w:rPr>
        <w:t xml:space="preserve">, </w:t>
      </w:r>
      <w:r w:rsidRPr="00A7468F">
        <w:rPr>
          <w:sz w:val="20"/>
          <w:szCs w:val="20"/>
        </w:rPr>
        <w:t>3.</w:t>
      </w:r>
    </w:p>
  </w:footnote>
  <w:footnote w:id="250">
    <w:p w:rsidR="002A0E74" w:rsidRPr="000F21D7" w:rsidRDefault="002A0E74">
      <w:pPr>
        <w:pStyle w:val="FootnoteText"/>
      </w:pPr>
      <w:r>
        <w:rPr>
          <w:rStyle w:val="FootnoteReference"/>
        </w:rPr>
        <w:footnoteRef/>
      </w:r>
      <w:r>
        <w:t xml:space="preserve"> </w:t>
      </w:r>
      <w:r w:rsidRPr="008527A0">
        <w:rPr>
          <w:i/>
        </w:rPr>
        <w:t>Hand</w:t>
      </w:r>
      <w:r>
        <w:t>. Kamer 2015-16, 24 februari 2016, CRIV 54 com 345, 28.</w:t>
      </w:r>
    </w:p>
  </w:footnote>
  <w:footnote w:id="251">
    <w:p w:rsidR="002A0E74" w:rsidRPr="000F21D7" w:rsidRDefault="002A0E74">
      <w:pPr>
        <w:pStyle w:val="FootnoteText"/>
      </w:pPr>
      <w:r>
        <w:rPr>
          <w:rStyle w:val="FootnoteReference"/>
        </w:rPr>
        <w:footnoteRef/>
      </w:r>
      <w:r>
        <w:t xml:space="preserve"> </w:t>
      </w:r>
      <w:r w:rsidRPr="008527A0">
        <w:rPr>
          <w:i/>
        </w:rPr>
        <w:t>Hand</w:t>
      </w:r>
      <w:r>
        <w:t>. Kamer 2015-16, 24 februari 2016, CRIV 54 com 345, 28.</w:t>
      </w:r>
    </w:p>
  </w:footnote>
  <w:footnote w:id="252">
    <w:p w:rsidR="002A0E74" w:rsidRPr="00E12C59" w:rsidRDefault="002A0E74" w:rsidP="00E12C59">
      <w:pPr>
        <w:autoSpaceDE w:val="0"/>
        <w:autoSpaceDN w:val="0"/>
        <w:adjustRightInd w:val="0"/>
      </w:pPr>
      <w:r w:rsidRPr="00BC44BC">
        <w:rPr>
          <w:rStyle w:val="FootnoteReference"/>
          <w:sz w:val="20"/>
          <w:szCs w:val="20"/>
        </w:rPr>
        <w:footnoteRef/>
      </w:r>
      <w:r w:rsidRPr="00BC44BC">
        <w:rPr>
          <w:sz w:val="20"/>
          <w:szCs w:val="20"/>
        </w:rPr>
        <w:t xml:space="preserve"> </w:t>
      </w:r>
      <w:r w:rsidRPr="00BC44BC">
        <w:rPr>
          <w:sz w:val="20"/>
          <w:szCs w:val="20"/>
        </w:rPr>
        <w:t>Algemene</w:t>
      </w:r>
      <w:r w:rsidRPr="00E12C59">
        <w:rPr>
          <w:sz w:val="20"/>
          <w:szCs w:val="20"/>
        </w:rPr>
        <w:t xml:space="preserve"> Beleidsnota Justitie, </w:t>
      </w:r>
      <w:r w:rsidRPr="00E12C59">
        <w:rPr>
          <w:i/>
          <w:sz w:val="20"/>
          <w:szCs w:val="20"/>
        </w:rPr>
        <w:t>Parl.St</w:t>
      </w:r>
      <w:r w:rsidRPr="00E12C59">
        <w:rPr>
          <w:sz w:val="20"/>
          <w:szCs w:val="20"/>
        </w:rPr>
        <w:t xml:space="preserve">. Kamer 2015-16, nr. </w:t>
      </w:r>
      <w:r>
        <w:rPr>
          <w:sz w:val="20"/>
          <w:szCs w:val="20"/>
        </w:rPr>
        <w:t>54-1428/008, 3-4.</w:t>
      </w:r>
    </w:p>
  </w:footnote>
  <w:footnote w:id="253">
    <w:p w:rsidR="002A0E74" w:rsidRDefault="002A0E74" w:rsidP="007768B2">
      <w:pPr>
        <w:pStyle w:val="FootnoteText"/>
      </w:pPr>
      <w:r>
        <w:rPr>
          <w:rStyle w:val="FootnoteReference"/>
        </w:rPr>
        <w:footnoteRef/>
      </w:r>
      <w:r>
        <w:rPr>
          <w:color w:val="000000"/>
        </w:rPr>
        <w:t xml:space="preserve"> </w:t>
      </w:r>
      <w:r w:rsidRPr="008F6472">
        <w:rPr>
          <w:color w:val="000000"/>
        </w:rPr>
        <w:t xml:space="preserve">Arbitragehof 8 oktober 2003, </w:t>
      </w:r>
      <w:r>
        <w:rPr>
          <w:color w:val="000000"/>
        </w:rPr>
        <w:t xml:space="preserve">nr. 134/2003, </w:t>
      </w:r>
      <w:r w:rsidRPr="008F6472">
        <w:rPr>
          <w:i/>
          <w:iCs/>
          <w:color w:val="000000"/>
        </w:rPr>
        <w:t xml:space="preserve">NJW </w:t>
      </w:r>
      <w:r>
        <w:rPr>
          <w:color w:val="000000"/>
        </w:rPr>
        <w:t>2004, 80.</w:t>
      </w:r>
    </w:p>
  </w:footnote>
  <w:footnote w:id="254">
    <w:p w:rsidR="002A0E74" w:rsidRDefault="002A0E74">
      <w:pPr>
        <w:pStyle w:val="FootnoteText"/>
      </w:pPr>
      <w:r>
        <w:rPr>
          <w:rStyle w:val="FootnoteReference"/>
        </w:rPr>
        <w:footnoteRef/>
      </w:r>
      <w:r w:rsidRPr="00420C41">
        <w:t xml:space="preserve"> </w:t>
      </w:r>
      <w:r w:rsidRPr="008F6472">
        <w:rPr>
          <w:color w:val="000000"/>
        </w:rPr>
        <w:t xml:space="preserve">Arbitragehof 8 oktober 2003, </w:t>
      </w:r>
      <w:r>
        <w:rPr>
          <w:color w:val="000000"/>
        </w:rPr>
        <w:t xml:space="preserve">nr. 134/2003, </w:t>
      </w:r>
      <w:r w:rsidRPr="008F6472">
        <w:rPr>
          <w:i/>
          <w:iCs/>
          <w:color w:val="000000"/>
        </w:rPr>
        <w:t xml:space="preserve">NJW </w:t>
      </w:r>
      <w:r>
        <w:rPr>
          <w:color w:val="000000"/>
        </w:rPr>
        <w:t xml:space="preserve">2004, 80; </w:t>
      </w:r>
      <w:r w:rsidRPr="00187999">
        <w:rPr>
          <w:smallCaps/>
        </w:rPr>
        <w:t xml:space="preserve">T. </w:t>
      </w:r>
      <w:r>
        <w:rPr>
          <w:smallCaps/>
        </w:rPr>
        <w:t>ROBERT</w:t>
      </w:r>
      <w:r w:rsidRPr="00187999">
        <w:rPr>
          <w:smallCaps/>
        </w:rPr>
        <w:t xml:space="preserve">, </w:t>
      </w:r>
      <w:r w:rsidRPr="00187999">
        <w:t xml:space="preserve">“Naar een afstammingsloos gezag?” (noot onder Arbitragehof 8 oktober 2003), </w:t>
      </w:r>
      <w:r w:rsidRPr="00187999">
        <w:rPr>
          <w:i/>
          <w:iCs/>
        </w:rPr>
        <w:t>TJK</w:t>
      </w:r>
      <w:r>
        <w:t xml:space="preserve"> 2004, (39) 40, nr. 1</w:t>
      </w:r>
      <w:r w:rsidRPr="00187999">
        <w:t xml:space="preserve">; </w:t>
      </w:r>
      <w:r w:rsidRPr="00420C41">
        <w:rPr>
          <w:smallCaps/>
        </w:rPr>
        <w:t xml:space="preserve">P. </w:t>
      </w:r>
      <w:r>
        <w:rPr>
          <w:smallCaps/>
        </w:rPr>
        <w:t>SENAEVE</w:t>
      </w:r>
      <w:r w:rsidRPr="00420C41">
        <w:rPr>
          <w:smallCaps/>
        </w:rPr>
        <w:t xml:space="preserve">, </w:t>
      </w:r>
      <w:r w:rsidRPr="00420C41">
        <w:t>“Naar een wettelijk statuut voor de lesbische meemoeder?</w:t>
      </w:r>
      <w:r w:rsidRPr="00420C41">
        <w:rPr>
          <w:color w:val="000000"/>
        </w:rPr>
        <w:t>”</w:t>
      </w:r>
      <w:r>
        <w:rPr>
          <w:color w:val="000000"/>
        </w:rPr>
        <w:t xml:space="preserve"> (noot onder Arbitragehof 8 oktober 2003), </w:t>
      </w:r>
      <w:r w:rsidRPr="00420C41">
        <w:rPr>
          <w:i/>
          <w:iCs/>
          <w:color w:val="000000"/>
        </w:rPr>
        <w:t>Echt</w:t>
      </w:r>
      <w:r>
        <w:rPr>
          <w:i/>
          <w:iCs/>
          <w:color w:val="000000"/>
        </w:rPr>
        <w:t>s</w:t>
      </w:r>
      <w:r w:rsidRPr="00420C41">
        <w:rPr>
          <w:i/>
          <w:iCs/>
          <w:color w:val="000000"/>
        </w:rPr>
        <w:t xml:space="preserve">cheidingsjournaal </w:t>
      </w:r>
      <w:r>
        <w:rPr>
          <w:color w:val="000000"/>
        </w:rPr>
        <w:t>2003, (135) 135, nr. 1.</w:t>
      </w:r>
    </w:p>
  </w:footnote>
  <w:footnote w:id="255">
    <w:p w:rsidR="002A0E74" w:rsidRPr="00A25108" w:rsidRDefault="002A0E74" w:rsidP="00A25108">
      <w:pPr>
        <w:rPr>
          <w:sz w:val="20"/>
          <w:szCs w:val="20"/>
        </w:rPr>
      </w:pPr>
      <w:r w:rsidRPr="00420C41">
        <w:rPr>
          <w:rStyle w:val="FootnoteReference"/>
          <w:sz w:val="20"/>
          <w:szCs w:val="20"/>
        </w:rPr>
        <w:footnoteRef/>
      </w:r>
      <w:r w:rsidRPr="00420C41">
        <w:rPr>
          <w:sz w:val="20"/>
          <w:szCs w:val="20"/>
        </w:rPr>
        <w:t xml:space="preserve"> </w:t>
      </w:r>
      <w:r w:rsidRPr="00A25108">
        <w:rPr>
          <w:color w:val="000000"/>
          <w:kern w:val="36"/>
          <w:sz w:val="20"/>
          <w:szCs w:val="20"/>
        </w:rPr>
        <w:t xml:space="preserve">Jeugdrb. Antwerpen (3e k.) 3 oktober 2002, </w:t>
      </w:r>
      <w:r w:rsidRPr="00A25108">
        <w:rPr>
          <w:i/>
          <w:iCs/>
          <w:color w:val="000000"/>
          <w:kern w:val="36"/>
          <w:sz w:val="20"/>
          <w:szCs w:val="20"/>
        </w:rPr>
        <w:t>RW</w:t>
      </w:r>
      <w:r w:rsidRPr="00A25108">
        <w:rPr>
          <w:color w:val="000000"/>
          <w:kern w:val="36"/>
          <w:sz w:val="20"/>
          <w:szCs w:val="20"/>
        </w:rPr>
        <w:t xml:space="preserve"> 2002-03, afl. 30, 1188.</w:t>
      </w:r>
    </w:p>
  </w:footnote>
  <w:footnote w:id="256">
    <w:p w:rsidR="002A0E74" w:rsidRPr="00A25108" w:rsidRDefault="002A0E74" w:rsidP="00A25108">
      <w:pPr>
        <w:rPr>
          <w:sz w:val="20"/>
          <w:szCs w:val="20"/>
        </w:rPr>
      </w:pPr>
      <w:r w:rsidRPr="00A25108">
        <w:rPr>
          <w:rStyle w:val="FootnoteReference"/>
          <w:sz w:val="20"/>
          <w:szCs w:val="20"/>
        </w:rPr>
        <w:footnoteRef/>
      </w:r>
      <w:r w:rsidRPr="00A25108">
        <w:rPr>
          <w:sz w:val="20"/>
          <w:szCs w:val="20"/>
        </w:rPr>
        <w:t xml:space="preserve"> </w:t>
      </w:r>
      <w:r w:rsidRPr="00A25108">
        <w:rPr>
          <w:color w:val="000000"/>
          <w:kern w:val="36"/>
          <w:sz w:val="20"/>
          <w:szCs w:val="20"/>
        </w:rPr>
        <w:t xml:space="preserve">Jeugdrb. Antwerpen (3e k.) 3 oktober 2002, </w:t>
      </w:r>
      <w:r w:rsidRPr="00A25108">
        <w:rPr>
          <w:i/>
          <w:iCs/>
          <w:color w:val="000000"/>
          <w:kern w:val="36"/>
          <w:sz w:val="20"/>
          <w:szCs w:val="20"/>
        </w:rPr>
        <w:t>RW</w:t>
      </w:r>
      <w:r w:rsidRPr="00A25108">
        <w:rPr>
          <w:color w:val="000000"/>
          <w:kern w:val="36"/>
          <w:sz w:val="20"/>
          <w:szCs w:val="20"/>
        </w:rPr>
        <w:t xml:space="preserve"> 2002-03, afl. 30, 1188.</w:t>
      </w:r>
    </w:p>
  </w:footnote>
  <w:footnote w:id="257">
    <w:p w:rsidR="002A0E74" w:rsidRPr="00A25108" w:rsidRDefault="002A0E74" w:rsidP="00A25108">
      <w:pPr>
        <w:pStyle w:val="FootnoteText"/>
      </w:pPr>
      <w:r w:rsidRPr="00A25108">
        <w:rPr>
          <w:rStyle w:val="FootnoteReference"/>
        </w:rPr>
        <w:footnoteRef/>
      </w:r>
      <w:r w:rsidRPr="00A25108">
        <w:t xml:space="preserve"> </w:t>
      </w:r>
      <w:r w:rsidRPr="00A25108">
        <w:rPr>
          <w:color w:val="000000"/>
        </w:rPr>
        <w:t xml:space="preserve">Arbitragehof 8 oktober 2003, nr. 134/2003, </w:t>
      </w:r>
      <w:r w:rsidRPr="00A25108">
        <w:rPr>
          <w:i/>
          <w:iCs/>
          <w:color w:val="000000"/>
        </w:rPr>
        <w:t xml:space="preserve">NJW </w:t>
      </w:r>
      <w:r w:rsidRPr="00A25108">
        <w:rPr>
          <w:color w:val="000000"/>
        </w:rPr>
        <w:t>2004, 80.</w:t>
      </w:r>
    </w:p>
  </w:footnote>
  <w:footnote w:id="258">
    <w:p w:rsidR="002A0E74" w:rsidRPr="000F21D7" w:rsidRDefault="002A0E74" w:rsidP="00A25108">
      <w:pPr>
        <w:pStyle w:val="FootnoteText"/>
      </w:pPr>
      <w:r w:rsidRPr="00A25108">
        <w:rPr>
          <w:rStyle w:val="FootnoteReference"/>
        </w:rPr>
        <w:footnoteRef/>
      </w:r>
      <w:r w:rsidRPr="00A25108">
        <w:t xml:space="preserve"> </w:t>
      </w:r>
      <w:r w:rsidRPr="00A25108">
        <w:rPr>
          <w:smallCaps/>
        </w:rPr>
        <w:t xml:space="preserve">F. MEERSSCHAUT, </w:t>
      </w:r>
      <w:r w:rsidRPr="00A25108">
        <w:t xml:space="preserve">“Overzicht van rechtspraak – De rechtspraak van het arbitragehof ten behoeve van de private rechtspraktijk 1992-1997”, </w:t>
      </w:r>
      <w:r w:rsidRPr="00A25108">
        <w:rPr>
          <w:i/>
        </w:rPr>
        <w:t xml:space="preserve">TPR </w:t>
      </w:r>
      <w:r w:rsidRPr="00A25108">
        <w:t>1998, (889) 918, nr. 50.</w:t>
      </w:r>
    </w:p>
  </w:footnote>
  <w:footnote w:id="259">
    <w:p w:rsidR="002A0E74" w:rsidRPr="00AB7292" w:rsidRDefault="002A0E74">
      <w:pPr>
        <w:pStyle w:val="FootnoteText"/>
      </w:pPr>
      <w:r>
        <w:rPr>
          <w:rStyle w:val="FootnoteReference"/>
        </w:rPr>
        <w:footnoteRef/>
      </w:r>
      <w:r>
        <w:t xml:space="preserve"> </w:t>
      </w:r>
      <w:r w:rsidRPr="00420C41">
        <w:rPr>
          <w:smallCaps/>
        </w:rPr>
        <w:t xml:space="preserve">P. </w:t>
      </w:r>
      <w:r>
        <w:rPr>
          <w:smallCaps/>
        </w:rPr>
        <w:t>SENAEVE</w:t>
      </w:r>
      <w:r w:rsidRPr="00420C41">
        <w:rPr>
          <w:smallCaps/>
        </w:rPr>
        <w:t xml:space="preserve">, </w:t>
      </w:r>
      <w:r w:rsidRPr="00420C41">
        <w:t>“Naar een wettelijk statuut voor de lesbische meemoeder?</w:t>
      </w:r>
      <w:r w:rsidRPr="00420C41">
        <w:rPr>
          <w:color w:val="000000"/>
        </w:rPr>
        <w:t>”</w:t>
      </w:r>
      <w:r>
        <w:rPr>
          <w:color w:val="000000"/>
        </w:rPr>
        <w:t xml:space="preserve"> (noot onder Arbitragehof 8 oktober 2003), </w:t>
      </w:r>
      <w:r w:rsidRPr="00420C41">
        <w:rPr>
          <w:i/>
          <w:iCs/>
          <w:color w:val="000000"/>
        </w:rPr>
        <w:t>Echt</w:t>
      </w:r>
      <w:r>
        <w:rPr>
          <w:i/>
          <w:iCs/>
          <w:color w:val="000000"/>
        </w:rPr>
        <w:t>s</w:t>
      </w:r>
      <w:r w:rsidRPr="00420C41">
        <w:rPr>
          <w:i/>
          <w:iCs/>
          <w:color w:val="000000"/>
        </w:rPr>
        <w:t xml:space="preserve">cheidingsjournaal </w:t>
      </w:r>
      <w:r>
        <w:rPr>
          <w:color w:val="000000"/>
        </w:rPr>
        <w:t>2003, (135) 136, nr. 5.</w:t>
      </w:r>
    </w:p>
  </w:footnote>
  <w:footnote w:id="260">
    <w:p w:rsidR="002A0E74" w:rsidRPr="000F21D7" w:rsidRDefault="002A0E74">
      <w:pPr>
        <w:pStyle w:val="FootnoteText"/>
      </w:pPr>
      <w:r>
        <w:rPr>
          <w:rStyle w:val="FootnoteReference"/>
        </w:rPr>
        <w:footnoteRef/>
      </w:r>
      <w:r>
        <w:t xml:space="preserve"> </w:t>
      </w:r>
      <w:r w:rsidRPr="008F6472">
        <w:rPr>
          <w:color w:val="000000"/>
        </w:rPr>
        <w:t xml:space="preserve">Arbitragehof 8 oktober 2003, </w:t>
      </w:r>
      <w:r>
        <w:rPr>
          <w:color w:val="000000"/>
        </w:rPr>
        <w:t xml:space="preserve">nr. 134/2003, </w:t>
      </w:r>
      <w:r w:rsidRPr="008F6472">
        <w:rPr>
          <w:i/>
          <w:iCs/>
          <w:color w:val="000000"/>
        </w:rPr>
        <w:t xml:space="preserve">NJW </w:t>
      </w:r>
      <w:r>
        <w:rPr>
          <w:color w:val="000000"/>
        </w:rPr>
        <w:t>2004, 80.</w:t>
      </w:r>
    </w:p>
  </w:footnote>
  <w:footnote w:id="261">
    <w:p w:rsidR="002A0E74" w:rsidRPr="000F21D7" w:rsidRDefault="002A0E74">
      <w:pPr>
        <w:pStyle w:val="FootnoteText"/>
      </w:pPr>
      <w:r>
        <w:rPr>
          <w:rStyle w:val="FootnoteReference"/>
        </w:rPr>
        <w:footnoteRef/>
      </w:r>
      <w:r>
        <w:t xml:space="preserve"> </w:t>
      </w:r>
      <w:r w:rsidRPr="00642E09">
        <w:t xml:space="preserve">Voorstel van wet tot wijziging van de wetgeving betreffende de bescherming van het kind wat de invoering van het zorgouderschap betreft, </w:t>
      </w:r>
      <w:r w:rsidRPr="00642E09">
        <w:rPr>
          <w:i/>
          <w:iCs/>
        </w:rPr>
        <w:t>Parl.St.</w:t>
      </w:r>
      <w:r w:rsidRPr="00642E09">
        <w:t xml:space="preserve"> Kamer 2014, nr. 54-0114/001; Voorstel van wet teneinde het zorgouderschap in het Burgerlijk Wetboek op te nemen., </w:t>
      </w:r>
      <w:r w:rsidRPr="00642E09">
        <w:rPr>
          <w:i/>
          <w:iCs/>
        </w:rPr>
        <w:t>Parl.St.</w:t>
      </w:r>
      <w:r w:rsidRPr="00642E09">
        <w:t xml:space="preserve"> Kamer 2014, nr. 54-0194/001.</w:t>
      </w:r>
    </w:p>
  </w:footnote>
  <w:footnote w:id="262">
    <w:p w:rsidR="002A0E74" w:rsidRDefault="002A0E74" w:rsidP="00A544A7">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nr. 54-0114/001, 7; Voorstel van wet teneinde het zorgouderschap in het Burgerlijk Wetboek op te nemen, </w:t>
      </w:r>
      <w:r>
        <w:rPr>
          <w:i/>
          <w:iCs/>
        </w:rPr>
        <w:t>Parl.</w:t>
      </w:r>
      <w:r w:rsidRPr="00204254">
        <w:rPr>
          <w:i/>
          <w:iCs/>
        </w:rPr>
        <w:t>St</w:t>
      </w:r>
      <w:r w:rsidRPr="00187999">
        <w:t>. Kamer 2014, nr. 54-0194/001, 3.</w:t>
      </w:r>
    </w:p>
  </w:footnote>
  <w:footnote w:id="263">
    <w:p w:rsidR="002A0E74" w:rsidRDefault="002A0E74" w:rsidP="004E607E">
      <w:r w:rsidRPr="00B60ABE">
        <w:rPr>
          <w:rStyle w:val="FootnoteReference"/>
          <w:sz w:val="20"/>
          <w:szCs w:val="20"/>
        </w:rPr>
        <w:footnoteRef/>
      </w:r>
      <w:r w:rsidRPr="00B60ABE">
        <w:rPr>
          <w:sz w:val="20"/>
          <w:szCs w:val="20"/>
        </w:rPr>
        <w:t xml:space="preserve"> </w:t>
      </w:r>
      <w:r>
        <w:rPr>
          <w:smallCaps/>
          <w:sz w:val="20"/>
          <w:szCs w:val="20"/>
        </w:rPr>
        <w:t>RDC</w:t>
      </w:r>
      <w:r w:rsidRPr="00B60ABE">
        <w:rPr>
          <w:smallCaps/>
          <w:sz w:val="20"/>
          <w:szCs w:val="20"/>
        </w:rPr>
        <w:t xml:space="preserve">, </w:t>
      </w:r>
      <w:r w:rsidRPr="00B60ABE">
        <w:rPr>
          <w:sz w:val="20"/>
          <w:szCs w:val="20"/>
        </w:rPr>
        <w:t>noot ond</w:t>
      </w:r>
      <w:r>
        <w:rPr>
          <w:sz w:val="20"/>
          <w:szCs w:val="20"/>
        </w:rPr>
        <w:t xml:space="preserve">er Arbitragehof 8 oktober 2003, </w:t>
      </w:r>
      <w:r w:rsidRPr="00B60ABE">
        <w:rPr>
          <w:i/>
          <w:iCs/>
          <w:color w:val="000000"/>
          <w:sz w:val="20"/>
          <w:szCs w:val="20"/>
        </w:rPr>
        <w:t xml:space="preserve">NJW </w:t>
      </w:r>
      <w:r w:rsidRPr="00B60ABE">
        <w:rPr>
          <w:color w:val="000000"/>
          <w:sz w:val="20"/>
          <w:szCs w:val="20"/>
        </w:rPr>
        <w:t xml:space="preserve">2004, </w:t>
      </w:r>
      <w:r>
        <w:rPr>
          <w:color w:val="000000"/>
          <w:sz w:val="20"/>
          <w:szCs w:val="20"/>
        </w:rPr>
        <w:t xml:space="preserve">(80) </w:t>
      </w:r>
      <w:r w:rsidRPr="00B60ABE">
        <w:rPr>
          <w:color w:val="000000"/>
          <w:sz w:val="20"/>
          <w:szCs w:val="20"/>
        </w:rPr>
        <w:t>80;</w:t>
      </w:r>
      <w:r>
        <w:rPr>
          <w:color w:val="000000"/>
          <w:sz w:val="20"/>
          <w:szCs w:val="20"/>
        </w:rPr>
        <w:t xml:space="preserve"> </w:t>
      </w:r>
      <w:r>
        <w:rPr>
          <w:smallCaps/>
          <w:color w:val="000000"/>
          <w:sz w:val="20"/>
          <w:szCs w:val="20"/>
        </w:rPr>
        <w:t>T. ROBERT</w:t>
      </w:r>
      <w:r w:rsidRPr="00B60ABE">
        <w:rPr>
          <w:smallCaps/>
          <w:color w:val="000000"/>
          <w:sz w:val="20"/>
          <w:szCs w:val="20"/>
        </w:rPr>
        <w:t xml:space="preserve">., </w:t>
      </w:r>
      <w:r w:rsidRPr="00B60ABE">
        <w:rPr>
          <w:color w:val="000000"/>
          <w:sz w:val="20"/>
          <w:szCs w:val="20"/>
        </w:rPr>
        <w:t xml:space="preserve">“Afstamming als exclusieve grondslag van het ouderlijk gezag: geen toelaatbare verantwoording, maar niet discriminerend.” (noot onder Arbitragehof 8 oktober 2003), </w:t>
      </w:r>
      <w:r>
        <w:rPr>
          <w:i/>
          <w:iCs/>
          <w:color w:val="000000"/>
          <w:sz w:val="20"/>
          <w:szCs w:val="20"/>
        </w:rPr>
        <w:t>RW</w:t>
      </w:r>
      <w:r w:rsidRPr="00B60ABE">
        <w:rPr>
          <w:color w:val="000000"/>
          <w:sz w:val="20"/>
          <w:szCs w:val="20"/>
        </w:rPr>
        <w:t xml:space="preserve"> 2003-04, afl. 26</w:t>
      </w:r>
      <w:r>
        <w:rPr>
          <w:color w:val="000000"/>
          <w:sz w:val="20"/>
          <w:szCs w:val="20"/>
        </w:rPr>
        <w:t xml:space="preserve">, (1017) 1017-1018; </w:t>
      </w:r>
      <w:r w:rsidRPr="00BD374E">
        <w:rPr>
          <w:smallCaps/>
          <w:sz w:val="20"/>
          <w:szCs w:val="20"/>
        </w:rPr>
        <w:t xml:space="preserve">T. </w:t>
      </w:r>
      <w:r>
        <w:rPr>
          <w:smallCaps/>
          <w:sz w:val="20"/>
          <w:szCs w:val="20"/>
        </w:rPr>
        <w:t>ROBERT</w:t>
      </w:r>
      <w:r w:rsidRPr="00BD374E">
        <w:rPr>
          <w:smallCaps/>
          <w:sz w:val="20"/>
          <w:szCs w:val="20"/>
        </w:rPr>
        <w:t xml:space="preserve">, </w:t>
      </w:r>
      <w:r w:rsidRPr="00BD374E">
        <w:rPr>
          <w:sz w:val="20"/>
          <w:szCs w:val="20"/>
        </w:rPr>
        <w:t xml:space="preserve">“Naar een afstammingsloos gezag?” (noot onder Arbitragehof 8 oktober 2003), </w:t>
      </w:r>
      <w:r w:rsidRPr="00BD374E">
        <w:rPr>
          <w:i/>
          <w:iCs/>
          <w:sz w:val="20"/>
          <w:szCs w:val="20"/>
        </w:rPr>
        <w:t>TJK</w:t>
      </w:r>
      <w:r>
        <w:rPr>
          <w:sz w:val="20"/>
          <w:szCs w:val="20"/>
        </w:rPr>
        <w:t xml:space="preserve"> 2004, (39) 42-43</w:t>
      </w:r>
      <w:r w:rsidRPr="00BD374E">
        <w:rPr>
          <w:sz w:val="20"/>
          <w:szCs w:val="20"/>
        </w:rPr>
        <w:t>, nr.</w:t>
      </w:r>
      <w:r>
        <w:rPr>
          <w:sz w:val="20"/>
          <w:szCs w:val="20"/>
        </w:rPr>
        <w:t xml:space="preserve"> 13-1</w:t>
      </w:r>
      <w:r w:rsidRPr="00BC4550">
        <w:rPr>
          <w:sz w:val="20"/>
          <w:szCs w:val="20"/>
        </w:rPr>
        <w:t xml:space="preserve">7; </w:t>
      </w:r>
      <w:r w:rsidRPr="00BC4550">
        <w:rPr>
          <w:smallCaps/>
          <w:sz w:val="20"/>
          <w:szCs w:val="20"/>
        </w:rPr>
        <w:t xml:space="preserve">P. </w:t>
      </w:r>
      <w:r>
        <w:rPr>
          <w:smallCaps/>
          <w:sz w:val="20"/>
          <w:szCs w:val="20"/>
        </w:rPr>
        <w:t>SENAEVE</w:t>
      </w:r>
      <w:r w:rsidRPr="00BC4550">
        <w:rPr>
          <w:smallCaps/>
          <w:sz w:val="20"/>
          <w:szCs w:val="20"/>
        </w:rPr>
        <w:t xml:space="preserve">, </w:t>
      </w:r>
      <w:r w:rsidRPr="00BC4550">
        <w:rPr>
          <w:sz w:val="20"/>
          <w:szCs w:val="20"/>
        </w:rPr>
        <w:t>“Naar een wettelijk statuut voor de lesbische meemoeder?</w:t>
      </w:r>
      <w:r w:rsidRPr="00BC4550">
        <w:rPr>
          <w:color w:val="000000"/>
          <w:sz w:val="20"/>
          <w:szCs w:val="20"/>
        </w:rPr>
        <w:t xml:space="preserve">” (noot onder Arbitragehof 8 oktober 2003), </w:t>
      </w:r>
      <w:r w:rsidRPr="00BC4550">
        <w:rPr>
          <w:i/>
          <w:iCs/>
          <w:color w:val="000000"/>
          <w:sz w:val="20"/>
          <w:szCs w:val="20"/>
        </w:rPr>
        <w:t xml:space="preserve">Echtscheidingsjournaal </w:t>
      </w:r>
      <w:r w:rsidRPr="00BC4550">
        <w:rPr>
          <w:color w:val="000000"/>
          <w:sz w:val="20"/>
          <w:szCs w:val="20"/>
        </w:rPr>
        <w:t>2003,</w:t>
      </w:r>
      <w:r>
        <w:rPr>
          <w:color w:val="000000"/>
          <w:sz w:val="20"/>
          <w:szCs w:val="20"/>
        </w:rPr>
        <w:t xml:space="preserve"> (135) 137, nr. 8; </w:t>
      </w:r>
      <w:r>
        <w:rPr>
          <w:smallCaps/>
          <w:color w:val="000000"/>
          <w:sz w:val="20"/>
          <w:szCs w:val="20"/>
        </w:rPr>
        <w:t xml:space="preserve">G. VERSCHELDEN, </w:t>
      </w:r>
      <w:r w:rsidRPr="00B60ABE">
        <w:rPr>
          <w:color w:val="000000"/>
          <w:sz w:val="20"/>
          <w:szCs w:val="20"/>
        </w:rPr>
        <w:t xml:space="preserve">“Arbitragehof zet deur open voor zorgouderschap”, </w:t>
      </w:r>
      <w:r w:rsidRPr="00B60ABE">
        <w:rPr>
          <w:i/>
          <w:iCs/>
          <w:color w:val="000000"/>
          <w:sz w:val="20"/>
          <w:szCs w:val="20"/>
        </w:rPr>
        <w:t>Juristenkrant</w:t>
      </w:r>
      <w:r w:rsidRPr="00B60ABE">
        <w:rPr>
          <w:color w:val="000000"/>
          <w:sz w:val="20"/>
          <w:szCs w:val="20"/>
        </w:rPr>
        <w:t xml:space="preserve"> 2003, 19 november 2003, afl. 78, </w:t>
      </w:r>
      <w:r>
        <w:rPr>
          <w:color w:val="000000"/>
          <w:sz w:val="20"/>
          <w:szCs w:val="20"/>
        </w:rPr>
        <w:t xml:space="preserve">(13) </w:t>
      </w:r>
      <w:r w:rsidRPr="00B60ABE">
        <w:rPr>
          <w:color w:val="000000"/>
          <w:sz w:val="20"/>
          <w:szCs w:val="20"/>
        </w:rPr>
        <w:t>13.</w:t>
      </w:r>
    </w:p>
  </w:footnote>
  <w:footnote w:id="264">
    <w:p w:rsidR="002A0E74" w:rsidRPr="00A25108" w:rsidRDefault="002A0E74" w:rsidP="00F61CD7">
      <w:pPr>
        <w:pStyle w:val="FootnoteText"/>
        <w:rPr>
          <w:lang w:val="fr-FR"/>
        </w:rPr>
      </w:pPr>
      <w:r w:rsidRPr="00A25108">
        <w:rPr>
          <w:rStyle w:val="FootnoteReference"/>
        </w:rPr>
        <w:footnoteRef/>
      </w:r>
      <w:r w:rsidRPr="00A25108">
        <w:rPr>
          <w:lang w:val="fr-FR"/>
        </w:rPr>
        <w:t xml:space="preserve"> </w:t>
      </w:r>
      <w:r w:rsidRPr="00A25108">
        <w:rPr>
          <w:smallCaps/>
          <w:lang w:val="fr-FR"/>
        </w:rPr>
        <w:t>N. GALLUS, “</w:t>
      </w:r>
      <w:r w:rsidRPr="00A25108">
        <w:rPr>
          <w:lang w:val="fr-FR"/>
        </w:rPr>
        <w:t xml:space="preserve">Les fondements et la représentation juridique de la parenté” </w:t>
      </w:r>
      <w:r w:rsidRPr="00A25108">
        <w:rPr>
          <w:lang w:val="fr-BE"/>
        </w:rPr>
        <w:t xml:space="preserve">in </w:t>
      </w:r>
      <w:r w:rsidRPr="00A25108">
        <w:rPr>
          <w:smallCaps/>
          <w:lang w:val="fr-BE"/>
        </w:rPr>
        <w:t>GALLUS, N. (</w:t>
      </w:r>
      <w:r w:rsidRPr="00A25108">
        <w:rPr>
          <w:lang w:val="fr-BE"/>
        </w:rPr>
        <w:t>ed.),</w:t>
      </w:r>
      <w:r w:rsidRPr="00A25108">
        <w:rPr>
          <w:i/>
          <w:iCs/>
          <w:lang w:val="fr-BE"/>
        </w:rPr>
        <w:t xml:space="preserve"> Les recompositions familiales, </w:t>
      </w:r>
      <w:r w:rsidRPr="00A25108">
        <w:rPr>
          <w:lang w:val="fr-BE"/>
        </w:rPr>
        <w:t xml:space="preserve">Limal, Anthemis, 2015, </w:t>
      </w:r>
      <w:r>
        <w:rPr>
          <w:lang w:val="fr-BE"/>
        </w:rPr>
        <w:t xml:space="preserve">(7) </w:t>
      </w:r>
      <w:r w:rsidRPr="00A25108">
        <w:rPr>
          <w:lang w:val="fr-BE"/>
        </w:rPr>
        <w:t>19, nr. 17.</w:t>
      </w:r>
    </w:p>
  </w:footnote>
  <w:footnote w:id="265">
    <w:p w:rsidR="002A0E74" w:rsidRPr="00A25108" w:rsidRDefault="002A0E74">
      <w:pPr>
        <w:pStyle w:val="FootnoteText"/>
        <w:rPr>
          <w:lang w:val="fr-FR"/>
        </w:rPr>
      </w:pPr>
      <w:r w:rsidRPr="00A25108">
        <w:rPr>
          <w:rStyle w:val="FootnoteReference"/>
        </w:rPr>
        <w:footnoteRef/>
      </w:r>
      <w:r w:rsidRPr="00A25108">
        <w:rPr>
          <w:lang w:val="fr-FR"/>
        </w:rPr>
        <w:t xml:space="preserve"> </w:t>
      </w:r>
      <w:r w:rsidRPr="00A25108">
        <w:rPr>
          <w:smallCaps/>
          <w:lang w:val="fr-FR"/>
        </w:rPr>
        <w:t>N. GALLUS, “</w:t>
      </w:r>
      <w:r w:rsidRPr="00A25108">
        <w:rPr>
          <w:lang w:val="fr-FR"/>
        </w:rPr>
        <w:t xml:space="preserve">Les fondements et la représentation juridique de la parenté” </w:t>
      </w:r>
      <w:r w:rsidRPr="00A25108">
        <w:rPr>
          <w:lang w:val="fr-BE"/>
        </w:rPr>
        <w:t xml:space="preserve">in </w:t>
      </w:r>
      <w:r w:rsidRPr="00A25108">
        <w:rPr>
          <w:smallCaps/>
          <w:lang w:val="fr-BE"/>
        </w:rPr>
        <w:t>GALLUS, N. (</w:t>
      </w:r>
      <w:r w:rsidRPr="00A25108">
        <w:rPr>
          <w:lang w:val="fr-BE"/>
        </w:rPr>
        <w:t>ed.),</w:t>
      </w:r>
      <w:r w:rsidRPr="00A25108">
        <w:rPr>
          <w:i/>
          <w:iCs/>
          <w:lang w:val="fr-BE"/>
        </w:rPr>
        <w:t xml:space="preserve"> Les recompositions familiales, </w:t>
      </w:r>
      <w:r w:rsidRPr="00A25108">
        <w:rPr>
          <w:lang w:val="fr-BE"/>
        </w:rPr>
        <w:t>Limal, Anthemis, 2015,</w:t>
      </w:r>
      <w:r>
        <w:rPr>
          <w:lang w:val="fr-BE"/>
        </w:rPr>
        <w:t xml:space="preserve"> (7)</w:t>
      </w:r>
      <w:r w:rsidRPr="00A25108">
        <w:rPr>
          <w:lang w:val="fr-BE"/>
        </w:rPr>
        <w:t xml:space="preserve"> 15, nr. 12.</w:t>
      </w:r>
    </w:p>
  </w:footnote>
  <w:footnote w:id="266">
    <w:p w:rsidR="002A0E74" w:rsidRPr="00A25108" w:rsidRDefault="002A0E74">
      <w:pPr>
        <w:pStyle w:val="FootnoteText"/>
        <w:rPr>
          <w:lang w:val="fr-FR"/>
        </w:rPr>
      </w:pPr>
      <w:r w:rsidRPr="00A25108">
        <w:rPr>
          <w:rStyle w:val="FootnoteReference"/>
        </w:rPr>
        <w:footnoteRef/>
      </w:r>
      <w:r w:rsidRPr="00A25108">
        <w:rPr>
          <w:lang w:val="fr-FR"/>
        </w:rPr>
        <w:t xml:space="preserve"> </w:t>
      </w:r>
      <w:r w:rsidRPr="00A25108">
        <w:rPr>
          <w:smallCaps/>
          <w:lang w:val="fr-FR"/>
        </w:rPr>
        <w:t>N. GALLUS, “</w:t>
      </w:r>
      <w:r w:rsidRPr="00A25108">
        <w:rPr>
          <w:lang w:val="fr-FR"/>
        </w:rPr>
        <w:t xml:space="preserve">Les fondements et la représentation juridique de la parenté” </w:t>
      </w:r>
      <w:r w:rsidRPr="00A25108">
        <w:rPr>
          <w:lang w:val="fr-BE"/>
        </w:rPr>
        <w:t xml:space="preserve">in </w:t>
      </w:r>
      <w:r w:rsidRPr="00A25108">
        <w:rPr>
          <w:smallCaps/>
          <w:lang w:val="fr-BE"/>
        </w:rPr>
        <w:t>GALLUS, N. (</w:t>
      </w:r>
      <w:r w:rsidRPr="00A25108">
        <w:rPr>
          <w:lang w:val="fr-BE"/>
        </w:rPr>
        <w:t>ed.),</w:t>
      </w:r>
      <w:r w:rsidRPr="00A25108">
        <w:rPr>
          <w:i/>
          <w:iCs/>
          <w:lang w:val="fr-BE"/>
        </w:rPr>
        <w:t xml:space="preserve"> Les recompositions familiales, </w:t>
      </w:r>
      <w:r w:rsidRPr="00A25108">
        <w:rPr>
          <w:lang w:val="fr-BE"/>
        </w:rPr>
        <w:t xml:space="preserve">Limal, Anthemis, 2015, </w:t>
      </w:r>
      <w:r>
        <w:rPr>
          <w:lang w:val="fr-BE"/>
        </w:rPr>
        <w:t xml:space="preserve">(7) </w:t>
      </w:r>
      <w:r w:rsidRPr="00A25108">
        <w:rPr>
          <w:lang w:val="fr-BE"/>
        </w:rPr>
        <w:t>15, nr. 12.</w:t>
      </w:r>
    </w:p>
  </w:footnote>
  <w:footnote w:id="267">
    <w:p w:rsidR="002A0E74" w:rsidRPr="00A25108" w:rsidRDefault="002A0E74" w:rsidP="004654BA">
      <w:pPr>
        <w:rPr>
          <w:sz w:val="20"/>
          <w:szCs w:val="20"/>
        </w:rPr>
      </w:pPr>
      <w:r w:rsidRPr="00A25108">
        <w:rPr>
          <w:rStyle w:val="FootnoteReference"/>
          <w:sz w:val="20"/>
          <w:szCs w:val="20"/>
        </w:rPr>
        <w:footnoteRef/>
      </w:r>
      <w:r w:rsidRPr="00A25108">
        <w:rPr>
          <w:sz w:val="20"/>
          <w:szCs w:val="20"/>
        </w:rPr>
        <w:t xml:space="preserve"> </w:t>
      </w:r>
      <w:r w:rsidRPr="00A25108">
        <w:rPr>
          <w:sz w:val="20"/>
          <w:szCs w:val="20"/>
        </w:rPr>
        <w:t xml:space="preserve">Voorstel van wet tot wijziging van de wetgeving betreffende de bescherming van het kind wat de invoering van het zorgouderschap betreft, </w:t>
      </w:r>
      <w:r w:rsidRPr="00A25108">
        <w:rPr>
          <w:i/>
          <w:iCs/>
          <w:sz w:val="20"/>
          <w:szCs w:val="20"/>
        </w:rPr>
        <w:t>Parl.St.</w:t>
      </w:r>
      <w:r w:rsidRPr="00A25108">
        <w:rPr>
          <w:sz w:val="20"/>
          <w:szCs w:val="20"/>
        </w:rPr>
        <w:t xml:space="preserve"> Kamer 2014, nr. 54-0114/001; Voorstel van wet teneinde het zorgouderschap in het Burgerlijk Wetboek op te nemen., </w:t>
      </w:r>
      <w:r w:rsidRPr="00A25108">
        <w:rPr>
          <w:i/>
          <w:iCs/>
          <w:sz w:val="20"/>
          <w:szCs w:val="20"/>
        </w:rPr>
        <w:t>Parl.St.</w:t>
      </w:r>
      <w:r w:rsidRPr="00A25108">
        <w:rPr>
          <w:sz w:val="20"/>
          <w:szCs w:val="20"/>
        </w:rPr>
        <w:t xml:space="preserve"> Kamer 2014, nr. 54-0194/001; </w:t>
      </w:r>
      <w:r w:rsidRPr="00A25108">
        <w:rPr>
          <w:smallCaps/>
          <w:sz w:val="20"/>
          <w:szCs w:val="20"/>
        </w:rPr>
        <w:t xml:space="preserve">G. HIERNAUX, </w:t>
      </w:r>
      <w:r w:rsidRPr="00A25108">
        <w:rPr>
          <w:sz w:val="20"/>
          <w:szCs w:val="20"/>
        </w:rPr>
        <w:t xml:space="preserve">“L’autorité parentale et le rôle des tiers” in </w:t>
      </w:r>
      <w:r w:rsidRPr="00A25108">
        <w:rPr>
          <w:smallCaps/>
          <w:sz w:val="20"/>
          <w:szCs w:val="20"/>
        </w:rPr>
        <w:t>GALLUS, N. (</w:t>
      </w:r>
      <w:r w:rsidRPr="00A25108">
        <w:rPr>
          <w:sz w:val="20"/>
          <w:szCs w:val="20"/>
        </w:rPr>
        <w:t>ed.),</w:t>
      </w:r>
      <w:r w:rsidRPr="00A25108">
        <w:rPr>
          <w:i/>
          <w:iCs/>
          <w:sz w:val="20"/>
          <w:szCs w:val="20"/>
        </w:rPr>
        <w:t xml:space="preserve"> Les recompositions familiales, </w:t>
      </w:r>
      <w:r w:rsidRPr="00A25108">
        <w:rPr>
          <w:sz w:val="20"/>
          <w:szCs w:val="20"/>
        </w:rPr>
        <w:t xml:space="preserve">Limal, Anthemis, 2015, </w:t>
      </w:r>
      <w:r>
        <w:rPr>
          <w:sz w:val="20"/>
          <w:szCs w:val="20"/>
        </w:rPr>
        <w:t xml:space="preserve">(75) </w:t>
      </w:r>
      <w:r w:rsidRPr="00A25108">
        <w:rPr>
          <w:sz w:val="20"/>
          <w:szCs w:val="20"/>
        </w:rPr>
        <w:t>90-92.</w:t>
      </w:r>
    </w:p>
  </w:footnote>
  <w:footnote w:id="268">
    <w:p w:rsidR="002A0E74" w:rsidRPr="00A25108" w:rsidRDefault="002A0E74" w:rsidP="00E5278E">
      <w:pPr>
        <w:pStyle w:val="FootnoteText"/>
      </w:pPr>
      <w:r w:rsidRPr="00A25108">
        <w:rPr>
          <w:rStyle w:val="FootnoteReference"/>
        </w:rPr>
        <w:footnoteRef/>
      </w:r>
      <w:r w:rsidRPr="00A25108">
        <w:t xml:space="preserve"> </w:t>
      </w:r>
      <w:r w:rsidRPr="00A25108">
        <w:rPr>
          <w:smallCaps/>
        </w:rPr>
        <w:t xml:space="preserve">F. SWENNEN, </w:t>
      </w:r>
      <w:r w:rsidRPr="00A25108">
        <w:rPr>
          <w:i/>
          <w:iCs/>
        </w:rPr>
        <w:t>Het personen- en familierecht</w:t>
      </w:r>
      <w:r w:rsidRPr="00A25108">
        <w:t>, Antwerpen, Intersentia, 2015, 430-431, nr. 708.</w:t>
      </w:r>
    </w:p>
  </w:footnote>
  <w:footnote w:id="269">
    <w:p w:rsidR="002A0E74" w:rsidRPr="00A25108" w:rsidRDefault="002A0E74" w:rsidP="00E5278E">
      <w:pPr>
        <w:pStyle w:val="FootnoteText"/>
      </w:pPr>
      <w:r w:rsidRPr="00A25108">
        <w:rPr>
          <w:rStyle w:val="FootnoteReference"/>
        </w:rPr>
        <w:footnoteRef/>
      </w:r>
      <w:r w:rsidRPr="00A25108">
        <w:t xml:space="preserve"> </w:t>
      </w:r>
      <w:r w:rsidRPr="00A25108">
        <w:rPr>
          <w:smallCaps/>
        </w:rPr>
        <w:t xml:space="preserve">F. SWENNEN, </w:t>
      </w:r>
      <w:r w:rsidRPr="00A25108">
        <w:rPr>
          <w:i/>
          <w:iCs/>
        </w:rPr>
        <w:t>Het personen- en familierecht</w:t>
      </w:r>
      <w:r w:rsidRPr="00A25108">
        <w:t>, Antwerpen, Intersentia, 2015, 430-431, nr. 708.</w:t>
      </w:r>
    </w:p>
  </w:footnote>
  <w:footnote w:id="270">
    <w:p w:rsidR="002A0E74" w:rsidRPr="00660BA4" w:rsidRDefault="002A0E74" w:rsidP="00A7468F">
      <w:pPr>
        <w:autoSpaceDE w:val="0"/>
        <w:autoSpaceDN w:val="0"/>
        <w:adjustRightInd w:val="0"/>
        <w:rPr>
          <w:sz w:val="20"/>
          <w:szCs w:val="20"/>
        </w:rPr>
      </w:pPr>
      <w:r w:rsidRPr="00A25108">
        <w:rPr>
          <w:rStyle w:val="FootnoteReference"/>
          <w:sz w:val="20"/>
          <w:szCs w:val="20"/>
        </w:rPr>
        <w:footnoteRef/>
      </w:r>
      <w:r w:rsidRPr="00A25108">
        <w:rPr>
          <w:sz w:val="20"/>
          <w:szCs w:val="20"/>
        </w:rPr>
        <w:t xml:space="preserve"> </w:t>
      </w:r>
      <w:r w:rsidRPr="00A25108">
        <w:rPr>
          <w:sz w:val="20"/>
          <w:szCs w:val="20"/>
        </w:rPr>
        <w:t xml:space="preserve">Addendum op het verzoek tot het opstellen van een informatieverslag betreffende een onderzoek van de mogelijkheden voor een wettelijke regeling van meeouderschap, </w:t>
      </w:r>
      <w:r w:rsidRPr="00A25108">
        <w:rPr>
          <w:i/>
          <w:iCs/>
          <w:sz w:val="20"/>
          <w:szCs w:val="20"/>
        </w:rPr>
        <w:t>Parl.St.</w:t>
      </w:r>
      <w:r w:rsidRPr="00A25108">
        <w:rPr>
          <w:sz w:val="20"/>
          <w:szCs w:val="20"/>
        </w:rPr>
        <w:t xml:space="preserve"> Senaat 2015-16, nr. 6-98/3, 3; </w:t>
      </w:r>
      <w:r w:rsidRPr="00A25108">
        <w:rPr>
          <w:smallCaps/>
          <w:sz w:val="20"/>
          <w:szCs w:val="20"/>
        </w:rPr>
        <w:t xml:space="preserve">J.-J. DE GUCHT, </w:t>
      </w:r>
      <w:r w:rsidRPr="00A25108">
        <w:rPr>
          <w:i/>
          <w:sz w:val="20"/>
          <w:szCs w:val="20"/>
        </w:rPr>
        <w:t>De tijd dat het twee-ouderschapsideaal de norm was, is niet meer van deze tijd</w:t>
      </w:r>
      <w:r w:rsidRPr="00A25108">
        <w:rPr>
          <w:sz w:val="20"/>
          <w:szCs w:val="20"/>
        </w:rPr>
        <w:t xml:space="preserve">, 2015, </w:t>
      </w:r>
      <w:hyperlink r:id="rId11" w:history="1">
        <w:r w:rsidRPr="00A25108">
          <w:rPr>
            <w:rStyle w:val="Hyperlink"/>
            <w:sz w:val="20"/>
            <w:szCs w:val="20"/>
          </w:rPr>
          <w:t>http://www.knack.be/nieuws/belgie/de-tijd-dat-het-twee-ouderschapsideaal-de-norm-was-is-niet-meer-van-deze-tijd/article-opinion-546377.html</w:t>
        </w:r>
      </w:hyperlink>
      <w:r>
        <w:rPr>
          <w:sz w:val="20"/>
          <w:szCs w:val="20"/>
        </w:rPr>
        <w:t xml:space="preserve">; </w:t>
      </w:r>
      <w:r w:rsidRPr="00660BA4">
        <w:rPr>
          <w:smallCaps/>
          <w:sz w:val="20"/>
          <w:szCs w:val="20"/>
        </w:rPr>
        <w:t xml:space="preserve">F. SWENNEN, </w:t>
      </w:r>
      <w:r w:rsidRPr="00660BA4">
        <w:rPr>
          <w:i/>
          <w:iCs/>
          <w:sz w:val="20"/>
          <w:szCs w:val="20"/>
        </w:rPr>
        <w:t>Het personen- en familierecht</w:t>
      </w:r>
      <w:r w:rsidRPr="00660BA4">
        <w:rPr>
          <w:sz w:val="20"/>
          <w:szCs w:val="20"/>
        </w:rPr>
        <w:t>, Antwerpen, Intersentia, 2015, 430-431,</w:t>
      </w:r>
      <w:r>
        <w:rPr>
          <w:sz w:val="20"/>
          <w:szCs w:val="20"/>
        </w:rPr>
        <w:t xml:space="preserve"> nr. 708.</w:t>
      </w:r>
    </w:p>
  </w:footnote>
  <w:footnote w:id="271">
    <w:p w:rsidR="002A0E74" w:rsidRPr="00A7468F" w:rsidRDefault="002A0E74" w:rsidP="00DB053C">
      <w:pPr>
        <w:pStyle w:val="FootnoteText"/>
      </w:pPr>
      <w:r w:rsidRPr="00660BA4">
        <w:rPr>
          <w:rStyle w:val="FootnoteReference"/>
        </w:rPr>
        <w:footnoteRef/>
      </w:r>
      <w:r w:rsidRPr="00660BA4">
        <w:t xml:space="preserve"> </w:t>
      </w:r>
      <w:r w:rsidRPr="00660BA4">
        <w:rPr>
          <w:smallCaps/>
        </w:rPr>
        <w:t xml:space="preserve">F. SWENNEN, </w:t>
      </w:r>
      <w:r w:rsidRPr="00660BA4">
        <w:rPr>
          <w:i/>
          <w:iCs/>
        </w:rPr>
        <w:t>Het personen- en familierecht</w:t>
      </w:r>
      <w:r w:rsidRPr="00660BA4">
        <w:t>, Antwerpen, Intersentia, 2015, 430-431, nr. 708.</w:t>
      </w:r>
    </w:p>
  </w:footnote>
  <w:footnote w:id="272">
    <w:p w:rsidR="002A0E74" w:rsidRPr="00A7468F" w:rsidRDefault="002A0E74" w:rsidP="00345F36">
      <w:pPr>
        <w:autoSpaceDE w:val="0"/>
        <w:autoSpaceDN w:val="0"/>
        <w:adjustRightInd w:val="0"/>
        <w:rPr>
          <w:sz w:val="20"/>
          <w:szCs w:val="20"/>
        </w:rPr>
      </w:pPr>
      <w:r w:rsidRPr="00A7468F">
        <w:rPr>
          <w:rStyle w:val="FootnoteReference"/>
          <w:sz w:val="20"/>
          <w:szCs w:val="20"/>
        </w:rPr>
        <w:footnoteRef/>
      </w:r>
      <w:r w:rsidRPr="00A7468F">
        <w:rPr>
          <w:sz w:val="20"/>
          <w:szCs w:val="20"/>
        </w:rPr>
        <w:t xml:space="preserve">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w:t>
      </w:r>
    </w:p>
  </w:footnote>
  <w:footnote w:id="273">
    <w:p w:rsidR="002A0E74" w:rsidRDefault="002A0E74" w:rsidP="00345F36">
      <w:pPr>
        <w:autoSpaceDE w:val="0"/>
        <w:autoSpaceDN w:val="0"/>
        <w:adjustRightInd w:val="0"/>
      </w:pPr>
      <w:r w:rsidRPr="00A7468F">
        <w:rPr>
          <w:rStyle w:val="FootnoteReference"/>
          <w:sz w:val="20"/>
          <w:szCs w:val="20"/>
        </w:rPr>
        <w:footnoteRef/>
      </w:r>
      <w:r w:rsidRPr="00A7468F">
        <w:rPr>
          <w:sz w:val="20"/>
          <w:szCs w:val="20"/>
        </w:rPr>
        <w:t xml:space="preserve"> </w:t>
      </w:r>
      <w:r w:rsidRPr="00A7468F">
        <w:rPr>
          <w:sz w:val="20"/>
          <w:szCs w:val="20"/>
        </w:rPr>
        <w:t xml:space="preserve">Addendum op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6-98/3, 3.</w:t>
      </w:r>
    </w:p>
  </w:footnote>
  <w:footnote w:id="274">
    <w:p w:rsidR="002A0E74" w:rsidRPr="00C61702" w:rsidRDefault="002A0E74">
      <w:pPr>
        <w:pStyle w:val="FootnoteText"/>
        <w:rPr>
          <w:lang w:val="en-US"/>
        </w:rPr>
      </w:pPr>
      <w:r>
        <w:rPr>
          <w:rStyle w:val="FootnoteReference"/>
        </w:rPr>
        <w:footnoteRef/>
      </w:r>
      <w:r w:rsidRPr="00BF6338">
        <w:rPr>
          <w:lang w:val="en-US"/>
        </w:rPr>
        <w:t xml:space="preserve"> </w:t>
      </w:r>
      <w:r w:rsidRPr="00C61702">
        <w:rPr>
          <w:lang w:val="en-US"/>
        </w:rPr>
        <w:t>CANADA DEPARTEMENT OF JUSTICE, http://www.canada.justice.gc.ca/eng/.</w:t>
      </w:r>
    </w:p>
  </w:footnote>
  <w:footnote w:id="275">
    <w:p w:rsidR="002A0E74" w:rsidRPr="00C61702" w:rsidRDefault="002A0E74">
      <w:pPr>
        <w:pStyle w:val="FootnoteText"/>
        <w:rPr>
          <w:lang w:val="en-US"/>
        </w:rPr>
      </w:pPr>
      <w:r w:rsidRPr="00C61702">
        <w:rPr>
          <w:rStyle w:val="FootnoteReference"/>
        </w:rPr>
        <w:footnoteRef/>
      </w:r>
      <w:r w:rsidRPr="00C61702">
        <w:rPr>
          <w:lang w:val="en-US"/>
        </w:rPr>
        <w:t xml:space="preserve"> CANADA DEPARTEMENT OF JUSTICE, http://www.canada.justice.gc.ca/eng/.</w:t>
      </w:r>
    </w:p>
  </w:footnote>
  <w:footnote w:id="276">
    <w:p w:rsidR="002A0E74" w:rsidRPr="00BF6338" w:rsidRDefault="002A0E74">
      <w:pPr>
        <w:pStyle w:val="FootnoteText"/>
        <w:rPr>
          <w:lang w:val="en-US"/>
        </w:rPr>
      </w:pPr>
      <w:r w:rsidRPr="00C61702">
        <w:rPr>
          <w:rStyle w:val="FootnoteReference"/>
        </w:rPr>
        <w:footnoteRef/>
      </w:r>
      <w:r w:rsidRPr="00C61702">
        <w:rPr>
          <w:lang w:val="en-US"/>
        </w:rPr>
        <w:t xml:space="preserve"> CANADA DEPARTEMENT OF JUSTICE, http://www.canada.justice.gc.ca/eng/.</w:t>
      </w:r>
    </w:p>
  </w:footnote>
  <w:footnote w:id="277">
    <w:p w:rsidR="002A0E74" w:rsidRPr="00947606" w:rsidRDefault="002A0E74">
      <w:pPr>
        <w:pStyle w:val="FootnoteText"/>
        <w:rPr>
          <w:lang w:val="en-US"/>
        </w:rPr>
      </w:pPr>
      <w:r>
        <w:rPr>
          <w:rStyle w:val="FootnoteReference"/>
        </w:rPr>
        <w:footnoteRef/>
      </w:r>
      <w:r w:rsidRPr="009F06D9">
        <w:rPr>
          <w:lang w:val="en-US"/>
        </w:rPr>
        <w:t xml:space="preserve"> </w:t>
      </w:r>
      <w:r w:rsidRPr="00D95C53">
        <w:rPr>
          <w:smallCaps/>
          <w:lang w:val="en-US"/>
        </w:rPr>
        <w:t xml:space="preserve">F. </w:t>
      </w:r>
      <w:r>
        <w:rPr>
          <w:smallCaps/>
          <w:lang w:val="en-US"/>
        </w:rPr>
        <w:t>KELLY</w:t>
      </w:r>
      <w:r w:rsidRPr="00D95C53">
        <w:rPr>
          <w:smallCaps/>
          <w:lang w:val="en-US"/>
        </w:rPr>
        <w:t xml:space="preserve">, </w:t>
      </w:r>
      <w:r w:rsidRPr="00D95C53">
        <w:rPr>
          <w:lang w:val="en-US"/>
        </w:rPr>
        <w:t>“Multiple-parent families under British Columbia’s new family law act: a challenge to the supremacy of the nuclear family or a method by which to preserve biological ties and opposite-sex parenting?</w:t>
      </w:r>
      <w:proofErr w:type="gramStart"/>
      <w:r w:rsidRPr="00D95C53">
        <w:rPr>
          <w:lang w:val="en-US"/>
        </w:rPr>
        <w:t>”,</w:t>
      </w:r>
      <w:proofErr w:type="gramEnd"/>
      <w:r w:rsidRPr="00D95C53">
        <w:rPr>
          <w:lang w:val="en-US"/>
        </w:rPr>
        <w:t xml:space="preserve"> </w:t>
      </w:r>
      <w:r w:rsidRPr="00D95C53">
        <w:rPr>
          <w:rStyle w:val="exlresultdetails"/>
          <w:i/>
          <w:iCs/>
          <w:lang w:val="en-US"/>
        </w:rPr>
        <w:t xml:space="preserve">University of British Columbia Law Review </w:t>
      </w:r>
      <w:r w:rsidRPr="00D95C53">
        <w:rPr>
          <w:rStyle w:val="exlresultdetails"/>
          <w:lang w:val="en-US"/>
        </w:rPr>
        <w:t>2014, Vol.47(2)</w:t>
      </w:r>
      <w:r w:rsidRPr="00D95C53">
        <w:rPr>
          <w:lang w:val="en-US"/>
        </w:rPr>
        <w:t>,</w:t>
      </w:r>
      <w:r>
        <w:rPr>
          <w:lang w:val="en-US"/>
        </w:rPr>
        <w:t xml:space="preserve"> (565) 565.</w:t>
      </w:r>
    </w:p>
  </w:footnote>
  <w:footnote w:id="278">
    <w:p w:rsidR="002A0E74" w:rsidRPr="00947606" w:rsidRDefault="002A0E74" w:rsidP="00D76C20">
      <w:pPr>
        <w:pStyle w:val="FootnoteText"/>
        <w:rPr>
          <w:lang w:val="en-US"/>
        </w:rPr>
      </w:pPr>
      <w:r w:rsidRPr="00D95C53">
        <w:rPr>
          <w:rStyle w:val="FootnoteReference"/>
        </w:rPr>
        <w:footnoteRef/>
      </w:r>
      <w:r w:rsidRPr="00D95C53">
        <w:rPr>
          <w:lang w:val="en-US"/>
        </w:rPr>
        <w:t xml:space="preserve"> </w:t>
      </w:r>
      <w:r w:rsidRPr="00D95C53">
        <w:rPr>
          <w:smallCaps/>
          <w:lang w:val="en-US"/>
        </w:rPr>
        <w:t xml:space="preserve">L. </w:t>
      </w:r>
      <w:r>
        <w:rPr>
          <w:smallCaps/>
          <w:lang w:val="en-US"/>
        </w:rPr>
        <w:t>HARDER</w:t>
      </w:r>
      <w:r w:rsidRPr="00D95C53">
        <w:rPr>
          <w:smallCaps/>
          <w:lang w:val="en-US"/>
        </w:rPr>
        <w:t xml:space="preserve"> </w:t>
      </w:r>
      <w:r w:rsidRPr="00D95C53">
        <w:rPr>
          <w:lang w:val="en-US"/>
        </w:rPr>
        <w:t xml:space="preserve">en </w:t>
      </w:r>
      <w:r w:rsidRPr="00D95C53">
        <w:rPr>
          <w:smallCaps/>
          <w:lang w:val="en-US"/>
        </w:rPr>
        <w:t xml:space="preserve">M. </w:t>
      </w:r>
      <w:r>
        <w:rPr>
          <w:smallCaps/>
          <w:lang w:val="en-US"/>
        </w:rPr>
        <w:t>THOMARAT</w:t>
      </w:r>
      <w:r w:rsidRPr="00D95C53">
        <w:rPr>
          <w:smallCaps/>
          <w:lang w:val="en-US"/>
        </w:rPr>
        <w:t xml:space="preserve">, </w:t>
      </w:r>
      <w:r w:rsidRPr="00D95C53">
        <w:rPr>
          <w:lang w:val="en-US"/>
        </w:rPr>
        <w:t xml:space="preserve">“Parentage law in Canada: the numbers game of standing and status”, </w:t>
      </w:r>
      <w:r w:rsidRPr="00D95C53">
        <w:rPr>
          <w:i/>
          <w:iCs/>
          <w:lang w:val="en-US"/>
        </w:rPr>
        <w:t>International Journal of Law, Policy and Family</w:t>
      </w:r>
      <w:r w:rsidRPr="00D95C53">
        <w:rPr>
          <w:lang w:val="en-US"/>
        </w:rPr>
        <w:t xml:space="preserve"> 2012, vol. 26, </w:t>
      </w:r>
      <w:r>
        <w:rPr>
          <w:lang w:val="en-US"/>
        </w:rPr>
        <w:t xml:space="preserve">(62) </w:t>
      </w:r>
      <w:r w:rsidRPr="00D95C53">
        <w:rPr>
          <w:lang w:val="en-US"/>
        </w:rPr>
        <w:t xml:space="preserve">65-66; </w:t>
      </w:r>
      <w:r w:rsidRPr="00D95C53">
        <w:rPr>
          <w:smallCaps/>
          <w:lang w:val="en-US"/>
        </w:rPr>
        <w:t xml:space="preserve">F. </w:t>
      </w:r>
      <w:r>
        <w:rPr>
          <w:smallCaps/>
          <w:lang w:val="en-US"/>
        </w:rPr>
        <w:t>KELLY</w:t>
      </w:r>
      <w:r w:rsidRPr="00D95C53">
        <w:rPr>
          <w:smallCaps/>
          <w:lang w:val="en-US"/>
        </w:rPr>
        <w:t xml:space="preserve">, </w:t>
      </w:r>
      <w:r w:rsidRPr="00D95C53">
        <w:rPr>
          <w:lang w:val="en-US"/>
        </w:rPr>
        <w:t xml:space="preserve">“Equal Parents, Equal Children: Reforming Canada’s Parentage Laws to Recognize the Completeness of Women-led Families, </w:t>
      </w:r>
      <w:r w:rsidRPr="00D95C53">
        <w:rPr>
          <w:i/>
          <w:iCs/>
          <w:lang w:val="en-US"/>
        </w:rPr>
        <w:t>University of New Brunswick Law Journal</w:t>
      </w:r>
      <w:r w:rsidRPr="00D95C53">
        <w:rPr>
          <w:lang w:val="en-US"/>
        </w:rPr>
        <w:t xml:space="preserve"> 2013, vol. 64, </w:t>
      </w:r>
      <w:r>
        <w:rPr>
          <w:lang w:val="en-US"/>
        </w:rPr>
        <w:t xml:space="preserve">(253) </w:t>
      </w:r>
      <w:r w:rsidRPr="00D95C53">
        <w:rPr>
          <w:lang w:val="en-US"/>
        </w:rPr>
        <w:t xml:space="preserve">254-255; </w:t>
      </w:r>
      <w:r w:rsidRPr="00D95C53">
        <w:rPr>
          <w:smallCaps/>
          <w:lang w:val="en-US"/>
        </w:rPr>
        <w:t xml:space="preserve">F. </w:t>
      </w:r>
      <w:r>
        <w:rPr>
          <w:smallCaps/>
          <w:lang w:val="en-US"/>
        </w:rPr>
        <w:t>KELLY</w:t>
      </w:r>
      <w:r w:rsidRPr="00D95C53">
        <w:rPr>
          <w:smallCaps/>
          <w:lang w:val="en-US"/>
        </w:rPr>
        <w:t xml:space="preserve">, </w:t>
      </w:r>
      <w:r w:rsidRPr="00D95C53">
        <w:rPr>
          <w:lang w:val="en-US"/>
        </w:rPr>
        <w:t xml:space="preserve">“Multiple-parent families under British Columbia’s new family law act: a challenge to the supremacy of the nuclear family or a method by which to preserve biological ties and opposite-sex parenting?”, </w:t>
      </w:r>
      <w:r w:rsidRPr="00D95C53">
        <w:rPr>
          <w:rStyle w:val="exlresultdetails"/>
          <w:i/>
          <w:iCs/>
          <w:lang w:val="en-US"/>
        </w:rPr>
        <w:t xml:space="preserve">University of British Columbia Law Review </w:t>
      </w:r>
      <w:r w:rsidRPr="00D95C53">
        <w:rPr>
          <w:rStyle w:val="exlresultdetails"/>
          <w:lang w:val="en-US"/>
        </w:rPr>
        <w:t>2014, Vol.47(2)</w:t>
      </w:r>
      <w:r w:rsidRPr="00D95C53">
        <w:rPr>
          <w:lang w:val="en-US"/>
        </w:rPr>
        <w:t xml:space="preserve">, </w:t>
      </w:r>
      <w:r>
        <w:rPr>
          <w:lang w:val="en-US"/>
        </w:rPr>
        <w:t xml:space="preserve">(565) </w:t>
      </w:r>
      <w:r w:rsidRPr="00D95C53">
        <w:rPr>
          <w:lang w:val="en-US"/>
        </w:rPr>
        <w:t>577.</w:t>
      </w:r>
    </w:p>
  </w:footnote>
  <w:footnote w:id="279">
    <w:p w:rsidR="002A0E74" w:rsidRPr="00947606" w:rsidRDefault="002A0E74" w:rsidP="00DB053C">
      <w:pPr>
        <w:pStyle w:val="FootnoteText"/>
        <w:rPr>
          <w:lang w:val="en-US"/>
        </w:rPr>
      </w:pPr>
      <w:r>
        <w:rPr>
          <w:rStyle w:val="FootnoteReference"/>
        </w:rPr>
        <w:footnoteRef/>
      </w:r>
      <w:r w:rsidRPr="004B2F12">
        <w:rPr>
          <w:lang w:val="en-US"/>
        </w:rPr>
        <w:t xml:space="preserve"> </w:t>
      </w:r>
      <w:r>
        <w:rPr>
          <w:lang w:val="en-US"/>
        </w:rPr>
        <w:t xml:space="preserve">S. 39(3)(a) FLA.; </w:t>
      </w:r>
      <w:r>
        <w:rPr>
          <w:smallCaps/>
          <w:lang w:val="en-US"/>
        </w:rPr>
        <w:t xml:space="preserve">L. HARDER </w:t>
      </w:r>
      <w:r>
        <w:rPr>
          <w:lang w:val="en-US"/>
        </w:rPr>
        <w:t xml:space="preserve">en </w:t>
      </w:r>
      <w:r>
        <w:rPr>
          <w:smallCaps/>
          <w:lang w:val="en-US"/>
        </w:rPr>
        <w:t xml:space="preserve">M. THOMARAT, </w:t>
      </w:r>
      <w:r>
        <w:rPr>
          <w:lang w:val="en-US"/>
        </w:rPr>
        <w:t xml:space="preserve">“Parentage law in Canada: the numbers game of standing and status”, </w:t>
      </w:r>
      <w:r w:rsidRPr="00876D5D">
        <w:rPr>
          <w:i/>
          <w:iCs/>
          <w:lang w:val="en-US"/>
        </w:rPr>
        <w:t>International Journal of Law, Policy and Family</w:t>
      </w:r>
      <w:r>
        <w:rPr>
          <w:lang w:val="en-US"/>
        </w:rPr>
        <w:t xml:space="preserve"> 2012, vol. 26, (62) 74-75; </w:t>
      </w:r>
      <w:r>
        <w:rPr>
          <w:smallCaps/>
          <w:lang w:val="en-US"/>
        </w:rPr>
        <w:t xml:space="preserve">W. WIEGERS, </w:t>
      </w:r>
      <w:r>
        <w:rPr>
          <w:lang w:val="en-US"/>
        </w:rPr>
        <w:t xml:space="preserve">“Assisted conception and equality of familial status in parentage law”, </w:t>
      </w:r>
      <w:r w:rsidRPr="004B2F12">
        <w:rPr>
          <w:i/>
          <w:iCs/>
          <w:lang w:val="en-US"/>
        </w:rPr>
        <w:t xml:space="preserve">Canadian Journal of Family Law </w:t>
      </w:r>
      <w:r w:rsidRPr="004B2F12">
        <w:rPr>
          <w:lang w:val="en-US"/>
        </w:rPr>
        <w:t xml:space="preserve">2012-13, vol. </w:t>
      </w:r>
      <w:r>
        <w:rPr>
          <w:lang w:val="en-US"/>
        </w:rPr>
        <w:t>28, (147) 149.</w:t>
      </w:r>
    </w:p>
  </w:footnote>
  <w:footnote w:id="280">
    <w:p w:rsidR="002A0E74" w:rsidRPr="00947606" w:rsidRDefault="002A0E74" w:rsidP="00DB053C">
      <w:pPr>
        <w:pStyle w:val="FootnoteText"/>
        <w:rPr>
          <w:lang w:val="en-US"/>
        </w:rPr>
      </w:pPr>
      <w:r>
        <w:rPr>
          <w:rStyle w:val="FootnoteReference"/>
        </w:rPr>
        <w:footnoteRef/>
      </w:r>
      <w:r w:rsidRPr="00F27A3D">
        <w:rPr>
          <w:lang w:val="en-US"/>
        </w:rPr>
        <w:t xml:space="preserve"> </w:t>
      </w:r>
      <w:r>
        <w:rPr>
          <w:smallCaps/>
          <w:lang w:val="en-US"/>
        </w:rPr>
        <w:t xml:space="preserve">F. KELLY, </w:t>
      </w:r>
      <w:r>
        <w:rPr>
          <w:lang w:val="en-US"/>
        </w:rPr>
        <w:t xml:space="preserve">“Equal Parents, Equal Children: Reforming Canada’s Parentage Laws to Recognize the </w:t>
      </w:r>
      <w:r w:rsidRPr="0004224F">
        <w:rPr>
          <w:lang w:val="en-US"/>
        </w:rPr>
        <w:t xml:space="preserve">Completeness of Women-led Families, </w:t>
      </w:r>
      <w:r w:rsidRPr="0004224F">
        <w:rPr>
          <w:i/>
          <w:iCs/>
          <w:lang w:val="en-US"/>
        </w:rPr>
        <w:t>University of New Brunswick Law Journal</w:t>
      </w:r>
      <w:r w:rsidRPr="0004224F">
        <w:rPr>
          <w:lang w:val="en-US"/>
        </w:rPr>
        <w:t xml:space="preserve"> 2013, vol. 64, </w:t>
      </w:r>
      <w:r>
        <w:rPr>
          <w:lang w:val="en-US"/>
        </w:rPr>
        <w:t xml:space="preserve">(253) </w:t>
      </w:r>
      <w:r w:rsidRPr="0004224F">
        <w:rPr>
          <w:lang w:val="en-US"/>
        </w:rPr>
        <w:t>256.</w:t>
      </w:r>
    </w:p>
  </w:footnote>
  <w:footnote w:id="281">
    <w:p w:rsidR="002A0E74" w:rsidRPr="00A6770A" w:rsidRDefault="002A0E74" w:rsidP="00C40F4F">
      <w:pPr>
        <w:pStyle w:val="FootnoteText"/>
        <w:rPr>
          <w:lang w:val="fr-FR"/>
        </w:rPr>
      </w:pPr>
      <w:r w:rsidRPr="0004224F">
        <w:rPr>
          <w:rStyle w:val="FootnoteReference"/>
        </w:rPr>
        <w:footnoteRef/>
      </w:r>
      <w:r w:rsidRPr="0004224F">
        <w:rPr>
          <w:lang w:val="fr-BE"/>
        </w:rPr>
        <w:t xml:space="preserve"> AA </w:t>
      </w:r>
      <w:r w:rsidRPr="0004224F">
        <w:rPr>
          <w:i/>
          <w:iCs/>
          <w:lang w:val="fr-BE"/>
        </w:rPr>
        <w:t>v</w:t>
      </w:r>
      <w:r w:rsidRPr="0004224F">
        <w:rPr>
          <w:lang w:val="fr-BE"/>
        </w:rPr>
        <w:t xml:space="preserve"> BB, 2007 ONCA 2, 83 OR (3d) 561 </w:t>
      </w:r>
      <w:r w:rsidRPr="0004224F">
        <w:sym w:font="Symbol" w:char="F05B"/>
      </w:r>
      <w:r w:rsidRPr="0004224F">
        <w:rPr>
          <w:lang w:val="fr-BE"/>
        </w:rPr>
        <w:t xml:space="preserve">AA </w:t>
      </w:r>
      <w:r w:rsidRPr="0004224F">
        <w:rPr>
          <w:i/>
          <w:iCs/>
          <w:lang w:val="fr-BE"/>
        </w:rPr>
        <w:t xml:space="preserve">v </w:t>
      </w:r>
      <w:r w:rsidRPr="0004224F">
        <w:rPr>
          <w:lang w:val="fr-BE"/>
        </w:rPr>
        <w:t>BB</w:t>
      </w:r>
      <w:r w:rsidRPr="0004224F">
        <w:sym w:font="Symbol" w:char="F05D"/>
      </w:r>
      <w:r w:rsidRPr="0004224F">
        <w:rPr>
          <w:lang w:val="fr-BE"/>
        </w:rPr>
        <w:t xml:space="preserve">; </w:t>
      </w:r>
      <w:r w:rsidRPr="0004224F">
        <w:rPr>
          <w:smallCaps/>
          <w:lang w:val="fr-BE"/>
        </w:rPr>
        <w:t>L</w:t>
      </w:r>
      <w:r w:rsidRPr="005E6C09">
        <w:rPr>
          <w:smallCaps/>
          <w:lang w:val="fr-BE"/>
        </w:rPr>
        <w:t xml:space="preserve">. </w:t>
      </w:r>
      <w:r>
        <w:rPr>
          <w:smallCaps/>
          <w:lang w:val="fr-BE"/>
        </w:rPr>
        <w:t>HARDER</w:t>
      </w:r>
      <w:r w:rsidRPr="005E6C09">
        <w:rPr>
          <w:smallCaps/>
          <w:lang w:val="fr-BE"/>
        </w:rPr>
        <w:t xml:space="preserve"> </w:t>
      </w:r>
      <w:r w:rsidRPr="005E6C09">
        <w:rPr>
          <w:lang w:val="fr-BE"/>
        </w:rPr>
        <w:t xml:space="preserve">en </w:t>
      </w:r>
      <w:r w:rsidRPr="005E6C09">
        <w:rPr>
          <w:smallCaps/>
          <w:lang w:val="fr-BE"/>
        </w:rPr>
        <w:t xml:space="preserve">M. </w:t>
      </w:r>
      <w:r>
        <w:rPr>
          <w:smallCaps/>
          <w:lang w:val="fr-BE"/>
        </w:rPr>
        <w:t>THOMARAT</w:t>
      </w:r>
      <w:r w:rsidRPr="005E6C09">
        <w:rPr>
          <w:smallCaps/>
          <w:lang w:val="fr-BE"/>
        </w:rPr>
        <w:t xml:space="preserve">, </w:t>
      </w:r>
      <w:r w:rsidRPr="005E6C09">
        <w:rPr>
          <w:lang w:val="fr-BE"/>
        </w:rPr>
        <w:t xml:space="preserve">“Parentage law in Canada: the numbers game of standing and status”, </w:t>
      </w:r>
      <w:r w:rsidRPr="005E6C09">
        <w:rPr>
          <w:i/>
          <w:iCs/>
          <w:lang w:val="fr-BE"/>
        </w:rPr>
        <w:t>International Journal of Law, Policy and Family</w:t>
      </w:r>
      <w:r w:rsidRPr="005E6C09">
        <w:rPr>
          <w:lang w:val="fr-BE"/>
        </w:rPr>
        <w:t xml:space="preserve"> 2012, vol. 26, </w:t>
      </w:r>
      <w:r>
        <w:rPr>
          <w:lang w:val="fr-BE"/>
        </w:rPr>
        <w:t xml:space="preserve">(62) </w:t>
      </w:r>
      <w:r w:rsidRPr="005E6C09">
        <w:rPr>
          <w:lang w:val="fr-BE"/>
        </w:rPr>
        <w:t xml:space="preserve">77-80; </w:t>
      </w:r>
      <w:r w:rsidRPr="005E6C09">
        <w:rPr>
          <w:smallCaps/>
          <w:lang w:val="fr-BE"/>
        </w:rPr>
        <w:t xml:space="preserve">A. </w:t>
      </w:r>
      <w:r>
        <w:rPr>
          <w:smallCaps/>
          <w:lang w:val="fr-BE"/>
        </w:rPr>
        <w:t>L’ESPERANCE</w:t>
      </w:r>
      <w:r w:rsidRPr="005E6C09">
        <w:rPr>
          <w:smallCaps/>
          <w:lang w:val="fr-BE"/>
        </w:rPr>
        <w:t>, “</w:t>
      </w:r>
      <w:r w:rsidRPr="005E6C09">
        <w:rPr>
          <w:lang w:val="fr-BE"/>
        </w:rPr>
        <w:t xml:space="preserve">Quand la justice tisse des liens: </w:t>
      </w:r>
      <w:proofErr w:type="gramStart"/>
      <w:r w:rsidRPr="005E6C09">
        <w:rPr>
          <w:lang w:val="fr-BE"/>
        </w:rPr>
        <w:t>la</w:t>
      </w:r>
      <w:proofErr w:type="gramEnd"/>
      <w:r w:rsidRPr="005E6C09">
        <w:rPr>
          <w:lang w:val="fr-BE"/>
        </w:rPr>
        <w:t xml:space="preserve"> (re)construction de la filiation dans les decisions portant sur la procreation assistée au Canada.”, </w:t>
      </w:r>
      <w:r w:rsidRPr="005E6C09">
        <w:rPr>
          <w:i/>
          <w:iCs/>
          <w:lang w:val="fr-BE"/>
        </w:rPr>
        <w:t xml:space="preserve">Politique et Sociétés </w:t>
      </w:r>
      <w:r w:rsidRPr="005E6C09">
        <w:rPr>
          <w:lang w:val="fr-BE"/>
        </w:rPr>
        <w:t xml:space="preserve">2012, vol. 31, </w:t>
      </w:r>
      <w:r>
        <w:rPr>
          <w:lang w:val="fr-BE"/>
        </w:rPr>
        <w:t xml:space="preserve">(67) </w:t>
      </w:r>
      <w:r w:rsidRPr="005E6C09">
        <w:rPr>
          <w:lang w:val="fr-BE"/>
        </w:rPr>
        <w:t>81-82.</w:t>
      </w:r>
    </w:p>
  </w:footnote>
  <w:footnote w:id="282">
    <w:p w:rsidR="002A0E74" w:rsidRPr="00633560" w:rsidRDefault="002A0E74" w:rsidP="002B16E8">
      <w:pPr>
        <w:pStyle w:val="FootnoteText"/>
        <w:rPr>
          <w:lang w:val="en-US"/>
        </w:rPr>
      </w:pPr>
      <w:r>
        <w:rPr>
          <w:rStyle w:val="FootnoteReference"/>
        </w:rPr>
        <w:footnoteRef/>
      </w:r>
      <w:r w:rsidRPr="00633560">
        <w:rPr>
          <w:lang w:val="en-US"/>
        </w:rPr>
        <w:t xml:space="preserve"> </w:t>
      </w:r>
      <w:proofErr w:type="gramStart"/>
      <w:r w:rsidRPr="00633560">
        <w:rPr>
          <w:lang w:val="en-US"/>
        </w:rPr>
        <w:t xml:space="preserve">AA </w:t>
      </w:r>
      <w:r w:rsidRPr="00633560">
        <w:rPr>
          <w:i/>
          <w:iCs/>
          <w:lang w:val="en-US"/>
        </w:rPr>
        <w:t>v</w:t>
      </w:r>
      <w:r w:rsidRPr="00633560">
        <w:rPr>
          <w:lang w:val="en-US"/>
        </w:rPr>
        <w:t xml:space="preserve"> BB, 2007 ONCA 2, 83 OR (3d) 561 </w:t>
      </w:r>
      <w:r w:rsidRPr="0004224F">
        <w:sym w:font="Symbol" w:char="F05B"/>
      </w:r>
      <w:r w:rsidRPr="00633560">
        <w:rPr>
          <w:lang w:val="en-US"/>
        </w:rPr>
        <w:t xml:space="preserve">AA </w:t>
      </w:r>
      <w:r w:rsidRPr="00633560">
        <w:rPr>
          <w:i/>
          <w:iCs/>
          <w:lang w:val="en-US"/>
        </w:rPr>
        <w:t xml:space="preserve">v </w:t>
      </w:r>
      <w:r w:rsidRPr="00633560">
        <w:rPr>
          <w:lang w:val="en-US"/>
        </w:rPr>
        <w:t>BB</w:t>
      </w:r>
      <w:r w:rsidRPr="0004224F">
        <w:sym w:font="Symbol" w:char="F05D"/>
      </w:r>
      <w:r>
        <w:rPr>
          <w:lang w:val="en-US"/>
        </w:rPr>
        <w:t>, overw.</w:t>
      </w:r>
      <w:proofErr w:type="gramEnd"/>
      <w:r w:rsidRPr="00633560">
        <w:rPr>
          <w:lang w:val="en-US"/>
        </w:rPr>
        <w:t xml:space="preserve"> 1-2.</w:t>
      </w:r>
    </w:p>
  </w:footnote>
  <w:footnote w:id="283">
    <w:p w:rsidR="002A0E74" w:rsidRPr="00633560" w:rsidRDefault="002A0E74">
      <w:pPr>
        <w:pStyle w:val="FootnoteText"/>
        <w:rPr>
          <w:lang w:val="en-US"/>
        </w:rPr>
      </w:pPr>
      <w:r>
        <w:rPr>
          <w:rStyle w:val="FootnoteReference"/>
        </w:rPr>
        <w:footnoteRef/>
      </w:r>
      <w:r w:rsidRPr="00633560">
        <w:rPr>
          <w:lang w:val="en-US"/>
        </w:rPr>
        <w:t xml:space="preserve"> </w:t>
      </w:r>
      <w:proofErr w:type="gramStart"/>
      <w:r w:rsidRPr="00633560">
        <w:rPr>
          <w:lang w:val="en-US"/>
        </w:rPr>
        <w:t xml:space="preserve">AA </w:t>
      </w:r>
      <w:r w:rsidRPr="00633560">
        <w:rPr>
          <w:i/>
          <w:iCs/>
          <w:lang w:val="en-US"/>
        </w:rPr>
        <w:t>v</w:t>
      </w:r>
      <w:r w:rsidRPr="00633560">
        <w:rPr>
          <w:lang w:val="en-US"/>
        </w:rPr>
        <w:t xml:space="preserve"> BB, 2007 ONCA 2, 83 OR (3d) 561 </w:t>
      </w:r>
      <w:r w:rsidRPr="0004224F">
        <w:sym w:font="Symbol" w:char="F05B"/>
      </w:r>
      <w:r w:rsidRPr="00633560">
        <w:rPr>
          <w:lang w:val="en-US"/>
        </w:rPr>
        <w:t xml:space="preserve">AA </w:t>
      </w:r>
      <w:r w:rsidRPr="00633560">
        <w:rPr>
          <w:i/>
          <w:iCs/>
          <w:lang w:val="en-US"/>
        </w:rPr>
        <w:t xml:space="preserve">v </w:t>
      </w:r>
      <w:r w:rsidRPr="00633560">
        <w:rPr>
          <w:lang w:val="en-US"/>
        </w:rPr>
        <w:t>BB</w:t>
      </w:r>
      <w:r w:rsidRPr="0004224F">
        <w:sym w:font="Symbol" w:char="F05D"/>
      </w:r>
      <w:r>
        <w:rPr>
          <w:lang w:val="en-US"/>
        </w:rPr>
        <w:t>, overw.</w:t>
      </w:r>
      <w:proofErr w:type="gramEnd"/>
      <w:r>
        <w:rPr>
          <w:lang w:val="en-US"/>
        </w:rPr>
        <w:t xml:space="preserve"> 14</w:t>
      </w:r>
      <w:r w:rsidRPr="00633560">
        <w:rPr>
          <w:lang w:val="en-US"/>
        </w:rPr>
        <w:t>.</w:t>
      </w:r>
    </w:p>
  </w:footnote>
  <w:footnote w:id="284">
    <w:p w:rsidR="002A0E74" w:rsidRPr="00633560" w:rsidRDefault="002A0E74">
      <w:pPr>
        <w:pStyle w:val="FootnoteText"/>
        <w:rPr>
          <w:lang w:val="en-US"/>
        </w:rPr>
      </w:pPr>
      <w:r>
        <w:rPr>
          <w:rStyle w:val="FootnoteReference"/>
        </w:rPr>
        <w:footnoteRef/>
      </w:r>
      <w:r w:rsidRPr="00633560">
        <w:rPr>
          <w:lang w:val="en-US"/>
        </w:rPr>
        <w:t xml:space="preserve"> </w:t>
      </w:r>
      <w:proofErr w:type="gramStart"/>
      <w:r w:rsidRPr="00633560">
        <w:rPr>
          <w:lang w:val="en-US"/>
        </w:rPr>
        <w:t xml:space="preserve">AA </w:t>
      </w:r>
      <w:r w:rsidRPr="00633560">
        <w:rPr>
          <w:i/>
          <w:iCs/>
          <w:lang w:val="en-US"/>
        </w:rPr>
        <w:t>v</w:t>
      </w:r>
      <w:r w:rsidRPr="00633560">
        <w:rPr>
          <w:lang w:val="en-US"/>
        </w:rPr>
        <w:t xml:space="preserve"> BB, 2007 ONCA 2, 83 OR (3d) 561 </w:t>
      </w:r>
      <w:r w:rsidRPr="0004224F">
        <w:sym w:font="Symbol" w:char="F05B"/>
      </w:r>
      <w:r w:rsidRPr="00633560">
        <w:rPr>
          <w:lang w:val="en-US"/>
        </w:rPr>
        <w:t xml:space="preserve">AA </w:t>
      </w:r>
      <w:r w:rsidRPr="00633560">
        <w:rPr>
          <w:i/>
          <w:iCs/>
          <w:lang w:val="en-US"/>
        </w:rPr>
        <w:t xml:space="preserve">v </w:t>
      </w:r>
      <w:r w:rsidRPr="00633560">
        <w:rPr>
          <w:lang w:val="en-US"/>
        </w:rPr>
        <w:t>BB</w:t>
      </w:r>
      <w:r w:rsidRPr="0004224F">
        <w:sym w:font="Symbol" w:char="F05D"/>
      </w:r>
      <w:r>
        <w:rPr>
          <w:lang w:val="en-US"/>
        </w:rPr>
        <w:t>, overw.</w:t>
      </w:r>
      <w:proofErr w:type="gramEnd"/>
      <w:r w:rsidRPr="00633560">
        <w:rPr>
          <w:lang w:val="en-US"/>
        </w:rPr>
        <w:t xml:space="preserve"> 35.</w:t>
      </w:r>
    </w:p>
  </w:footnote>
  <w:footnote w:id="285">
    <w:p w:rsidR="002A0E74" w:rsidRPr="00633560" w:rsidRDefault="002A0E74">
      <w:pPr>
        <w:pStyle w:val="FootnoteText"/>
        <w:rPr>
          <w:lang w:val="en-US"/>
        </w:rPr>
      </w:pPr>
      <w:r>
        <w:rPr>
          <w:rStyle w:val="FootnoteReference"/>
        </w:rPr>
        <w:footnoteRef/>
      </w:r>
      <w:r w:rsidRPr="00633560">
        <w:rPr>
          <w:lang w:val="en-US"/>
        </w:rPr>
        <w:t xml:space="preserve"> </w:t>
      </w:r>
      <w:proofErr w:type="gramStart"/>
      <w:r w:rsidRPr="00633560">
        <w:rPr>
          <w:lang w:val="en-US"/>
        </w:rPr>
        <w:t xml:space="preserve">AA </w:t>
      </w:r>
      <w:r w:rsidRPr="00633560">
        <w:rPr>
          <w:i/>
          <w:iCs/>
          <w:lang w:val="en-US"/>
        </w:rPr>
        <w:t>v</w:t>
      </w:r>
      <w:r w:rsidRPr="00633560">
        <w:rPr>
          <w:lang w:val="en-US"/>
        </w:rPr>
        <w:t xml:space="preserve"> BB, 2007 ONCA 2, 83 OR (3d) 561 </w:t>
      </w:r>
      <w:r w:rsidRPr="0004224F">
        <w:sym w:font="Symbol" w:char="F05B"/>
      </w:r>
      <w:r w:rsidRPr="00633560">
        <w:rPr>
          <w:lang w:val="en-US"/>
        </w:rPr>
        <w:t xml:space="preserve">AA </w:t>
      </w:r>
      <w:r w:rsidRPr="00633560">
        <w:rPr>
          <w:i/>
          <w:iCs/>
          <w:lang w:val="en-US"/>
        </w:rPr>
        <w:t xml:space="preserve">v </w:t>
      </w:r>
      <w:r w:rsidRPr="00633560">
        <w:rPr>
          <w:lang w:val="en-US"/>
        </w:rPr>
        <w:t>BB</w:t>
      </w:r>
      <w:r w:rsidRPr="0004224F">
        <w:sym w:font="Symbol" w:char="F05D"/>
      </w:r>
      <w:r>
        <w:rPr>
          <w:lang w:val="en-US"/>
        </w:rPr>
        <w:t>, overw.</w:t>
      </w:r>
      <w:proofErr w:type="gramEnd"/>
      <w:r w:rsidRPr="00633560">
        <w:rPr>
          <w:lang w:val="en-US"/>
        </w:rPr>
        <w:t xml:space="preserve"> 38.</w:t>
      </w:r>
    </w:p>
  </w:footnote>
  <w:footnote w:id="286">
    <w:p w:rsidR="002A0E74" w:rsidRPr="00633560" w:rsidRDefault="002A0E74">
      <w:pPr>
        <w:pStyle w:val="FootnoteText"/>
        <w:rPr>
          <w:lang w:val="en-US"/>
        </w:rPr>
      </w:pPr>
      <w:r>
        <w:rPr>
          <w:rStyle w:val="FootnoteReference"/>
        </w:rPr>
        <w:footnoteRef/>
      </w:r>
      <w:r w:rsidRPr="00633560">
        <w:rPr>
          <w:lang w:val="en-US"/>
        </w:rPr>
        <w:t xml:space="preserve"> </w:t>
      </w:r>
      <w:proofErr w:type="gramStart"/>
      <w:r w:rsidRPr="00633560">
        <w:rPr>
          <w:lang w:val="en-US"/>
        </w:rPr>
        <w:t xml:space="preserve">AA </w:t>
      </w:r>
      <w:r w:rsidRPr="00633560">
        <w:rPr>
          <w:i/>
          <w:iCs/>
          <w:lang w:val="en-US"/>
        </w:rPr>
        <w:t>v</w:t>
      </w:r>
      <w:r w:rsidRPr="00633560">
        <w:rPr>
          <w:lang w:val="en-US"/>
        </w:rPr>
        <w:t xml:space="preserve"> BB, 2007 ONCA 2, 83 OR (3d) 561 </w:t>
      </w:r>
      <w:r w:rsidRPr="0004224F">
        <w:sym w:font="Symbol" w:char="F05B"/>
      </w:r>
      <w:r w:rsidRPr="00633560">
        <w:rPr>
          <w:lang w:val="en-US"/>
        </w:rPr>
        <w:t xml:space="preserve">AA </w:t>
      </w:r>
      <w:r w:rsidRPr="00633560">
        <w:rPr>
          <w:i/>
          <w:iCs/>
          <w:lang w:val="en-US"/>
        </w:rPr>
        <w:t xml:space="preserve">v </w:t>
      </w:r>
      <w:r w:rsidRPr="00633560">
        <w:rPr>
          <w:lang w:val="en-US"/>
        </w:rPr>
        <w:t>BB</w:t>
      </w:r>
      <w:r w:rsidRPr="0004224F">
        <w:sym w:font="Symbol" w:char="F05D"/>
      </w:r>
      <w:r>
        <w:rPr>
          <w:lang w:val="en-US"/>
        </w:rPr>
        <w:t>, overw.</w:t>
      </w:r>
      <w:proofErr w:type="gramEnd"/>
      <w:r w:rsidRPr="00633560">
        <w:rPr>
          <w:lang w:val="en-US"/>
        </w:rPr>
        <w:t xml:space="preserve"> 37.</w:t>
      </w:r>
    </w:p>
  </w:footnote>
  <w:footnote w:id="287">
    <w:p w:rsidR="002A0E74" w:rsidRPr="00947606" w:rsidRDefault="002A0E74">
      <w:pPr>
        <w:pStyle w:val="FootnoteText"/>
        <w:rPr>
          <w:lang w:val="en-US"/>
        </w:rPr>
      </w:pPr>
      <w:r>
        <w:rPr>
          <w:rStyle w:val="FootnoteReference"/>
        </w:rPr>
        <w:footnoteRef/>
      </w:r>
      <w:r w:rsidRPr="00A268FC">
        <w:rPr>
          <w:lang w:val="en-US"/>
        </w:rPr>
        <w:t xml:space="preserve"> </w:t>
      </w:r>
      <w:r>
        <w:rPr>
          <w:smallCaps/>
          <w:lang w:val="en-US"/>
        </w:rPr>
        <w:t xml:space="preserve">F. KELLY, </w:t>
      </w:r>
      <w:r>
        <w:rPr>
          <w:lang w:val="en-US"/>
        </w:rPr>
        <w:t xml:space="preserve">“Multiple-parent families under British Columbia’s new family law act: a challenge to the supremacy of </w:t>
      </w:r>
      <w:r w:rsidRPr="005C5698">
        <w:rPr>
          <w:lang w:val="en-US"/>
        </w:rPr>
        <w:t>the nuclear family or a method by which to preserve biological ties and opposite-sex parenting?</w:t>
      </w:r>
      <w:proofErr w:type="gramStart"/>
      <w:r w:rsidRPr="005C5698">
        <w:rPr>
          <w:lang w:val="en-US"/>
        </w:rPr>
        <w:t>”,</w:t>
      </w:r>
      <w:proofErr w:type="gramEnd"/>
      <w:r w:rsidRPr="005C5698">
        <w:rPr>
          <w:lang w:val="en-US"/>
        </w:rPr>
        <w:t xml:space="preserve"> </w:t>
      </w:r>
      <w:r w:rsidRPr="005C5698">
        <w:rPr>
          <w:rStyle w:val="exlresultdetails"/>
          <w:i/>
          <w:iCs/>
          <w:lang w:val="en-US"/>
        </w:rPr>
        <w:t xml:space="preserve">University of British Columbia Law Review </w:t>
      </w:r>
      <w:r w:rsidRPr="005C5698">
        <w:rPr>
          <w:rStyle w:val="exlresultdetails"/>
          <w:lang w:val="en-US"/>
        </w:rPr>
        <w:t xml:space="preserve">2014, Vol.47(2), </w:t>
      </w:r>
      <w:r>
        <w:rPr>
          <w:rStyle w:val="exlresultdetails"/>
          <w:lang w:val="en-US"/>
        </w:rPr>
        <w:t xml:space="preserve">(565) </w:t>
      </w:r>
      <w:r w:rsidRPr="005C5698">
        <w:rPr>
          <w:rStyle w:val="exlresultdetails"/>
          <w:lang w:val="en-US"/>
        </w:rPr>
        <w:t>570.</w:t>
      </w:r>
    </w:p>
  </w:footnote>
  <w:footnote w:id="288">
    <w:p w:rsidR="002A0E74" w:rsidRPr="00A17A00" w:rsidRDefault="002A0E74">
      <w:pPr>
        <w:pStyle w:val="FootnoteText"/>
        <w:rPr>
          <w:lang w:val="en-US"/>
        </w:rPr>
      </w:pPr>
      <w:r>
        <w:rPr>
          <w:rStyle w:val="FootnoteReference"/>
        </w:rPr>
        <w:footnoteRef/>
      </w:r>
      <w:r w:rsidRPr="00F27A3D">
        <w:rPr>
          <w:lang w:val="en-US"/>
        </w:rPr>
        <w:t xml:space="preserve"> </w:t>
      </w:r>
      <w:r w:rsidRPr="00A25108">
        <w:rPr>
          <w:lang w:val="en-US"/>
        </w:rPr>
        <w:t xml:space="preserve">Family law act 23 November 2011 (FLA); </w:t>
      </w:r>
      <w:r w:rsidRPr="00A25108">
        <w:rPr>
          <w:smallCaps/>
          <w:lang w:val="en-US"/>
        </w:rPr>
        <w:t xml:space="preserve">F. KELLY, </w:t>
      </w:r>
      <w:r w:rsidRPr="00A25108">
        <w:rPr>
          <w:lang w:val="en-US"/>
        </w:rPr>
        <w:t xml:space="preserve">“Equal Parents, Equal Children: Reforming Canada’s </w:t>
      </w:r>
      <w:r w:rsidRPr="00A17A00">
        <w:rPr>
          <w:lang w:val="en-US"/>
        </w:rPr>
        <w:t xml:space="preserve">Parentage Laws to Recognize the Completeness of Women-led Families, </w:t>
      </w:r>
      <w:r w:rsidRPr="00A17A00">
        <w:rPr>
          <w:i/>
          <w:iCs/>
          <w:lang w:val="en-US"/>
        </w:rPr>
        <w:t>University of New Brunswick Law Journal</w:t>
      </w:r>
      <w:r w:rsidRPr="00A17A00">
        <w:rPr>
          <w:lang w:val="en-US"/>
        </w:rPr>
        <w:t xml:space="preserve"> 2013, vol. 64, (253) 275.</w:t>
      </w:r>
    </w:p>
  </w:footnote>
  <w:footnote w:id="289">
    <w:p w:rsidR="002A0E74" w:rsidRPr="00A25108" w:rsidRDefault="002A0E74" w:rsidP="004B3E3B">
      <w:pPr>
        <w:pStyle w:val="FootnoteText"/>
        <w:rPr>
          <w:lang w:val="en-US"/>
        </w:rPr>
      </w:pPr>
      <w:r w:rsidRPr="00A17A00">
        <w:rPr>
          <w:rStyle w:val="FootnoteReference"/>
        </w:rPr>
        <w:footnoteRef/>
      </w:r>
      <w:r w:rsidRPr="00A17A00">
        <w:rPr>
          <w:lang w:val="en-US"/>
        </w:rPr>
        <w:t xml:space="preserve"> British Columbia, Ministry of Attorney General Justice Services Branch Civil Policy and Legislation Office, </w:t>
      </w:r>
      <w:r w:rsidRPr="00A17A00">
        <w:rPr>
          <w:i/>
          <w:iCs/>
          <w:lang w:val="en-US"/>
        </w:rPr>
        <w:t>White paper on Family relations Act Reform: Proposals for a New Family law Act</w:t>
      </w:r>
      <w:r w:rsidRPr="00A17A00">
        <w:rPr>
          <w:lang w:val="en-US"/>
        </w:rPr>
        <w:t xml:space="preserve"> (British Columbia: Civil and Family Law Policy Office, 2010), 36 en 86; </w:t>
      </w:r>
      <w:r w:rsidRPr="00A17A00">
        <w:rPr>
          <w:smallCaps/>
          <w:lang w:val="en-US"/>
        </w:rPr>
        <w:t xml:space="preserve">F. KELLY, </w:t>
      </w:r>
      <w:r w:rsidRPr="00A17A00">
        <w:rPr>
          <w:lang w:val="en-US"/>
        </w:rPr>
        <w:t>“Multiple</w:t>
      </w:r>
      <w:r w:rsidRPr="00A25108">
        <w:rPr>
          <w:lang w:val="en-US"/>
        </w:rPr>
        <w:t xml:space="preserve">-parent families under British Columbia’s new family law act: a challenge to the supremacy of the nuclear family or a method by which to preserve biological ties and opposite-sex parenting?”, </w:t>
      </w:r>
      <w:r w:rsidRPr="00A25108">
        <w:rPr>
          <w:rStyle w:val="exlresultdetails"/>
          <w:i/>
          <w:iCs/>
          <w:lang w:val="en-US"/>
        </w:rPr>
        <w:t xml:space="preserve">University of British Columbia Law Review </w:t>
      </w:r>
      <w:r w:rsidRPr="00A25108">
        <w:rPr>
          <w:rStyle w:val="exlresultdetails"/>
          <w:lang w:val="en-US"/>
        </w:rPr>
        <w:t>2014, Vol.47(2),</w:t>
      </w:r>
      <w:r w:rsidRPr="00A25108">
        <w:rPr>
          <w:lang w:val="en-US"/>
        </w:rPr>
        <w:t xml:space="preserve"> (565) 577.</w:t>
      </w:r>
    </w:p>
  </w:footnote>
  <w:footnote w:id="290">
    <w:p w:rsidR="002A0E74" w:rsidRPr="00A25108" w:rsidRDefault="002A0E74" w:rsidP="009E6E15">
      <w:pPr>
        <w:rPr>
          <w:sz w:val="20"/>
          <w:szCs w:val="20"/>
          <w:lang w:val="en-US"/>
        </w:rPr>
      </w:pPr>
      <w:r w:rsidRPr="00A25108">
        <w:rPr>
          <w:rStyle w:val="FootnoteReference"/>
          <w:sz w:val="20"/>
          <w:szCs w:val="20"/>
        </w:rPr>
        <w:footnoteRef/>
      </w:r>
      <w:r w:rsidRPr="00A25108">
        <w:rPr>
          <w:sz w:val="20"/>
          <w:szCs w:val="20"/>
          <w:lang w:val="en-US"/>
        </w:rPr>
        <w:t xml:space="preserve"> </w:t>
      </w:r>
      <w:r w:rsidRPr="00A25108">
        <w:rPr>
          <w:smallCaps/>
          <w:sz w:val="20"/>
          <w:szCs w:val="20"/>
          <w:lang w:val="en-US"/>
        </w:rPr>
        <w:t>J.-P. BOYD, “</w:t>
      </w:r>
      <w:r w:rsidRPr="00A25108">
        <w:rPr>
          <w:sz w:val="20"/>
          <w:szCs w:val="20"/>
          <w:lang w:val="en-US"/>
        </w:rPr>
        <w:t xml:space="preserve">Reconstructing Domestic Relations: Improvements and Innovations in British Columbia's New Family Law Act”, </w:t>
      </w:r>
      <w:hyperlink r:id="rId12" w:tooltip="Click to search for more items from this journal" w:history="1">
        <w:r w:rsidRPr="00A25108">
          <w:rPr>
            <w:i/>
            <w:iCs/>
            <w:sz w:val="20"/>
            <w:szCs w:val="20"/>
            <w:lang w:val="en-US"/>
          </w:rPr>
          <w:t>Canadian Family Law Quarterly</w:t>
        </w:r>
      </w:hyperlink>
      <w:r w:rsidRPr="00A25108">
        <w:rPr>
          <w:i/>
          <w:iCs/>
          <w:sz w:val="20"/>
          <w:szCs w:val="20"/>
          <w:lang w:val="en-US"/>
        </w:rPr>
        <w:t xml:space="preserve"> </w:t>
      </w:r>
      <w:r w:rsidRPr="00A25108">
        <w:rPr>
          <w:sz w:val="20"/>
          <w:szCs w:val="20"/>
          <w:lang w:val="en-US"/>
        </w:rPr>
        <w:t xml:space="preserve">2014, (353) 356; S. BOYD, “Equality: An Uncomfortable Fit in Parenting Law”, in LECKEY, R. (ed.), </w:t>
      </w:r>
      <w:r w:rsidRPr="00A25108">
        <w:rPr>
          <w:i/>
          <w:sz w:val="20"/>
          <w:szCs w:val="20"/>
          <w:lang w:val="en-US"/>
        </w:rPr>
        <w:t xml:space="preserve">After Legal Equality: Family, Sex, Kinship, </w:t>
      </w:r>
      <w:r w:rsidRPr="00A25108">
        <w:rPr>
          <w:sz w:val="20"/>
          <w:szCs w:val="20"/>
          <w:lang w:val="en-US"/>
        </w:rPr>
        <w:t>Abingdon,</w:t>
      </w:r>
      <w:r w:rsidRPr="00A25108">
        <w:rPr>
          <w:i/>
          <w:sz w:val="20"/>
          <w:szCs w:val="20"/>
          <w:lang w:val="en-US"/>
        </w:rPr>
        <w:t xml:space="preserve"> </w:t>
      </w:r>
      <w:r w:rsidRPr="00A25108">
        <w:rPr>
          <w:sz w:val="20"/>
          <w:szCs w:val="20"/>
          <w:lang w:val="en-US"/>
        </w:rPr>
        <w:t xml:space="preserve">Routledge, 2015, </w:t>
      </w:r>
      <w:r>
        <w:rPr>
          <w:sz w:val="20"/>
          <w:szCs w:val="20"/>
          <w:lang w:val="en-US"/>
        </w:rPr>
        <w:t xml:space="preserve">(89) </w:t>
      </w:r>
      <w:r w:rsidRPr="00A25108">
        <w:rPr>
          <w:sz w:val="20"/>
          <w:szCs w:val="20"/>
          <w:lang w:val="en-US"/>
        </w:rPr>
        <w:t xml:space="preserve">98; </w:t>
      </w:r>
      <w:r w:rsidRPr="00A25108">
        <w:rPr>
          <w:smallCaps/>
          <w:color w:val="000000"/>
          <w:sz w:val="20"/>
          <w:szCs w:val="20"/>
          <w:lang w:val="en-US"/>
        </w:rPr>
        <w:t xml:space="preserve">R. TRELOAR, </w:t>
      </w:r>
      <w:r w:rsidRPr="00A25108">
        <w:rPr>
          <w:color w:val="000000"/>
          <w:sz w:val="20"/>
          <w:szCs w:val="20"/>
          <w:lang w:val="en-US"/>
        </w:rPr>
        <w:t xml:space="preserve">“Family Law Reform in (Neoliberal) Context: </w:t>
      </w:r>
      <w:r w:rsidRPr="00A25108">
        <w:rPr>
          <w:sz w:val="20"/>
          <w:szCs w:val="20"/>
          <w:lang w:val="en-US"/>
        </w:rPr>
        <w:t>British Columbia′</w:t>
      </w:r>
      <w:r w:rsidRPr="00A25108">
        <w:rPr>
          <w:color w:val="000000"/>
          <w:sz w:val="20"/>
          <w:szCs w:val="20"/>
          <w:lang w:val="en-US"/>
        </w:rPr>
        <w:t xml:space="preserve">s New Family Law Act”, </w:t>
      </w:r>
      <w:r w:rsidRPr="00A25108">
        <w:rPr>
          <w:i/>
          <w:iCs/>
          <w:color w:val="000000"/>
          <w:sz w:val="20"/>
          <w:szCs w:val="20"/>
          <w:lang w:val="en-US"/>
        </w:rPr>
        <w:t>International Journal of Law Policy and the Family</w:t>
      </w:r>
      <w:r w:rsidRPr="00A25108">
        <w:rPr>
          <w:color w:val="000000"/>
          <w:sz w:val="20"/>
          <w:szCs w:val="20"/>
          <w:lang w:val="en-US"/>
        </w:rPr>
        <w:t xml:space="preserve"> 2014, (1) 7.</w:t>
      </w:r>
    </w:p>
  </w:footnote>
  <w:footnote w:id="291">
    <w:p w:rsidR="002A0E74" w:rsidRPr="00A25108" w:rsidRDefault="002A0E74" w:rsidP="00721EE1">
      <w:pPr>
        <w:pStyle w:val="FootnoteText"/>
        <w:rPr>
          <w:lang w:val="fr-FR"/>
        </w:rPr>
      </w:pPr>
      <w:r w:rsidRPr="00A25108">
        <w:rPr>
          <w:rStyle w:val="FootnoteReference"/>
        </w:rPr>
        <w:footnoteRef/>
      </w:r>
      <w:r w:rsidRPr="00A25108">
        <w:rPr>
          <w:lang w:val="fr-FR"/>
        </w:rPr>
        <w:t xml:space="preserve"> S. 26(1) FLA.</w:t>
      </w:r>
    </w:p>
  </w:footnote>
  <w:footnote w:id="292">
    <w:p w:rsidR="002A0E74" w:rsidRPr="002A0E74" w:rsidRDefault="002A0E74" w:rsidP="00D306BD">
      <w:pPr>
        <w:pStyle w:val="FootnoteText"/>
        <w:rPr>
          <w:lang w:val="fr-FR"/>
        </w:rPr>
      </w:pPr>
      <w:r w:rsidRPr="00A25108">
        <w:rPr>
          <w:rStyle w:val="FootnoteReference"/>
        </w:rPr>
        <w:footnoteRef/>
      </w:r>
      <w:r w:rsidRPr="002A0E74">
        <w:rPr>
          <w:lang w:val="fr-FR"/>
        </w:rPr>
        <w:t xml:space="preserve"> S. 20(1) FLA. </w:t>
      </w:r>
    </w:p>
  </w:footnote>
  <w:footnote w:id="293">
    <w:p w:rsidR="002A0E74" w:rsidRPr="00A25108" w:rsidRDefault="002A0E74">
      <w:pPr>
        <w:pStyle w:val="FootnoteText"/>
        <w:rPr>
          <w:lang w:val="fr-FR"/>
        </w:rPr>
      </w:pPr>
      <w:r w:rsidRPr="00A25108">
        <w:rPr>
          <w:rStyle w:val="FootnoteReference"/>
        </w:rPr>
        <w:footnoteRef/>
      </w:r>
      <w:r w:rsidRPr="00A25108">
        <w:rPr>
          <w:lang w:val="fr-FR"/>
        </w:rPr>
        <w:t xml:space="preserve"> S. 26(1) FLA.</w:t>
      </w:r>
    </w:p>
  </w:footnote>
  <w:footnote w:id="294">
    <w:p w:rsidR="002A0E74" w:rsidRPr="00A25108" w:rsidRDefault="002A0E74">
      <w:pPr>
        <w:pStyle w:val="FootnoteText"/>
        <w:rPr>
          <w:lang w:val="fr-FR"/>
        </w:rPr>
      </w:pPr>
      <w:r w:rsidRPr="00A25108">
        <w:rPr>
          <w:rStyle w:val="FootnoteReference"/>
        </w:rPr>
        <w:footnoteRef/>
      </w:r>
      <w:r w:rsidRPr="00A25108">
        <w:rPr>
          <w:lang w:val="fr-FR"/>
        </w:rPr>
        <w:t xml:space="preserve"> S. 26(2) FLA.</w:t>
      </w:r>
    </w:p>
  </w:footnote>
  <w:footnote w:id="295">
    <w:p w:rsidR="002A0E74" w:rsidRPr="002A0E74" w:rsidRDefault="002A0E74">
      <w:pPr>
        <w:pStyle w:val="FootnoteText"/>
        <w:rPr>
          <w:lang w:val="fr-FR"/>
        </w:rPr>
      </w:pPr>
      <w:r w:rsidRPr="00A25108">
        <w:rPr>
          <w:rStyle w:val="FootnoteReference"/>
        </w:rPr>
        <w:footnoteRef/>
      </w:r>
      <w:r w:rsidRPr="002A0E74">
        <w:rPr>
          <w:lang w:val="fr-FR"/>
        </w:rPr>
        <w:t xml:space="preserve"> S. 26(2</w:t>
      </w:r>
      <w:proofErr w:type="gramStart"/>
      <w:r w:rsidRPr="002A0E74">
        <w:rPr>
          <w:lang w:val="fr-FR"/>
        </w:rPr>
        <w:t>)(</w:t>
      </w:r>
      <w:proofErr w:type="gramEnd"/>
      <w:r w:rsidRPr="002A0E74">
        <w:rPr>
          <w:lang w:val="fr-FR"/>
        </w:rPr>
        <w:t>a) en (e) FLA.</w:t>
      </w:r>
    </w:p>
  </w:footnote>
  <w:footnote w:id="296">
    <w:p w:rsidR="002A0E74" w:rsidRPr="00947606" w:rsidRDefault="002A0E74" w:rsidP="00184653">
      <w:pPr>
        <w:pStyle w:val="def"/>
        <w:shd w:val="clear" w:color="auto" w:fill="FFFFFF"/>
        <w:spacing w:before="0" w:beforeAutospacing="0" w:after="0" w:afterAutospacing="0"/>
        <w:jc w:val="both"/>
        <w:rPr>
          <w:lang w:val="en-US"/>
        </w:rPr>
      </w:pPr>
      <w:r w:rsidRPr="00721EE1">
        <w:rPr>
          <w:rStyle w:val="FootnoteReference"/>
          <w:sz w:val="20"/>
          <w:szCs w:val="20"/>
        </w:rPr>
        <w:footnoteRef/>
      </w:r>
      <w:r w:rsidRPr="00721EE1">
        <w:rPr>
          <w:sz w:val="20"/>
          <w:szCs w:val="20"/>
          <w:lang w:val="en-US"/>
        </w:rPr>
        <w:t xml:space="preserve"> </w:t>
      </w:r>
      <w:r w:rsidRPr="00721EE1">
        <w:rPr>
          <w:sz w:val="20"/>
          <w:szCs w:val="20"/>
          <w:lang w:val="en-US" w:eastAsia="nl-NL"/>
        </w:rPr>
        <w:t>S. 20(1) FLA “intended parent(s)”:  “a person who intends, or 2 persons who are married or in a marriage-like relationship who intend, to be a parent of a child and, for that purpose, the person makes or the 2 persons make an agreement with another person before the child is conceived that</w:t>
      </w:r>
      <w:bookmarkStart w:id="76" w:name="d2e2044"/>
      <w:bookmarkEnd w:id="76"/>
      <w:r w:rsidRPr="00721EE1">
        <w:rPr>
          <w:sz w:val="20"/>
          <w:szCs w:val="20"/>
          <w:lang w:val="en-US" w:eastAsia="nl-NL"/>
        </w:rPr>
        <w:t xml:space="preserve"> </w:t>
      </w:r>
      <w:r w:rsidRPr="00721EE1">
        <w:rPr>
          <w:sz w:val="20"/>
          <w:szCs w:val="20"/>
          <w:lang w:val="en-US"/>
        </w:rPr>
        <w:t>(a) the other person will be the birth mother of a child conceived through assisted reproduction, and</w:t>
      </w:r>
      <w:bookmarkStart w:id="77" w:name="d2e2053"/>
      <w:bookmarkEnd w:id="77"/>
      <w:r w:rsidRPr="00721EE1">
        <w:rPr>
          <w:sz w:val="20"/>
          <w:szCs w:val="20"/>
          <w:lang w:val="en-US"/>
        </w:rPr>
        <w:t xml:space="preserve"> (b) the person, or the 2 persons, will be the child's parent or parents on the child's birth, regardless of whether that person's or those persons' human reproductive material was used in the child's conception.</w:t>
      </w:r>
    </w:p>
  </w:footnote>
  <w:footnote w:id="297">
    <w:p w:rsidR="002A0E74" w:rsidRPr="005B2A12" w:rsidRDefault="002A0E74">
      <w:pPr>
        <w:pStyle w:val="FootnoteText"/>
        <w:rPr>
          <w:lang w:val="en-US"/>
        </w:rPr>
      </w:pPr>
      <w:r>
        <w:rPr>
          <w:rStyle w:val="FootnoteReference"/>
        </w:rPr>
        <w:footnoteRef/>
      </w:r>
      <w:r w:rsidRPr="000A6092">
        <w:rPr>
          <w:lang w:val="en-US"/>
        </w:rPr>
        <w:t xml:space="preserve"> S. 20(1</w:t>
      </w:r>
      <w:proofErr w:type="gramStart"/>
      <w:r w:rsidRPr="000A6092">
        <w:rPr>
          <w:lang w:val="en-US"/>
        </w:rPr>
        <w:t>)(</w:t>
      </w:r>
      <w:proofErr w:type="gramEnd"/>
      <w:r w:rsidRPr="000A6092">
        <w:rPr>
          <w:lang w:val="en-US"/>
        </w:rPr>
        <w:t>a) FLA.</w:t>
      </w:r>
    </w:p>
  </w:footnote>
  <w:footnote w:id="298">
    <w:p w:rsidR="002A0E74" w:rsidRPr="00947606" w:rsidRDefault="002A0E74" w:rsidP="00721EE1">
      <w:pPr>
        <w:pStyle w:val="FootnoteText"/>
        <w:rPr>
          <w:lang w:val="en-US"/>
        </w:rPr>
      </w:pPr>
      <w:r w:rsidRPr="00721EE1">
        <w:rPr>
          <w:rStyle w:val="FootnoteReference"/>
        </w:rPr>
        <w:footnoteRef/>
      </w:r>
      <w:r w:rsidRPr="005E6C09">
        <w:rPr>
          <w:lang w:val="en-US"/>
        </w:rPr>
        <w:t xml:space="preserve"> S. 27(3) FLA.</w:t>
      </w:r>
    </w:p>
  </w:footnote>
  <w:footnote w:id="299">
    <w:p w:rsidR="002A0E74" w:rsidRPr="00947606" w:rsidRDefault="002A0E74" w:rsidP="00184653">
      <w:pPr>
        <w:pStyle w:val="FootnoteText"/>
        <w:rPr>
          <w:lang w:val="en-US"/>
        </w:rPr>
      </w:pPr>
      <w:r>
        <w:rPr>
          <w:rStyle w:val="FootnoteReference"/>
        </w:rPr>
        <w:footnoteRef/>
      </w:r>
      <w:r w:rsidRPr="00755171">
        <w:rPr>
          <w:lang w:val="en-US"/>
        </w:rPr>
        <w:t xml:space="preserve"> </w:t>
      </w:r>
      <w:r>
        <w:rPr>
          <w:lang w:val="en-US"/>
        </w:rPr>
        <w:t>S. 30(1</w:t>
      </w:r>
      <w:proofErr w:type="gramStart"/>
      <w:r>
        <w:rPr>
          <w:lang w:val="en-US"/>
        </w:rPr>
        <w:t>)(</w:t>
      </w:r>
      <w:proofErr w:type="gramEnd"/>
      <w:r>
        <w:rPr>
          <w:lang w:val="en-US"/>
        </w:rPr>
        <w:t>b)(i) FLA.</w:t>
      </w:r>
    </w:p>
  </w:footnote>
  <w:footnote w:id="300">
    <w:p w:rsidR="002A0E74" w:rsidRPr="002A0E74" w:rsidRDefault="002A0E74" w:rsidP="004B3E3B">
      <w:pPr>
        <w:pStyle w:val="FootnoteText"/>
        <w:rPr>
          <w:lang w:val="en-US"/>
        </w:rPr>
      </w:pPr>
      <w:r w:rsidRPr="00D95C53">
        <w:rPr>
          <w:rStyle w:val="FootnoteReference"/>
        </w:rPr>
        <w:footnoteRef/>
      </w:r>
      <w:r w:rsidRPr="002A0E74">
        <w:rPr>
          <w:lang w:val="en-US"/>
        </w:rPr>
        <w:t xml:space="preserve"> S. 30(1</w:t>
      </w:r>
      <w:proofErr w:type="gramStart"/>
      <w:r w:rsidRPr="002A0E74">
        <w:rPr>
          <w:lang w:val="en-US"/>
        </w:rPr>
        <w:t>)(</w:t>
      </w:r>
      <w:proofErr w:type="gramEnd"/>
      <w:r w:rsidRPr="002A0E74">
        <w:rPr>
          <w:lang w:val="en-US"/>
        </w:rPr>
        <w:t>b)(ii) FLA.</w:t>
      </w:r>
    </w:p>
  </w:footnote>
  <w:footnote w:id="301">
    <w:p w:rsidR="002A0E74" w:rsidRPr="002A0E74" w:rsidRDefault="002A0E74" w:rsidP="004B3E3B">
      <w:pPr>
        <w:pStyle w:val="FootnoteText"/>
        <w:rPr>
          <w:lang w:val="en-US"/>
        </w:rPr>
      </w:pPr>
      <w:r>
        <w:rPr>
          <w:rStyle w:val="FootnoteReference"/>
        </w:rPr>
        <w:footnoteRef/>
      </w:r>
      <w:r w:rsidRPr="002A0E74">
        <w:rPr>
          <w:lang w:val="en-US"/>
        </w:rPr>
        <w:t xml:space="preserve"> S. 30(1</w:t>
      </w:r>
      <w:proofErr w:type="gramStart"/>
      <w:r w:rsidRPr="002A0E74">
        <w:rPr>
          <w:lang w:val="en-US"/>
        </w:rPr>
        <w:t>)(</w:t>
      </w:r>
      <w:proofErr w:type="gramEnd"/>
      <w:r w:rsidRPr="002A0E74">
        <w:rPr>
          <w:lang w:val="en-US"/>
        </w:rPr>
        <w:t>a) FLA.</w:t>
      </w:r>
    </w:p>
  </w:footnote>
  <w:footnote w:id="302">
    <w:p w:rsidR="002A0E74" w:rsidRPr="008237A7" w:rsidRDefault="002A0E74">
      <w:pPr>
        <w:pStyle w:val="FootnoteText"/>
        <w:rPr>
          <w:lang w:val="en-US"/>
        </w:rPr>
      </w:pPr>
      <w:r>
        <w:rPr>
          <w:rStyle w:val="FootnoteReference"/>
        </w:rPr>
        <w:footnoteRef/>
      </w:r>
      <w:r w:rsidRPr="008237A7">
        <w:rPr>
          <w:lang w:val="en-US"/>
        </w:rPr>
        <w:t xml:space="preserve"> S. 30(1</w:t>
      </w:r>
      <w:proofErr w:type="gramStart"/>
      <w:r w:rsidRPr="008237A7">
        <w:rPr>
          <w:lang w:val="en-US"/>
        </w:rPr>
        <w:t>)(</w:t>
      </w:r>
      <w:proofErr w:type="gramEnd"/>
      <w:r w:rsidRPr="008237A7">
        <w:rPr>
          <w:lang w:val="en-US"/>
        </w:rPr>
        <w:t>b)(i) FLA.</w:t>
      </w:r>
    </w:p>
  </w:footnote>
  <w:footnote w:id="303">
    <w:p w:rsidR="002A0E74" w:rsidRPr="002A0E74" w:rsidRDefault="002A0E74">
      <w:pPr>
        <w:pStyle w:val="FootnoteText"/>
        <w:rPr>
          <w:lang w:val="fr-FR"/>
        </w:rPr>
      </w:pPr>
      <w:r>
        <w:rPr>
          <w:rStyle w:val="FootnoteReference"/>
        </w:rPr>
        <w:footnoteRef/>
      </w:r>
      <w:r w:rsidRPr="002A0E74">
        <w:rPr>
          <w:lang w:val="fr-FR"/>
        </w:rPr>
        <w:t xml:space="preserve"> S. 30(1</w:t>
      </w:r>
      <w:proofErr w:type="gramStart"/>
      <w:r w:rsidRPr="002A0E74">
        <w:rPr>
          <w:lang w:val="fr-FR"/>
        </w:rPr>
        <w:t>)(</w:t>
      </w:r>
      <w:proofErr w:type="gramEnd"/>
      <w:r w:rsidRPr="002A0E74">
        <w:rPr>
          <w:lang w:val="fr-FR"/>
        </w:rPr>
        <w:t>b)(ii) FLA.</w:t>
      </w:r>
    </w:p>
  </w:footnote>
  <w:footnote w:id="304">
    <w:p w:rsidR="002A0E74" w:rsidRPr="00A6770A" w:rsidRDefault="002A0E74">
      <w:pPr>
        <w:pStyle w:val="FootnoteText"/>
        <w:rPr>
          <w:lang w:val="fr-FR"/>
        </w:rPr>
      </w:pPr>
      <w:r>
        <w:rPr>
          <w:rStyle w:val="FootnoteReference"/>
        </w:rPr>
        <w:footnoteRef/>
      </w:r>
      <w:r w:rsidRPr="00984A99">
        <w:rPr>
          <w:lang w:val="fr-FR"/>
        </w:rPr>
        <w:t xml:space="preserve"> S. </w:t>
      </w:r>
      <w:r>
        <w:rPr>
          <w:lang w:val="fr-FR"/>
        </w:rPr>
        <w:t>30(1</w:t>
      </w:r>
      <w:proofErr w:type="gramStart"/>
      <w:r>
        <w:rPr>
          <w:lang w:val="fr-FR"/>
        </w:rPr>
        <w:t>)(</w:t>
      </w:r>
      <w:proofErr w:type="gramEnd"/>
      <w:r>
        <w:rPr>
          <w:lang w:val="fr-FR"/>
        </w:rPr>
        <w:t>c)(i) en (ii) FLA.</w:t>
      </w:r>
    </w:p>
  </w:footnote>
  <w:footnote w:id="305">
    <w:p w:rsidR="002A0E74" w:rsidRPr="00A6770A" w:rsidRDefault="002A0E74">
      <w:pPr>
        <w:pStyle w:val="FootnoteText"/>
        <w:rPr>
          <w:lang w:val="fr-FR"/>
        </w:rPr>
      </w:pPr>
      <w:r>
        <w:rPr>
          <w:rStyle w:val="FootnoteReference"/>
        </w:rPr>
        <w:footnoteRef/>
      </w:r>
      <w:r w:rsidRPr="00134327">
        <w:rPr>
          <w:lang w:val="fr-FR"/>
        </w:rPr>
        <w:t xml:space="preserve"> S. 30(1</w:t>
      </w:r>
      <w:proofErr w:type="gramStart"/>
      <w:r w:rsidRPr="00134327">
        <w:rPr>
          <w:lang w:val="fr-FR"/>
        </w:rPr>
        <w:t>)(</w:t>
      </w:r>
      <w:proofErr w:type="gramEnd"/>
      <w:r w:rsidRPr="00134327">
        <w:rPr>
          <w:lang w:val="fr-FR"/>
        </w:rPr>
        <w:t>b)(ii) FLA.</w:t>
      </w:r>
    </w:p>
  </w:footnote>
  <w:footnote w:id="306">
    <w:p w:rsidR="002A0E74" w:rsidRPr="00A6770A" w:rsidRDefault="002A0E74">
      <w:pPr>
        <w:pStyle w:val="FootnoteText"/>
        <w:rPr>
          <w:lang w:val="fr-FR"/>
        </w:rPr>
      </w:pPr>
      <w:r>
        <w:rPr>
          <w:rStyle w:val="FootnoteReference"/>
        </w:rPr>
        <w:footnoteRef/>
      </w:r>
      <w:r w:rsidRPr="00134327">
        <w:rPr>
          <w:lang w:val="fr-FR"/>
        </w:rPr>
        <w:t xml:space="preserve"> </w:t>
      </w:r>
      <w:r>
        <w:rPr>
          <w:lang w:val="fr-FR"/>
        </w:rPr>
        <w:t>S. 30(3) FLA.</w:t>
      </w:r>
    </w:p>
  </w:footnote>
  <w:footnote w:id="307">
    <w:p w:rsidR="002A0E74" w:rsidRPr="002A0E74" w:rsidRDefault="002A0E74">
      <w:pPr>
        <w:pStyle w:val="FootnoteText"/>
        <w:rPr>
          <w:lang w:val="fr-FR"/>
        </w:rPr>
      </w:pPr>
      <w:r>
        <w:rPr>
          <w:rStyle w:val="FootnoteReference"/>
        </w:rPr>
        <w:footnoteRef/>
      </w:r>
      <w:r w:rsidRPr="002A0E74">
        <w:rPr>
          <w:lang w:val="fr-FR"/>
        </w:rPr>
        <w:t xml:space="preserve"> S. 30(2) FLA.</w:t>
      </w:r>
    </w:p>
  </w:footnote>
  <w:footnote w:id="308">
    <w:p w:rsidR="002A0E74" w:rsidRPr="00A6770A" w:rsidRDefault="002A0E74" w:rsidP="00134327">
      <w:pPr>
        <w:pStyle w:val="FootnoteText"/>
        <w:ind w:left="720" w:hanging="720"/>
        <w:rPr>
          <w:lang w:val="fr-FR"/>
        </w:rPr>
      </w:pPr>
      <w:r w:rsidRPr="00187999">
        <w:rPr>
          <w:rStyle w:val="FootnoteReference"/>
        </w:rPr>
        <w:footnoteRef/>
      </w:r>
      <w:r>
        <w:rPr>
          <w:lang w:val="fr-FR"/>
        </w:rPr>
        <w:t xml:space="preserve"> S. 39(3</w:t>
      </w:r>
      <w:proofErr w:type="gramStart"/>
      <w:r>
        <w:rPr>
          <w:lang w:val="fr-FR"/>
        </w:rPr>
        <w:t>)(</w:t>
      </w:r>
      <w:proofErr w:type="gramEnd"/>
      <w:r>
        <w:rPr>
          <w:lang w:val="fr-FR"/>
        </w:rPr>
        <w:t>a) FLA.</w:t>
      </w:r>
    </w:p>
  </w:footnote>
  <w:footnote w:id="309">
    <w:p w:rsidR="002A0E74" w:rsidRPr="00A6770A" w:rsidRDefault="002A0E74">
      <w:pPr>
        <w:pStyle w:val="FootnoteText"/>
        <w:rPr>
          <w:lang w:val="fr-FR"/>
        </w:rPr>
      </w:pPr>
      <w:r>
        <w:rPr>
          <w:rStyle w:val="FootnoteReference"/>
        </w:rPr>
        <w:footnoteRef/>
      </w:r>
      <w:r w:rsidRPr="005E6C09">
        <w:rPr>
          <w:lang w:val="fr-BE"/>
        </w:rPr>
        <w:t xml:space="preserve"> S. 40(2) FLA.</w:t>
      </w:r>
    </w:p>
  </w:footnote>
  <w:footnote w:id="310">
    <w:p w:rsidR="002A0E74" w:rsidRPr="00A6770A" w:rsidRDefault="002A0E74">
      <w:pPr>
        <w:pStyle w:val="FootnoteText"/>
        <w:rPr>
          <w:lang w:val="fr-FR"/>
        </w:rPr>
      </w:pPr>
      <w:r>
        <w:rPr>
          <w:rStyle w:val="FootnoteReference"/>
        </w:rPr>
        <w:footnoteRef/>
      </w:r>
      <w:r w:rsidRPr="005E6C09">
        <w:rPr>
          <w:lang w:val="fr-BE"/>
        </w:rPr>
        <w:t xml:space="preserve"> S. 40(3</w:t>
      </w:r>
      <w:proofErr w:type="gramStart"/>
      <w:r w:rsidRPr="005E6C09">
        <w:rPr>
          <w:lang w:val="fr-BE"/>
        </w:rPr>
        <w:t>)(</w:t>
      </w:r>
      <w:proofErr w:type="gramEnd"/>
      <w:r w:rsidRPr="005E6C09">
        <w:rPr>
          <w:lang w:val="fr-BE"/>
        </w:rPr>
        <w:t>a) FLA.</w:t>
      </w:r>
    </w:p>
  </w:footnote>
  <w:footnote w:id="311">
    <w:p w:rsidR="002A0E74" w:rsidRPr="002A0E74" w:rsidRDefault="002A0E74" w:rsidP="00A25108">
      <w:pPr>
        <w:pStyle w:val="FootnoteText"/>
        <w:rPr>
          <w:lang w:val="fr-FR"/>
        </w:rPr>
      </w:pPr>
      <w:r w:rsidRPr="00A25108">
        <w:rPr>
          <w:rStyle w:val="FootnoteReference"/>
        </w:rPr>
        <w:footnoteRef/>
      </w:r>
      <w:r w:rsidRPr="002A0E74">
        <w:rPr>
          <w:lang w:val="fr-FR"/>
        </w:rPr>
        <w:t xml:space="preserve"> S. 40(3</w:t>
      </w:r>
      <w:proofErr w:type="gramStart"/>
      <w:r w:rsidRPr="002A0E74">
        <w:rPr>
          <w:lang w:val="fr-FR"/>
        </w:rPr>
        <w:t>)(</w:t>
      </w:r>
      <w:proofErr w:type="gramEnd"/>
      <w:r w:rsidRPr="002A0E74">
        <w:rPr>
          <w:lang w:val="fr-FR"/>
        </w:rPr>
        <w:t>b) FLA.</w:t>
      </w:r>
    </w:p>
  </w:footnote>
  <w:footnote w:id="312">
    <w:p w:rsidR="002A0E74" w:rsidRPr="002A0E74" w:rsidRDefault="002A0E74" w:rsidP="00A25108">
      <w:pPr>
        <w:pStyle w:val="FootnoteText"/>
        <w:rPr>
          <w:lang w:val="fr-FR"/>
        </w:rPr>
      </w:pPr>
      <w:r w:rsidRPr="00A25108">
        <w:rPr>
          <w:rStyle w:val="FootnoteReference"/>
        </w:rPr>
        <w:footnoteRef/>
      </w:r>
      <w:r w:rsidRPr="002A0E74">
        <w:rPr>
          <w:lang w:val="fr-FR"/>
        </w:rPr>
        <w:t xml:space="preserve"> S. 37(1) FLA.</w:t>
      </w:r>
    </w:p>
  </w:footnote>
  <w:footnote w:id="313">
    <w:p w:rsidR="002A0E74" w:rsidRPr="00A25108" w:rsidRDefault="002A0E74" w:rsidP="00A25108">
      <w:pPr>
        <w:rPr>
          <w:sz w:val="20"/>
          <w:szCs w:val="20"/>
          <w:lang w:val="en-US"/>
        </w:rPr>
      </w:pPr>
      <w:r w:rsidRPr="00A25108">
        <w:rPr>
          <w:rStyle w:val="FootnoteReference"/>
          <w:sz w:val="20"/>
          <w:szCs w:val="20"/>
        </w:rPr>
        <w:footnoteRef/>
      </w:r>
      <w:r w:rsidRPr="00A25108">
        <w:rPr>
          <w:sz w:val="20"/>
          <w:szCs w:val="20"/>
          <w:lang w:val="en-US"/>
        </w:rPr>
        <w:t xml:space="preserve"> S. 30(1</w:t>
      </w:r>
      <w:proofErr w:type="gramStart"/>
      <w:r w:rsidRPr="00A25108">
        <w:rPr>
          <w:sz w:val="20"/>
          <w:szCs w:val="20"/>
          <w:lang w:val="en-US"/>
        </w:rPr>
        <w:t>)(</w:t>
      </w:r>
      <w:proofErr w:type="gramEnd"/>
      <w:r w:rsidRPr="00A25108">
        <w:rPr>
          <w:sz w:val="20"/>
          <w:szCs w:val="20"/>
          <w:lang w:val="en-US"/>
        </w:rPr>
        <w:t xml:space="preserve">a) FLA.; S. BOYD, “Equality: An Uncomfortable Fit in Parenting Law”, in LECKEY, R. (ed.), </w:t>
      </w:r>
      <w:r w:rsidRPr="00A25108">
        <w:rPr>
          <w:i/>
          <w:sz w:val="20"/>
          <w:szCs w:val="20"/>
          <w:lang w:val="en-US"/>
        </w:rPr>
        <w:t xml:space="preserve">After Legal Equality: Family, Sex, Kinship, </w:t>
      </w:r>
      <w:r w:rsidRPr="00A25108">
        <w:rPr>
          <w:sz w:val="20"/>
          <w:szCs w:val="20"/>
          <w:lang w:val="en-US"/>
        </w:rPr>
        <w:t>Abingdon,</w:t>
      </w:r>
      <w:r w:rsidRPr="00A25108">
        <w:rPr>
          <w:i/>
          <w:sz w:val="20"/>
          <w:szCs w:val="20"/>
          <w:lang w:val="en-US"/>
        </w:rPr>
        <w:t xml:space="preserve"> </w:t>
      </w:r>
      <w:r w:rsidRPr="00A25108">
        <w:rPr>
          <w:sz w:val="20"/>
          <w:szCs w:val="20"/>
          <w:lang w:val="en-US"/>
        </w:rPr>
        <w:t xml:space="preserve">Routledge, 2015, </w:t>
      </w:r>
      <w:r>
        <w:rPr>
          <w:sz w:val="20"/>
          <w:szCs w:val="20"/>
          <w:lang w:val="en-US"/>
        </w:rPr>
        <w:t xml:space="preserve">(89) </w:t>
      </w:r>
      <w:r w:rsidRPr="00A25108">
        <w:rPr>
          <w:sz w:val="20"/>
          <w:szCs w:val="20"/>
          <w:lang w:val="en-US"/>
        </w:rPr>
        <w:t>103.</w:t>
      </w:r>
    </w:p>
  </w:footnote>
  <w:footnote w:id="314">
    <w:p w:rsidR="002A0E74" w:rsidRPr="00A25108" w:rsidRDefault="002A0E74" w:rsidP="00A25108">
      <w:pPr>
        <w:rPr>
          <w:sz w:val="20"/>
          <w:szCs w:val="20"/>
          <w:lang w:val="en-US"/>
        </w:rPr>
      </w:pPr>
      <w:r w:rsidRPr="00A25108">
        <w:rPr>
          <w:rStyle w:val="FootnoteReference"/>
          <w:sz w:val="20"/>
          <w:szCs w:val="20"/>
        </w:rPr>
        <w:footnoteRef/>
      </w:r>
      <w:r w:rsidRPr="00A25108">
        <w:rPr>
          <w:sz w:val="20"/>
          <w:szCs w:val="20"/>
          <w:lang w:val="en-US"/>
        </w:rPr>
        <w:t xml:space="preserve"> S. BOYD, “Equality: An Uncomfortable Fit in Parenting Law”, in LECKEY, R. (ed.), </w:t>
      </w:r>
      <w:r w:rsidRPr="00A25108">
        <w:rPr>
          <w:i/>
          <w:sz w:val="20"/>
          <w:szCs w:val="20"/>
          <w:lang w:val="en-US"/>
        </w:rPr>
        <w:t xml:space="preserve">After Legal Equality: Family, Sex, Kinship, </w:t>
      </w:r>
      <w:r w:rsidRPr="00A25108">
        <w:rPr>
          <w:sz w:val="20"/>
          <w:szCs w:val="20"/>
          <w:lang w:val="en-US"/>
        </w:rPr>
        <w:t>Abingdon,</w:t>
      </w:r>
      <w:r w:rsidRPr="00A25108">
        <w:rPr>
          <w:i/>
          <w:sz w:val="20"/>
          <w:szCs w:val="20"/>
          <w:lang w:val="en-US"/>
        </w:rPr>
        <w:t xml:space="preserve"> </w:t>
      </w:r>
      <w:r w:rsidRPr="00A25108">
        <w:rPr>
          <w:sz w:val="20"/>
          <w:szCs w:val="20"/>
          <w:lang w:val="en-US"/>
        </w:rPr>
        <w:t xml:space="preserve">Routledge, 2015, </w:t>
      </w:r>
      <w:r>
        <w:rPr>
          <w:sz w:val="20"/>
          <w:szCs w:val="20"/>
          <w:lang w:val="en-US"/>
        </w:rPr>
        <w:t xml:space="preserve">(89) </w:t>
      </w:r>
      <w:r w:rsidRPr="00A25108">
        <w:rPr>
          <w:sz w:val="20"/>
          <w:szCs w:val="20"/>
          <w:lang w:val="en-US"/>
        </w:rPr>
        <w:t xml:space="preserve">103; </w:t>
      </w:r>
      <w:r w:rsidRPr="00A25108">
        <w:rPr>
          <w:smallCaps/>
          <w:sz w:val="20"/>
          <w:szCs w:val="20"/>
          <w:lang w:val="en-US"/>
        </w:rPr>
        <w:t xml:space="preserve">F. KELLY, </w:t>
      </w:r>
      <w:r w:rsidRPr="00A25108">
        <w:rPr>
          <w:sz w:val="20"/>
          <w:szCs w:val="20"/>
          <w:lang w:val="en-US"/>
        </w:rPr>
        <w:t xml:space="preserve">“Multiple-parent families under British Columbia’s new family law act: a challenge to the supremacy of the nuclear family or a method by which to preserve biological ties and opposite-sex parenting?”, </w:t>
      </w:r>
      <w:r w:rsidRPr="00A25108">
        <w:rPr>
          <w:rStyle w:val="exlresultdetails"/>
          <w:i/>
          <w:iCs/>
          <w:sz w:val="20"/>
          <w:szCs w:val="20"/>
          <w:lang w:val="en-US"/>
        </w:rPr>
        <w:t xml:space="preserve">University of British Columbia Law Review </w:t>
      </w:r>
      <w:r w:rsidRPr="00A25108">
        <w:rPr>
          <w:rStyle w:val="exlresultdetails"/>
          <w:sz w:val="20"/>
          <w:szCs w:val="20"/>
          <w:lang w:val="en-US"/>
        </w:rPr>
        <w:t>2014, Vol. 47(2), (565)</w:t>
      </w:r>
      <w:r w:rsidRPr="00A25108">
        <w:rPr>
          <w:sz w:val="20"/>
          <w:szCs w:val="20"/>
          <w:lang w:val="en-US"/>
        </w:rPr>
        <w:t xml:space="preserve"> 581-583.</w:t>
      </w:r>
    </w:p>
  </w:footnote>
  <w:footnote w:id="315">
    <w:p w:rsidR="002A0E74" w:rsidRPr="00A25108" w:rsidRDefault="002A0E74" w:rsidP="00A25108">
      <w:pPr>
        <w:pStyle w:val="FootnoteText"/>
        <w:rPr>
          <w:lang w:val="en-US"/>
        </w:rPr>
      </w:pPr>
      <w:r w:rsidRPr="00A25108">
        <w:rPr>
          <w:rStyle w:val="FootnoteReference"/>
        </w:rPr>
        <w:footnoteRef/>
      </w:r>
      <w:r w:rsidRPr="00A25108">
        <w:rPr>
          <w:lang w:val="en-US"/>
        </w:rPr>
        <w:t xml:space="preserve"> </w:t>
      </w:r>
      <w:r w:rsidRPr="00A25108">
        <w:rPr>
          <w:smallCaps/>
          <w:lang w:val="en-US"/>
        </w:rPr>
        <w:t xml:space="preserve">F. KELLY, </w:t>
      </w:r>
      <w:r w:rsidRPr="00A25108">
        <w:rPr>
          <w:lang w:val="en-US"/>
        </w:rPr>
        <w:t>“Multiple-parent families under British Columbia’s new family law act: a challenge to the supremacy of the nuclear family or a method by which to preserve biological ties and opposite-sex parenting?</w:t>
      </w:r>
      <w:proofErr w:type="gramStart"/>
      <w:r w:rsidRPr="00A25108">
        <w:rPr>
          <w:lang w:val="en-US"/>
        </w:rPr>
        <w:t>”,</w:t>
      </w:r>
      <w:proofErr w:type="gramEnd"/>
      <w:r w:rsidRPr="00A25108">
        <w:rPr>
          <w:lang w:val="en-US"/>
        </w:rPr>
        <w:t xml:space="preserve"> </w:t>
      </w:r>
      <w:r w:rsidRPr="00A25108">
        <w:rPr>
          <w:rStyle w:val="exlresultdetails"/>
          <w:i/>
          <w:iCs/>
          <w:lang w:val="en-US"/>
        </w:rPr>
        <w:t xml:space="preserve">University of British Columbia Law Review </w:t>
      </w:r>
      <w:r w:rsidRPr="00A25108">
        <w:rPr>
          <w:rStyle w:val="exlresultdetails"/>
          <w:lang w:val="en-US"/>
        </w:rPr>
        <w:t>2014, Vol. 47(2),</w:t>
      </w:r>
      <w:r w:rsidRPr="00A25108">
        <w:rPr>
          <w:lang w:val="en-US"/>
        </w:rPr>
        <w:t xml:space="preserve"> (565) 581-583.</w:t>
      </w:r>
    </w:p>
  </w:footnote>
  <w:footnote w:id="316">
    <w:p w:rsidR="002A0E74" w:rsidRPr="00A25108" w:rsidRDefault="002A0E74" w:rsidP="00A25108">
      <w:pPr>
        <w:pStyle w:val="FootnoteText"/>
      </w:pPr>
      <w:r w:rsidRPr="00A25108">
        <w:rPr>
          <w:rStyle w:val="FootnoteReference"/>
        </w:rPr>
        <w:footnoteRef/>
      </w:r>
      <w:r w:rsidRPr="00A25108">
        <w:rPr>
          <w:lang w:val="en-US"/>
        </w:rPr>
        <w:t xml:space="preserve"> </w:t>
      </w:r>
      <w:r w:rsidRPr="00A25108">
        <w:rPr>
          <w:lang w:val="en-US" w:eastAsia="nl-BE"/>
        </w:rPr>
        <w:t xml:space="preserve">B. FINDLAY en Z. SULEMAN, </w:t>
      </w:r>
      <w:r w:rsidRPr="00A25108">
        <w:rPr>
          <w:i/>
          <w:lang w:val="en-US" w:eastAsia="nl-BE"/>
        </w:rPr>
        <w:t>The Family Law Act: everything you always wanted to know, Paper: Baby Steps: Assisted Reproductive Technology and the B.C. Family Law Act</w:t>
      </w:r>
      <w:r w:rsidRPr="00A25108">
        <w:rPr>
          <w:lang w:val="en-US" w:eastAsia="nl-BE"/>
        </w:rPr>
        <w:t xml:space="preserve">, British Columbia, Continuing Legal Education Society of British Columbia, 2013,  33-34; </w:t>
      </w:r>
      <w:r w:rsidRPr="00A25108">
        <w:rPr>
          <w:smallCaps/>
          <w:lang w:val="en-US"/>
        </w:rPr>
        <w:t xml:space="preserve">M. VONK, </w:t>
      </w:r>
      <w:r w:rsidRPr="00A25108">
        <w:rPr>
          <w:lang w:val="en-US"/>
        </w:rPr>
        <w:t xml:space="preserve">“Een huis voor alle kinderen. </w:t>
      </w:r>
      <w:r w:rsidRPr="00A25108">
        <w:t xml:space="preserve">De juridische verankering van intentionele meeroudergezinnen in het afstammingsrecht.”, </w:t>
      </w:r>
      <w:r w:rsidRPr="00A25108">
        <w:rPr>
          <w:i/>
          <w:iCs/>
        </w:rPr>
        <w:t>Nederlands Juristenblad</w:t>
      </w:r>
      <w:r w:rsidRPr="00A25108">
        <w:t xml:space="preserve"> 2013, afl. 33, (2244) 2249.</w:t>
      </w:r>
    </w:p>
  </w:footnote>
  <w:footnote w:id="317">
    <w:p w:rsidR="002A0E74" w:rsidRPr="00FA086B" w:rsidRDefault="002A0E74" w:rsidP="00A25108">
      <w:pPr>
        <w:pStyle w:val="FootnoteText"/>
        <w:rPr>
          <w:lang w:val="en-US"/>
        </w:rPr>
      </w:pPr>
      <w:r w:rsidRPr="00A25108">
        <w:rPr>
          <w:rStyle w:val="FootnoteReference"/>
        </w:rPr>
        <w:footnoteRef/>
      </w:r>
      <w:r w:rsidRPr="00A25108">
        <w:rPr>
          <w:lang w:val="en-US"/>
        </w:rPr>
        <w:t xml:space="preserve"> S. 30(b</w:t>
      </w:r>
      <w:proofErr w:type="gramStart"/>
      <w:r w:rsidRPr="00A25108">
        <w:rPr>
          <w:lang w:val="en-US"/>
        </w:rPr>
        <w:t>)(</w:t>
      </w:r>
      <w:proofErr w:type="gramEnd"/>
      <w:r w:rsidRPr="00A25108">
        <w:rPr>
          <w:lang w:val="en-US"/>
        </w:rPr>
        <w:t xml:space="preserve">i) FLA.; </w:t>
      </w:r>
      <w:r w:rsidRPr="00A25108">
        <w:rPr>
          <w:smallCaps/>
          <w:lang w:val="en-US"/>
        </w:rPr>
        <w:t xml:space="preserve">F. KELLY, </w:t>
      </w:r>
      <w:r w:rsidRPr="00A25108">
        <w:rPr>
          <w:lang w:val="en-US"/>
        </w:rPr>
        <w:t xml:space="preserve">“Multiple-parent families under British Columbia’s new family law act: a challenge to the supremacy of the nuclear family or a method by which to preserve biological ties and opposite-sex parenting?”, </w:t>
      </w:r>
      <w:r w:rsidRPr="00A25108">
        <w:rPr>
          <w:rStyle w:val="exlresultdetails"/>
          <w:i/>
          <w:iCs/>
          <w:lang w:val="en-US"/>
        </w:rPr>
        <w:t xml:space="preserve">University of British Columbia Law Review </w:t>
      </w:r>
      <w:r w:rsidRPr="00A25108">
        <w:rPr>
          <w:rStyle w:val="exlresultdetails"/>
          <w:lang w:val="en-US"/>
        </w:rPr>
        <w:t>2014, Vol. 47(2), (565) 586.</w:t>
      </w:r>
    </w:p>
  </w:footnote>
  <w:footnote w:id="318">
    <w:p w:rsidR="002A0E74" w:rsidRPr="00A25108" w:rsidRDefault="002A0E74" w:rsidP="00A25108">
      <w:pPr>
        <w:pStyle w:val="FootnoteText"/>
      </w:pPr>
      <w:r w:rsidRPr="00A25108">
        <w:rPr>
          <w:rStyle w:val="FootnoteReference"/>
        </w:rPr>
        <w:footnoteRef/>
      </w:r>
      <w:r w:rsidRPr="00A25108">
        <w:t xml:space="preserve"> </w:t>
      </w:r>
      <w:r w:rsidRPr="00A25108">
        <w:rPr>
          <w:smallCaps/>
        </w:rPr>
        <w:t xml:space="preserve">M. VONK, </w:t>
      </w:r>
      <w:r w:rsidRPr="00A25108">
        <w:t xml:space="preserve">“Nieuws uit het westen: meerouderschap en draagmoederschap in British Columbia”, </w:t>
      </w:r>
      <w:r w:rsidRPr="00A25108">
        <w:rPr>
          <w:i/>
          <w:iCs/>
        </w:rPr>
        <w:t>Tijdschrift voor Familie- en Jeugdrecht</w:t>
      </w:r>
      <w:r w:rsidRPr="00A25108">
        <w:t xml:space="preserve"> 2015, (1) 6.</w:t>
      </w:r>
    </w:p>
  </w:footnote>
  <w:footnote w:id="319">
    <w:p w:rsidR="002A0E74" w:rsidRPr="00A25108" w:rsidRDefault="002A0E74" w:rsidP="00A25108">
      <w:pPr>
        <w:rPr>
          <w:sz w:val="20"/>
          <w:szCs w:val="20"/>
        </w:rPr>
      </w:pPr>
      <w:r w:rsidRPr="00A25108">
        <w:rPr>
          <w:rStyle w:val="FootnoteReference"/>
          <w:sz w:val="20"/>
          <w:szCs w:val="20"/>
        </w:rPr>
        <w:footnoteRef/>
      </w:r>
      <w:r w:rsidRPr="00A25108">
        <w:rPr>
          <w:sz w:val="20"/>
          <w:szCs w:val="20"/>
          <w:lang w:eastAsia="nl-BE"/>
        </w:rPr>
        <w:t xml:space="preserve"> </w:t>
      </w:r>
      <w:r w:rsidRPr="00A25108">
        <w:rPr>
          <w:smallCaps/>
          <w:sz w:val="20"/>
          <w:szCs w:val="20"/>
        </w:rPr>
        <w:t xml:space="preserve">M. VONK, </w:t>
      </w:r>
      <w:r w:rsidRPr="00A25108">
        <w:rPr>
          <w:sz w:val="20"/>
          <w:szCs w:val="20"/>
        </w:rPr>
        <w:t xml:space="preserve">“Nieuws uit het westen: meerouderschap en draagmoederschap in British Columbia”, </w:t>
      </w:r>
      <w:r w:rsidRPr="00A25108">
        <w:rPr>
          <w:i/>
          <w:iCs/>
          <w:sz w:val="20"/>
          <w:szCs w:val="20"/>
        </w:rPr>
        <w:t>Tijdschrift voor Familie- en Jeugdrecht</w:t>
      </w:r>
      <w:r w:rsidRPr="00A25108">
        <w:rPr>
          <w:sz w:val="20"/>
          <w:szCs w:val="20"/>
        </w:rPr>
        <w:t xml:space="preserve"> 2015, (1) 6.</w:t>
      </w:r>
    </w:p>
  </w:footnote>
  <w:footnote w:id="320">
    <w:p w:rsidR="002A0E74" w:rsidRPr="00A25108" w:rsidRDefault="002A0E74" w:rsidP="00A25108">
      <w:pPr>
        <w:pStyle w:val="FootnoteText"/>
        <w:rPr>
          <w:lang w:val="en-US"/>
        </w:rPr>
      </w:pPr>
      <w:r w:rsidRPr="00A25108">
        <w:rPr>
          <w:rStyle w:val="FootnoteReference"/>
        </w:rPr>
        <w:footnoteRef/>
      </w:r>
      <w:r w:rsidRPr="00A25108">
        <w:rPr>
          <w:lang w:val="en-US"/>
        </w:rPr>
        <w:t xml:space="preserve"> </w:t>
      </w:r>
      <w:r w:rsidRPr="00A25108">
        <w:rPr>
          <w:smallCaps/>
          <w:lang w:val="en-US"/>
        </w:rPr>
        <w:t xml:space="preserve">F. KELLY, </w:t>
      </w:r>
      <w:r w:rsidRPr="00A25108">
        <w:rPr>
          <w:lang w:val="en-US"/>
        </w:rPr>
        <w:t>“Multiple-parent families under British Columbia’s new family law act: a challenge to the supremacy of the nuclear family or a method by which to preserve biological ties and opposite-sex parenting?</w:t>
      </w:r>
      <w:proofErr w:type="gramStart"/>
      <w:r w:rsidRPr="00A25108">
        <w:rPr>
          <w:lang w:val="en-US"/>
        </w:rPr>
        <w:t>”,</w:t>
      </w:r>
      <w:proofErr w:type="gramEnd"/>
      <w:r w:rsidRPr="00A25108">
        <w:rPr>
          <w:lang w:val="en-US"/>
        </w:rPr>
        <w:t xml:space="preserve"> </w:t>
      </w:r>
      <w:r w:rsidRPr="00A25108">
        <w:rPr>
          <w:rStyle w:val="exlresultdetails"/>
          <w:i/>
          <w:iCs/>
          <w:lang w:val="en-US"/>
        </w:rPr>
        <w:t xml:space="preserve">University of British Columbia Law Review </w:t>
      </w:r>
      <w:r w:rsidRPr="00A25108">
        <w:rPr>
          <w:rStyle w:val="exlresultdetails"/>
          <w:lang w:val="en-US"/>
        </w:rPr>
        <w:t>2014, Vol. 47(2), (565) 585.</w:t>
      </w:r>
    </w:p>
  </w:footnote>
  <w:footnote w:id="321">
    <w:p w:rsidR="002A0E74" w:rsidRPr="00A25108" w:rsidRDefault="002A0E74" w:rsidP="00A25108">
      <w:pPr>
        <w:pStyle w:val="FootnoteText"/>
        <w:rPr>
          <w:lang w:val="en-US"/>
        </w:rPr>
      </w:pPr>
      <w:r w:rsidRPr="00A25108">
        <w:rPr>
          <w:rStyle w:val="FootnoteReference"/>
        </w:rPr>
        <w:footnoteRef/>
      </w:r>
      <w:r w:rsidRPr="00A25108">
        <w:rPr>
          <w:lang w:val="en-US"/>
        </w:rPr>
        <w:t xml:space="preserve"> </w:t>
      </w:r>
      <w:r>
        <w:rPr>
          <w:lang w:val="en-US"/>
        </w:rPr>
        <w:t>S. 20</w:t>
      </w:r>
      <w:r w:rsidRPr="00A25108">
        <w:rPr>
          <w:lang w:val="en-US"/>
        </w:rPr>
        <w:t xml:space="preserve">(1) FLA.; </w:t>
      </w:r>
      <w:r w:rsidRPr="00A25108">
        <w:rPr>
          <w:smallCaps/>
          <w:lang w:val="en-US"/>
        </w:rPr>
        <w:t xml:space="preserve">F. KELLY, </w:t>
      </w:r>
      <w:r w:rsidRPr="00A25108">
        <w:rPr>
          <w:lang w:val="en-US"/>
        </w:rPr>
        <w:t>“Multiple-parent families under British Columbia’s new family law act: a challenge to the supremacy of the nuclear family or a method by which to preserve biological ties and opposite-sex parenting?</w:t>
      </w:r>
      <w:proofErr w:type="gramStart"/>
      <w:r w:rsidRPr="00A25108">
        <w:rPr>
          <w:lang w:val="en-US"/>
        </w:rPr>
        <w:t>”,</w:t>
      </w:r>
      <w:proofErr w:type="gramEnd"/>
      <w:r w:rsidRPr="00A25108">
        <w:rPr>
          <w:lang w:val="en-US"/>
        </w:rPr>
        <w:t xml:space="preserve"> </w:t>
      </w:r>
      <w:r w:rsidRPr="00A25108">
        <w:rPr>
          <w:rStyle w:val="exlresultdetails"/>
          <w:i/>
          <w:iCs/>
          <w:lang w:val="en-US"/>
        </w:rPr>
        <w:t xml:space="preserve">University of British Columbia Law Review </w:t>
      </w:r>
      <w:r w:rsidRPr="00A25108">
        <w:rPr>
          <w:rStyle w:val="exlresultdetails"/>
          <w:lang w:val="en-US"/>
        </w:rPr>
        <w:t>2014, Vol. 47(2), (565) 579.</w:t>
      </w:r>
    </w:p>
  </w:footnote>
  <w:footnote w:id="322">
    <w:p w:rsidR="002A0E74" w:rsidRPr="00A25108" w:rsidRDefault="002A0E74" w:rsidP="00A25108">
      <w:pPr>
        <w:pStyle w:val="FootnoteText"/>
        <w:rPr>
          <w:lang w:val="en-US"/>
        </w:rPr>
      </w:pPr>
      <w:r w:rsidRPr="00A25108">
        <w:rPr>
          <w:rStyle w:val="FootnoteReference"/>
        </w:rPr>
        <w:footnoteRef/>
      </w:r>
      <w:r w:rsidRPr="00A25108">
        <w:rPr>
          <w:lang w:val="en-US"/>
        </w:rPr>
        <w:t xml:space="preserve"> </w:t>
      </w:r>
      <w:r w:rsidRPr="00A25108">
        <w:rPr>
          <w:lang w:val="en-US" w:eastAsia="nl-BE"/>
        </w:rPr>
        <w:t xml:space="preserve">B. FINDLAY en Z. SULEMAN, </w:t>
      </w:r>
      <w:r w:rsidRPr="00A25108">
        <w:rPr>
          <w:i/>
          <w:lang w:val="en-US" w:eastAsia="nl-BE"/>
        </w:rPr>
        <w:t>The Family Law Act: everything you always wanted to know, Paper: Baby Steps: Assisted Reproductive Technology and the B.C. Family Law Act</w:t>
      </w:r>
      <w:r w:rsidRPr="00A25108">
        <w:rPr>
          <w:lang w:val="en-US" w:eastAsia="nl-BE"/>
        </w:rPr>
        <w:t xml:space="preserve">,  British Columbia, Continuing Legal Education Society of British Columbia, 2013,  33-34; </w:t>
      </w:r>
      <w:r w:rsidRPr="00A25108">
        <w:rPr>
          <w:smallCaps/>
          <w:lang w:val="en-US"/>
        </w:rPr>
        <w:t xml:space="preserve">M. VONK, </w:t>
      </w:r>
      <w:r w:rsidRPr="00A25108">
        <w:rPr>
          <w:lang w:val="en-US"/>
        </w:rPr>
        <w:t xml:space="preserve">“Nieuws uit het westen: meerouderschap en draagmoederschap in British Columbia”, </w:t>
      </w:r>
      <w:r w:rsidRPr="00A25108">
        <w:rPr>
          <w:i/>
          <w:iCs/>
          <w:lang w:val="en-US"/>
        </w:rPr>
        <w:t>Tijdschrift voor Familie- en Jeugdrecht</w:t>
      </w:r>
      <w:r w:rsidRPr="00A25108">
        <w:rPr>
          <w:lang w:val="en-US"/>
        </w:rPr>
        <w:t xml:space="preserve"> 2015, (1) 6.</w:t>
      </w:r>
    </w:p>
  </w:footnote>
  <w:footnote w:id="323">
    <w:p w:rsidR="002A0E74" w:rsidRPr="00A25108" w:rsidRDefault="002A0E74" w:rsidP="00A25108">
      <w:pPr>
        <w:pStyle w:val="FootnoteText"/>
        <w:rPr>
          <w:lang w:val="en-US"/>
        </w:rPr>
      </w:pPr>
      <w:r w:rsidRPr="00A25108">
        <w:rPr>
          <w:rStyle w:val="FootnoteReference"/>
        </w:rPr>
        <w:footnoteRef/>
      </w:r>
      <w:r w:rsidRPr="00A25108">
        <w:rPr>
          <w:lang w:val="en-US"/>
        </w:rPr>
        <w:t xml:space="preserve"> </w:t>
      </w:r>
      <w:r w:rsidRPr="00A25108">
        <w:rPr>
          <w:smallCaps/>
          <w:lang w:val="en-US"/>
        </w:rPr>
        <w:t xml:space="preserve">F. KELLY, </w:t>
      </w:r>
      <w:r w:rsidRPr="00A25108">
        <w:rPr>
          <w:lang w:val="en-US"/>
        </w:rPr>
        <w:t>“Multiple-parent families under British Columbia’s new family law act: a challenge to the supremacy of the nuclear family or a method by which to preserve biological ties and opposite-sex parenting?</w:t>
      </w:r>
      <w:proofErr w:type="gramStart"/>
      <w:r w:rsidRPr="00A25108">
        <w:rPr>
          <w:lang w:val="en-US"/>
        </w:rPr>
        <w:t>”,</w:t>
      </w:r>
      <w:proofErr w:type="gramEnd"/>
      <w:r w:rsidRPr="00A25108">
        <w:rPr>
          <w:lang w:val="en-US"/>
        </w:rPr>
        <w:t xml:space="preserve"> </w:t>
      </w:r>
      <w:r w:rsidRPr="00A25108">
        <w:rPr>
          <w:rStyle w:val="exlresultdetails"/>
          <w:i/>
          <w:iCs/>
          <w:lang w:val="en-US"/>
        </w:rPr>
        <w:t xml:space="preserve">University of British Columbia Law Review </w:t>
      </w:r>
      <w:r w:rsidRPr="00A25108">
        <w:rPr>
          <w:rStyle w:val="exlresultdetails"/>
          <w:lang w:val="en-US"/>
        </w:rPr>
        <w:t>2014, Vol. 47(2), (565) 585.</w:t>
      </w:r>
    </w:p>
  </w:footnote>
  <w:footnote w:id="324">
    <w:p w:rsidR="002A0E74" w:rsidRPr="00947606" w:rsidRDefault="002A0E74" w:rsidP="00A25108">
      <w:pPr>
        <w:pStyle w:val="FootnoteText"/>
        <w:rPr>
          <w:lang w:val="en-US"/>
        </w:rPr>
      </w:pPr>
      <w:r w:rsidRPr="00A25108">
        <w:rPr>
          <w:rStyle w:val="FootnoteReference"/>
        </w:rPr>
        <w:footnoteRef/>
      </w:r>
      <w:r w:rsidRPr="00A25108">
        <w:rPr>
          <w:lang w:val="en-US"/>
        </w:rPr>
        <w:t xml:space="preserve"> </w:t>
      </w:r>
      <w:r w:rsidRPr="00A25108">
        <w:rPr>
          <w:smallCaps/>
          <w:lang w:val="en-US"/>
        </w:rPr>
        <w:t xml:space="preserve">F. KELLY, </w:t>
      </w:r>
      <w:r w:rsidRPr="00A25108">
        <w:rPr>
          <w:lang w:val="en-US"/>
        </w:rPr>
        <w:t>“Multiple-parent families under British Columbia’s new family law act: a challenge to the supremacy of the nuclear family or a method by which to preserve biological ties and opposite-sex parenting?</w:t>
      </w:r>
      <w:proofErr w:type="gramStart"/>
      <w:r w:rsidRPr="00A25108">
        <w:rPr>
          <w:lang w:val="en-US"/>
        </w:rPr>
        <w:t>”,</w:t>
      </w:r>
      <w:proofErr w:type="gramEnd"/>
      <w:r w:rsidRPr="00A25108">
        <w:rPr>
          <w:lang w:val="en-US"/>
        </w:rPr>
        <w:t xml:space="preserve"> </w:t>
      </w:r>
      <w:r w:rsidRPr="00A25108">
        <w:rPr>
          <w:rStyle w:val="exlresultdetails"/>
          <w:i/>
          <w:iCs/>
          <w:lang w:val="en-US"/>
        </w:rPr>
        <w:t xml:space="preserve">University of British Columbia Law Review </w:t>
      </w:r>
      <w:r w:rsidRPr="00A25108">
        <w:rPr>
          <w:rStyle w:val="exlresultdetails"/>
          <w:lang w:val="en-US"/>
        </w:rPr>
        <w:t>2014, Vol. 47(2), (565)</w:t>
      </w:r>
      <w:r w:rsidRPr="00A25108">
        <w:rPr>
          <w:lang w:val="en-US"/>
        </w:rPr>
        <w:t xml:space="preserve"> 583-584.</w:t>
      </w:r>
    </w:p>
  </w:footnote>
  <w:footnote w:id="325">
    <w:p w:rsidR="002A0E74" w:rsidRPr="002E1D57" w:rsidRDefault="002A0E74">
      <w:pPr>
        <w:pStyle w:val="FootnoteText"/>
        <w:rPr>
          <w:lang w:val="en-US"/>
        </w:rPr>
      </w:pPr>
      <w:r>
        <w:rPr>
          <w:rStyle w:val="FootnoteReference"/>
        </w:rPr>
        <w:footnoteRef/>
      </w:r>
      <w:r w:rsidRPr="002E1D57">
        <w:rPr>
          <w:lang w:val="en-US"/>
        </w:rPr>
        <w:t xml:space="preserve"> </w:t>
      </w:r>
      <w:r>
        <w:rPr>
          <w:smallCaps/>
          <w:lang w:val="en-US"/>
        </w:rPr>
        <w:t>F. KELLY</w:t>
      </w:r>
      <w:r w:rsidRPr="005C5698">
        <w:rPr>
          <w:smallCaps/>
          <w:lang w:val="en-US"/>
        </w:rPr>
        <w:t xml:space="preserve">, </w:t>
      </w:r>
      <w:r w:rsidRPr="005C5698">
        <w:rPr>
          <w:lang w:val="en-US"/>
        </w:rPr>
        <w:t>“Multiple-parent families under British Columbia’s new family law act: a challenge to the supremacy of the nuclear family or a method by which to preserve biological ties and opposite-sex parenting?</w:t>
      </w:r>
      <w:proofErr w:type="gramStart"/>
      <w:r w:rsidRPr="005C5698">
        <w:rPr>
          <w:lang w:val="en-US"/>
        </w:rPr>
        <w:t>”,</w:t>
      </w:r>
      <w:proofErr w:type="gramEnd"/>
      <w:r w:rsidRPr="005C5698">
        <w:rPr>
          <w:lang w:val="en-US"/>
        </w:rPr>
        <w:t xml:space="preserve"> </w:t>
      </w:r>
      <w:r w:rsidRPr="005C5698">
        <w:rPr>
          <w:rStyle w:val="exlresultdetails"/>
          <w:i/>
          <w:iCs/>
          <w:lang w:val="en-US"/>
        </w:rPr>
        <w:t xml:space="preserve">University of British Columbia Law Review </w:t>
      </w:r>
      <w:r w:rsidRPr="005C5698">
        <w:rPr>
          <w:rStyle w:val="exlresultdetails"/>
          <w:lang w:val="en-US"/>
        </w:rPr>
        <w:t>2014, Vol. 47(2),</w:t>
      </w:r>
      <w:r>
        <w:rPr>
          <w:rStyle w:val="exlresultdetails"/>
          <w:lang w:val="en-US"/>
        </w:rPr>
        <w:t xml:space="preserve"> (565) 579.</w:t>
      </w:r>
    </w:p>
  </w:footnote>
  <w:footnote w:id="326">
    <w:p w:rsidR="002A0E74" w:rsidRPr="00A541A0" w:rsidRDefault="002A0E74">
      <w:pPr>
        <w:pStyle w:val="FootnoteText"/>
        <w:rPr>
          <w:lang w:val="en-US"/>
        </w:rPr>
      </w:pPr>
      <w:r>
        <w:rPr>
          <w:rStyle w:val="FootnoteReference"/>
        </w:rPr>
        <w:footnoteRef/>
      </w:r>
      <w:r w:rsidRPr="00A541A0">
        <w:rPr>
          <w:lang w:val="en-US"/>
        </w:rPr>
        <w:t xml:space="preserve"> </w:t>
      </w:r>
      <w:r>
        <w:rPr>
          <w:smallCaps/>
          <w:lang w:val="en-US"/>
        </w:rPr>
        <w:t>F. KELLY</w:t>
      </w:r>
      <w:r w:rsidRPr="005C5698">
        <w:rPr>
          <w:smallCaps/>
          <w:lang w:val="en-US"/>
        </w:rPr>
        <w:t xml:space="preserve">, </w:t>
      </w:r>
      <w:r w:rsidRPr="005C5698">
        <w:rPr>
          <w:lang w:val="en-US"/>
        </w:rPr>
        <w:t>“Multiple-parent families under British Columbia’s new family law act: a challenge to the supremacy of the nuclear family or a method by which to preserve biological ties and opposite-sex parenting?</w:t>
      </w:r>
      <w:proofErr w:type="gramStart"/>
      <w:r w:rsidRPr="005C5698">
        <w:rPr>
          <w:lang w:val="en-US"/>
        </w:rPr>
        <w:t>”,</w:t>
      </w:r>
      <w:proofErr w:type="gramEnd"/>
      <w:r w:rsidRPr="005C5698">
        <w:rPr>
          <w:lang w:val="en-US"/>
        </w:rPr>
        <w:t xml:space="preserve"> </w:t>
      </w:r>
      <w:r w:rsidRPr="005C5698">
        <w:rPr>
          <w:rStyle w:val="exlresultdetails"/>
          <w:i/>
          <w:iCs/>
          <w:lang w:val="en-US"/>
        </w:rPr>
        <w:t xml:space="preserve">University of British Columbia Law Review </w:t>
      </w:r>
      <w:r w:rsidRPr="005C5698">
        <w:rPr>
          <w:rStyle w:val="exlresultdetails"/>
          <w:lang w:val="en-US"/>
        </w:rPr>
        <w:t>2014, Vol. 47(2),</w:t>
      </w:r>
      <w:r>
        <w:rPr>
          <w:rStyle w:val="exlresultdetails"/>
          <w:lang w:val="en-US"/>
        </w:rPr>
        <w:t xml:space="preserve"> (565) 584.</w:t>
      </w:r>
    </w:p>
  </w:footnote>
  <w:footnote w:id="327">
    <w:p w:rsidR="002A0E74" w:rsidRPr="00947606" w:rsidRDefault="002A0E74">
      <w:pPr>
        <w:pStyle w:val="FootnoteText"/>
        <w:rPr>
          <w:lang w:val="en-US"/>
        </w:rPr>
      </w:pPr>
      <w:r>
        <w:rPr>
          <w:rStyle w:val="FootnoteReference"/>
        </w:rPr>
        <w:footnoteRef/>
      </w:r>
      <w:r w:rsidRPr="009F06D9">
        <w:rPr>
          <w:lang w:val="en-US"/>
        </w:rPr>
        <w:t xml:space="preserve"> </w:t>
      </w:r>
      <w:r>
        <w:rPr>
          <w:smallCaps/>
          <w:lang w:val="en-US"/>
        </w:rPr>
        <w:t>F. KELLY</w:t>
      </w:r>
      <w:r w:rsidRPr="005C5698">
        <w:rPr>
          <w:smallCaps/>
          <w:lang w:val="en-US"/>
        </w:rPr>
        <w:t xml:space="preserve">, </w:t>
      </w:r>
      <w:r w:rsidRPr="005C5698">
        <w:rPr>
          <w:lang w:val="en-US"/>
        </w:rPr>
        <w:t>“Multiple-parent families under British Columbia’s new family law act: a challenge to the supremacy of the nuclear family or a method by which to preserve biological ties and opposite-sex parenting?</w:t>
      </w:r>
      <w:proofErr w:type="gramStart"/>
      <w:r w:rsidRPr="005C5698">
        <w:rPr>
          <w:lang w:val="en-US"/>
        </w:rPr>
        <w:t>”,</w:t>
      </w:r>
      <w:proofErr w:type="gramEnd"/>
      <w:r w:rsidRPr="005C5698">
        <w:rPr>
          <w:lang w:val="en-US"/>
        </w:rPr>
        <w:t xml:space="preserve"> </w:t>
      </w:r>
      <w:r w:rsidRPr="005C5698">
        <w:rPr>
          <w:rStyle w:val="exlresultdetails"/>
          <w:i/>
          <w:iCs/>
          <w:lang w:val="en-US"/>
        </w:rPr>
        <w:t xml:space="preserve">University of British Columbia Law Review </w:t>
      </w:r>
      <w:r w:rsidRPr="005C5698">
        <w:rPr>
          <w:rStyle w:val="exlresultdetails"/>
          <w:lang w:val="en-US"/>
        </w:rPr>
        <w:t>2014, Vol. 47(2),</w:t>
      </w:r>
      <w:r>
        <w:rPr>
          <w:rStyle w:val="exlresultdetails"/>
          <w:lang w:val="en-US"/>
        </w:rPr>
        <w:t xml:space="preserve"> (565) 587-589.</w:t>
      </w:r>
    </w:p>
  </w:footnote>
  <w:footnote w:id="328">
    <w:p w:rsidR="002A0E74" w:rsidRDefault="002A0E74">
      <w:pPr>
        <w:pStyle w:val="FootnoteText"/>
      </w:pPr>
      <w:r>
        <w:rPr>
          <w:rStyle w:val="FootnoteReference"/>
        </w:rPr>
        <w:footnoteRef/>
      </w:r>
      <w:r>
        <w:t xml:space="preserve"> </w:t>
      </w:r>
      <w:r w:rsidRPr="009F06D9">
        <w:rPr>
          <w:smallCaps/>
        </w:rPr>
        <w:t xml:space="preserve">M. </w:t>
      </w:r>
      <w:r>
        <w:rPr>
          <w:smallCaps/>
        </w:rPr>
        <w:t>VONK</w:t>
      </w:r>
      <w:r w:rsidRPr="009F06D9">
        <w:rPr>
          <w:smallCaps/>
        </w:rPr>
        <w:t xml:space="preserve">, </w:t>
      </w:r>
      <w:r w:rsidRPr="009F06D9">
        <w:t>“Nieuws uit het westen: meerouderschap en draagmoederschap in British Columbia</w:t>
      </w:r>
      <w:r>
        <w:t>”</w:t>
      </w:r>
      <w:r w:rsidRPr="009F06D9">
        <w:t xml:space="preserve">, </w:t>
      </w:r>
      <w:r w:rsidRPr="009F06D9">
        <w:rPr>
          <w:i/>
          <w:iCs/>
        </w:rPr>
        <w:t>Tijdschrift voor Familie- en Jeugdrecht</w:t>
      </w:r>
      <w:r w:rsidRPr="009F06D9">
        <w:t xml:space="preserve"> 2015,</w:t>
      </w:r>
      <w:r>
        <w:t xml:space="preserve"> (1)</w:t>
      </w:r>
      <w:r w:rsidRPr="009F06D9">
        <w:t xml:space="preserve"> 6.</w:t>
      </w:r>
      <w:r>
        <w:t xml:space="preserve"> </w:t>
      </w:r>
    </w:p>
  </w:footnote>
  <w:footnote w:id="329">
    <w:p w:rsidR="002A0E74" w:rsidRDefault="002A0E74">
      <w:pPr>
        <w:pStyle w:val="FootnoteText"/>
      </w:pPr>
      <w:r>
        <w:rPr>
          <w:rStyle w:val="FootnoteReference"/>
        </w:rPr>
        <w:footnoteRef/>
      </w:r>
      <w:r>
        <w:t xml:space="preserve"> </w:t>
      </w:r>
      <w:r w:rsidRPr="009F06D9">
        <w:rPr>
          <w:smallCaps/>
        </w:rPr>
        <w:t xml:space="preserve">M. </w:t>
      </w:r>
      <w:r>
        <w:rPr>
          <w:smallCaps/>
        </w:rPr>
        <w:t>VONK</w:t>
      </w:r>
      <w:r w:rsidRPr="009F06D9">
        <w:rPr>
          <w:smallCaps/>
        </w:rPr>
        <w:t xml:space="preserve">, </w:t>
      </w:r>
      <w:r w:rsidRPr="009F06D9">
        <w:t>“Nieuws uit het westen: meerouderschap en draagmoederschap in British Columbia</w:t>
      </w:r>
      <w:r>
        <w:t>”</w:t>
      </w:r>
      <w:r w:rsidRPr="009F06D9">
        <w:t xml:space="preserve">, </w:t>
      </w:r>
      <w:r w:rsidRPr="009F06D9">
        <w:rPr>
          <w:i/>
          <w:iCs/>
        </w:rPr>
        <w:t>Tijdschrift voor Familie- en Jeugdrecht</w:t>
      </w:r>
      <w:r w:rsidRPr="009F06D9">
        <w:t xml:space="preserve"> 2015,</w:t>
      </w:r>
      <w:r>
        <w:t xml:space="preserve"> (1)</w:t>
      </w:r>
      <w:r w:rsidRPr="009F06D9">
        <w:t xml:space="preserve"> 7.</w:t>
      </w:r>
    </w:p>
  </w:footnote>
  <w:footnote w:id="330">
    <w:p w:rsidR="002A0E74" w:rsidRDefault="002A0E74">
      <w:pPr>
        <w:pStyle w:val="FootnoteText"/>
      </w:pPr>
      <w:r>
        <w:rPr>
          <w:rStyle w:val="FootnoteReference"/>
        </w:rPr>
        <w:footnoteRef/>
      </w:r>
      <w:r>
        <w:t xml:space="preserve"> </w:t>
      </w:r>
      <w:r w:rsidRPr="009F06D9">
        <w:rPr>
          <w:smallCaps/>
        </w:rPr>
        <w:t xml:space="preserve">M. </w:t>
      </w:r>
      <w:r>
        <w:rPr>
          <w:smallCaps/>
        </w:rPr>
        <w:t>VONK</w:t>
      </w:r>
      <w:r w:rsidRPr="009F06D9">
        <w:rPr>
          <w:smallCaps/>
        </w:rPr>
        <w:t xml:space="preserve">, </w:t>
      </w:r>
      <w:r w:rsidRPr="009F06D9">
        <w:t>“Nieuws uit het westen: meerouderschap en draagmoederschap in British Columbia</w:t>
      </w:r>
      <w:r>
        <w:t>”</w:t>
      </w:r>
      <w:r w:rsidRPr="009F06D9">
        <w:t xml:space="preserve">, </w:t>
      </w:r>
      <w:r w:rsidRPr="009F06D9">
        <w:rPr>
          <w:i/>
          <w:iCs/>
        </w:rPr>
        <w:t>Tijdschrift voor Familie- en Jeugdrecht</w:t>
      </w:r>
      <w:r w:rsidRPr="009F06D9">
        <w:t xml:space="preserve"> 2015, </w:t>
      </w:r>
      <w:r>
        <w:t xml:space="preserve">(1) </w:t>
      </w:r>
      <w:r w:rsidRPr="009F06D9">
        <w:t>7-8.</w:t>
      </w:r>
    </w:p>
  </w:footnote>
  <w:footnote w:id="331">
    <w:p w:rsidR="002A0E74" w:rsidRDefault="002A0E74">
      <w:pPr>
        <w:pStyle w:val="FootnoteText"/>
      </w:pPr>
      <w:r>
        <w:rPr>
          <w:rStyle w:val="FootnoteReference"/>
        </w:rPr>
        <w:footnoteRef/>
      </w:r>
      <w:r>
        <w:t xml:space="preserve"> </w:t>
      </w:r>
      <w:r w:rsidRPr="009F06D9">
        <w:rPr>
          <w:smallCaps/>
        </w:rPr>
        <w:t xml:space="preserve">M. </w:t>
      </w:r>
      <w:r>
        <w:rPr>
          <w:smallCaps/>
        </w:rPr>
        <w:t>VONK</w:t>
      </w:r>
      <w:r w:rsidRPr="009F06D9">
        <w:rPr>
          <w:smallCaps/>
        </w:rPr>
        <w:t xml:space="preserve">, </w:t>
      </w:r>
      <w:r w:rsidRPr="009F06D9">
        <w:t>“Nieuws uit het westen: meerouderschap en draagmoederschap in British Columbia</w:t>
      </w:r>
      <w:r>
        <w:t>”</w:t>
      </w:r>
      <w:r w:rsidRPr="009F06D9">
        <w:t xml:space="preserve">, </w:t>
      </w:r>
      <w:r w:rsidRPr="009F06D9">
        <w:rPr>
          <w:i/>
          <w:iCs/>
        </w:rPr>
        <w:t>Tijdschrift voor Familie- en Jeugdrecht</w:t>
      </w:r>
      <w:r w:rsidRPr="009F06D9">
        <w:t xml:space="preserve"> 2015, </w:t>
      </w:r>
      <w:r>
        <w:t xml:space="preserve">(1) </w:t>
      </w:r>
      <w:r w:rsidRPr="009F06D9">
        <w:t>7-8.</w:t>
      </w:r>
    </w:p>
  </w:footnote>
  <w:footnote w:id="332">
    <w:p w:rsidR="002A0E74" w:rsidRPr="00947606" w:rsidRDefault="002A0E74">
      <w:pPr>
        <w:pStyle w:val="FootnoteText"/>
        <w:rPr>
          <w:lang w:val="en-US"/>
        </w:rPr>
      </w:pPr>
      <w:r>
        <w:rPr>
          <w:rStyle w:val="FootnoteReference"/>
        </w:rPr>
        <w:footnoteRef/>
      </w:r>
      <w:r w:rsidRPr="009F06D9">
        <w:rPr>
          <w:lang w:val="en-US"/>
        </w:rPr>
        <w:t xml:space="preserve"> </w:t>
      </w:r>
      <w:r>
        <w:rPr>
          <w:smallCaps/>
          <w:lang w:val="en-US"/>
        </w:rPr>
        <w:t>F. KELLY</w:t>
      </w:r>
      <w:r w:rsidRPr="005C5698">
        <w:rPr>
          <w:smallCaps/>
          <w:lang w:val="en-US"/>
        </w:rPr>
        <w:t xml:space="preserve">, </w:t>
      </w:r>
      <w:r w:rsidRPr="005C5698">
        <w:rPr>
          <w:lang w:val="en-US"/>
        </w:rPr>
        <w:t>“Multiple-parent families under British Columbia’s new family law act: a challenge to the supremacy of the nuclear family or a method by which to preserve biological ties and opposite-sex parenting?</w:t>
      </w:r>
      <w:proofErr w:type="gramStart"/>
      <w:r w:rsidRPr="005C5698">
        <w:rPr>
          <w:lang w:val="en-US"/>
        </w:rPr>
        <w:t>”,</w:t>
      </w:r>
      <w:proofErr w:type="gramEnd"/>
      <w:r w:rsidRPr="005C5698">
        <w:rPr>
          <w:lang w:val="en-US"/>
        </w:rPr>
        <w:t xml:space="preserve"> </w:t>
      </w:r>
      <w:r w:rsidRPr="005C5698">
        <w:rPr>
          <w:rStyle w:val="exlresultdetails"/>
          <w:i/>
          <w:iCs/>
          <w:lang w:val="en-US"/>
        </w:rPr>
        <w:t xml:space="preserve">University of British Columbia Law Review </w:t>
      </w:r>
      <w:r w:rsidRPr="005C5698">
        <w:rPr>
          <w:rStyle w:val="exlresultdetails"/>
          <w:lang w:val="en-US"/>
        </w:rPr>
        <w:t>2014, Vol. 47(2),</w:t>
      </w:r>
      <w:r>
        <w:rPr>
          <w:lang w:val="en-US"/>
        </w:rPr>
        <w:t xml:space="preserve"> (565) 589-591.</w:t>
      </w:r>
    </w:p>
  </w:footnote>
  <w:footnote w:id="333">
    <w:p w:rsidR="002A0E74" w:rsidRDefault="002A0E74">
      <w:pPr>
        <w:pStyle w:val="FootnoteText"/>
      </w:pPr>
      <w:r>
        <w:rPr>
          <w:rStyle w:val="FootnoteReference"/>
        </w:rPr>
        <w:footnoteRef/>
      </w:r>
      <w:r>
        <w:t xml:space="preserve"> </w:t>
      </w:r>
      <w:r w:rsidRPr="009F06D9">
        <w:rPr>
          <w:smallCaps/>
        </w:rPr>
        <w:t xml:space="preserve">M. </w:t>
      </w:r>
      <w:r>
        <w:rPr>
          <w:smallCaps/>
        </w:rPr>
        <w:t>VONK</w:t>
      </w:r>
      <w:r w:rsidRPr="009F06D9">
        <w:rPr>
          <w:smallCaps/>
        </w:rPr>
        <w:t xml:space="preserve">, </w:t>
      </w:r>
      <w:r w:rsidRPr="009F06D9">
        <w:t>“Nieuws uit het westen: meerouderschap en draagmoederschap in British Columbia</w:t>
      </w:r>
      <w:r>
        <w:t>”</w:t>
      </w:r>
      <w:r w:rsidRPr="009F06D9">
        <w:t xml:space="preserve">, </w:t>
      </w:r>
      <w:r w:rsidRPr="009F06D9">
        <w:rPr>
          <w:i/>
          <w:iCs/>
        </w:rPr>
        <w:t>Tijdschrift voor Familie- en Jeugdrecht</w:t>
      </w:r>
      <w:r w:rsidRPr="009F06D9">
        <w:t xml:space="preserve"> 2015, </w:t>
      </w:r>
      <w:r>
        <w:t xml:space="preserve">(1) </w:t>
      </w:r>
      <w:r w:rsidRPr="009F06D9">
        <w:t>8.</w:t>
      </w:r>
    </w:p>
  </w:footnote>
  <w:footnote w:id="334">
    <w:p w:rsidR="002A0E74" w:rsidRDefault="002A0E74">
      <w:pPr>
        <w:pStyle w:val="FootnoteText"/>
      </w:pPr>
      <w:r>
        <w:rPr>
          <w:rStyle w:val="FootnoteReference"/>
        </w:rPr>
        <w:footnoteRef/>
      </w:r>
      <w:r>
        <w:t xml:space="preserve"> </w:t>
      </w:r>
      <w:r w:rsidRPr="009F06D9">
        <w:rPr>
          <w:smallCaps/>
        </w:rPr>
        <w:t xml:space="preserve">M. </w:t>
      </w:r>
      <w:r>
        <w:rPr>
          <w:smallCaps/>
        </w:rPr>
        <w:t>VONK</w:t>
      </w:r>
      <w:r w:rsidRPr="009F06D9">
        <w:rPr>
          <w:smallCaps/>
        </w:rPr>
        <w:t xml:space="preserve">, </w:t>
      </w:r>
      <w:r w:rsidRPr="009F06D9">
        <w:t>“Nieuws uit het westen: meerouderschap en draagmoederschap in British Columbia</w:t>
      </w:r>
      <w:r>
        <w:t>”</w:t>
      </w:r>
      <w:r w:rsidRPr="009F06D9">
        <w:t xml:space="preserve">, </w:t>
      </w:r>
      <w:r w:rsidRPr="009F06D9">
        <w:rPr>
          <w:i/>
          <w:iCs/>
        </w:rPr>
        <w:t>Tijdschrift voor Familie- en Jeugdrecht</w:t>
      </w:r>
      <w:r w:rsidRPr="009F06D9">
        <w:t xml:space="preserve"> 2015, </w:t>
      </w:r>
      <w:r>
        <w:t xml:space="preserve">(1) </w:t>
      </w:r>
      <w:r w:rsidRPr="009F06D9">
        <w:t>8.</w:t>
      </w:r>
    </w:p>
  </w:footnote>
  <w:footnote w:id="335">
    <w:p w:rsidR="002A0E74" w:rsidRPr="00947606" w:rsidRDefault="002A0E74">
      <w:pPr>
        <w:pStyle w:val="FootnoteText"/>
        <w:rPr>
          <w:lang w:val="en-US"/>
        </w:rPr>
      </w:pPr>
      <w:r>
        <w:rPr>
          <w:rStyle w:val="FootnoteReference"/>
        </w:rPr>
        <w:footnoteRef/>
      </w:r>
      <w:r w:rsidRPr="00BD1E0C">
        <w:rPr>
          <w:lang w:val="en-US"/>
        </w:rPr>
        <w:t xml:space="preserve"> </w:t>
      </w:r>
      <w:r>
        <w:rPr>
          <w:lang w:val="en-US"/>
        </w:rPr>
        <w:t>S. 44(4) FLA.</w:t>
      </w:r>
    </w:p>
  </w:footnote>
  <w:footnote w:id="336">
    <w:p w:rsidR="002A0E74" w:rsidRPr="00947606" w:rsidRDefault="002A0E74">
      <w:pPr>
        <w:pStyle w:val="FootnoteText"/>
        <w:rPr>
          <w:lang w:val="en-US"/>
        </w:rPr>
      </w:pPr>
      <w:r>
        <w:rPr>
          <w:rStyle w:val="FootnoteReference"/>
        </w:rPr>
        <w:footnoteRef/>
      </w:r>
      <w:r w:rsidRPr="009F06D9">
        <w:rPr>
          <w:lang w:val="en-US"/>
        </w:rPr>
        <w:t xml:space="preserve"> </w:t>
      </w:r>
      <w:r w:rsidRPr="00721EE1">
        <w:rPr>
          <w:smallCaps/>
          <w:lang w:val="en-US"/>
        </w:rPr>
        <w:t xml:space="preserve">F. </w:t>
      </w:r>
      <w:r>
        <w:rPr>
          <w:smallCaps/>
          <w:lang w:val="en-US"/>
        </w:rPr>
        <w:t>KELLY</w:t>
      </w:r>
      <w:r w:rsidRPr="00721EE1">
        <w:rPr>
          <w:smallCaps/>
          <w:lang w:val="en-US"/>
        </w:rPr>
        <w:t xml:space="preserve">, </w:t>
      </w:r>
      <w:r w:rsidRPr="00721EE1">
        <w:rPr>
          <w:lang w:val="en-US"/>
        </w:rPr>
        <w:t>“Multiple-parent families under British Columbia’s new family law act: a challenge to the supremacy of the nuclear family or a method by which to preserve biological ties and opposite-sex parenting?</w:t>
      </w:r>
      <w:proofErr w:type="gramStart"/>
      <w:r w:rsidRPr="00721EE1">
        <w:rPr>
          <w:lang w:val="en-US"/>
        </w:rPr>
        <w:t>”,</w:t>
      </w:r>
      <w:proofErr w:type="gramEnd"/>
      <w:r w:rsidRPr="00721EE1">
        <w:rPr>
          <w:lang w:val="en-US"/>
        </w:rPr>
        <w:t xml:space="preserve"> </w:t>
      </w:r>
      <w:r w:rsidRPr="00721EE1">
        <w:rPr>
          <w:rStyle w:val="exlresultdetails"/>
          <w:i/>
          <w:iCs/>
          <w:lang w:val="en-US"/>
        </w:rPr>
        <w:t xml:space="preserve">University of British Columbia Law Review </w:t>
      </w:r>
      <w:r w:rsidRPr="00721EE1">
        <w:rPr>
          <w:rStyle w:val="exlresultdetails"/>
          <w:lang w:val="en-US"/>
        </w:rPr>
        <w:t>2014, Vol.47(2),</w:t>
      </w:r>
      <w:r>
        <w:rPr>
          <w:rStyle w:val="exlresultdetails"/>
          <w:lang w:val="en-US"/>
        </w:rPr>
        <w:t xml:space="preserve"> (565) 590-591.</w:t>
      </w:r>
    </w:p>
  </w:footnote>
  <w:footnote w:id="337">
    <w:p w:rsidR="002A0E74" w:rsidRDefault="002A0E74" w:rsidP="00115BEA">
      <w:r w:rsidRPr="00187999">
        <w:rPr>
          <w:rStyle w:val="FootnoteReference"/>
          <w:sz w:val="20"/>
          <w:szCs w:val="20"/>
        </w:rPr>
        <w:footnoteRef/>
      </w:r>
      <w:r w:rsidRPr="00134327">
        <w:rPr>
          <w:sz w:val="20"/>
          <w:szCs w:val="20"/>
        </w:rPr>
        <w:t xml:space="preserve"> </w:t>
      </w:r>
      <w:r w:rsidRPr="00134327">
        <w:rPr>
          <w:smallCaps/>
          <w:sz w:val="20"/>
          <w:szCs w:val="20"/>
        </w:rPr>
        <w:t xml:space="preserve">P. </w:t>
      </w:r>
      <w:r>
        <w:rPr>
          <w:smallCaps/>
          <w:sz w:val="20"/>
          <w:szCs w:val="20"/>
        </w:rPr>
        <w:t>BORGHS</w:t>
      </w:r>
      <w:r w:rsidRPr="00134327">
        <w:rPr>
          <w:smallCaps/>
          <w:sz w:val="20"/>
          <w:szCs w:val="20"/>
        </w:rPr>
        <w:t xml:space="preserve">, </w:t>
      </w:r>
      <w:r w:rsidRPr="00134327">
        <w:rPr>
          <w:sz w:val="20"/>
          <w:szCs w:val="20"/>
        </w:rPr>
        <w:t>“Homoadoptie, mee- en zo</w:t>
      </w:r>
      <w:r w:rsidRPr="00187999">
        <w:rPr>
          <w:sz w:val="20"/>
          <w:szCs w:val="20"/>
        </w:rPr>
        <w:t>rgouderschap. Te veel van het goede? Tegenstanders maken discussie over homo’s met kinderen voor te ingewikkeld”,</w:t>
      </w:r>
      <w:r w:rsidRPr="00187999">
        <w:rPr>
          <w:i/>
          <w:iCs/>
          <w:sz w:val="20"/>
          <w:szCs w:val="20"/>
        </w:rPr>
        <w:t xml:space="preserve"> Juristenkrant</w:t>
      </w:r>
      <w:r w:rsidRPr="00187999">
        <w:rPr>
          <w:sz w:val="20"/>
          <w:szCs w:val="20"/>
        </w:rPr>
        <w:t xml:space="preserve"> 2005, 28 september 2005, afl. 114, </w:t>
      </w:r>
      <w:r>
        <w:rPr>
          <w:sz w:val="20"/>
          <w:szCs w:val="20"/>
        </w:rPr>
        <w:t xml:space="preserve">(3) </w:t>
      </w:r>
      <w:r w:rsidRPr="00187999">
        <w:rPr>
          <w:sz w:val="20"/>
          <w:szCs w:val="20"/>
        </w:rPr>
        <w:t xml:space="preserve">3; </w:t>
      </w:r>
      <w:r w:rsidRPr="00187999">
        <w:rPr>
          <w:smallCaps/>
          <w:sz w:val="20"/>
          <w:szCs w:val="20"/>
        </w:rPr>
        <w:t xml:space="preserve">A. </w:t>
      </w:r>
      <w:r>
        <w:rPr>
          <w:smallCaps/>
          <w:sz w:val="20"/>
          <w:szCs w:val="20"/>
        </w:rPr>
        <w:t>HUYGENS,</w:t>
      </w:r>
      <w:r w:rsidRPr="00187999">
        <w:rPr>
          <w:smallCaps/>
          <w:sz w:val="20"/>
          <w:szCs w:val="20"/>
        </w:rPr>
        <w:t xml:space="preserve"> </w:t>
      </w:r>
      <w:r w:rsidRPr="00187999">
        <w:rPr>
          <w:sz w:val="20"/>
          <w:szCs w:val="20"/>
        </w:rPr>
        <w:t xml:space="preserve">“Persoonlijk gezag over minderjarige kinderen: quo vadis?”, </w:t>
      </w:r>
      <w:r w:rsidRPr="00187999">
        <w:rPr>
          <w:i/>
          <w:iCs/>
          <w:sz w:val="20"/>
          <w:szCs w:val="20"/>
        </w:rPr>
        <w:t>TBBR</w:t>
      </w:r>
      <w:r w:rsidRPr="00187999">
        <w:rPr>
          <w:sz w:val="20"/>
          <w:szCs w:val="20"/>
        </w:rPr>
        <w:t xml:space="preserve"> 2006, af</w:t>
      </w:r>
      <w:r>
        <w:rPr>
          <w:sz w:val="20"/>
          <w:szCs w:val="20"/>
        </w:rPr>
        <w:t>l. 10, (567)</w:t>
      </w:r>
      <w:r w:rsidRPr="00187999">
        <w:rPr>
          <w:sz w:val="20"/>
          <w:szCs w:val="20"/>
        </w:rPr>
        <w:t xml:space="preserve"> </w:t>
      </w:r>
      <w:r>
        <w:rPr>
          <w:sz w:val="20"/>
          <w:szCs w:val="20"/>
        </w:rPr>
        <w:t xml:space="preserve">587 en 581, nr. 26 en </w:t>
      </w:r>
      <w:r w:rsidRPr="00187999">
        <w:rPr>
          <w:sz w:val="20"/>
          <w:szCs w:val="20"/>
        </w:rPr>
        <w:t xml:space="preserve">37; </w:t>
      </w:r>
      <w:r w:rsidRPr="00187999">
        <w:rPr>
          <w:smallCaps/>
          <w:sz w:val="20"/>
          <w:szCs w:val="20"/>
        </w:rPr>
        <w:t xml:space="preserve">T. </w:t>
      </w:r>
      <w:r>
        <w:rPr>
          <w:smallCaps/>
          <w:color w:val="000000"/>
          <w:sz w:val="20"/>
          <w:szCs w:val="20"/>
        </w:rPr>
        <w:t>ROBERT</w:t>
      </w:r>
      <w:r w:rsidRPr="00187999">
        <w:rPr>
          <w:smallCaps/>
          <w:color w:val="000000"/>
          <w:sz w:val="20"/>
          <w:szCs w:val="20"/>
        </w:rPr>
        <w:t xml:space="preserve">, </w:t>
      </w:r>
      <w:r w:rsidRPr="00187999">
        <w:rPr>
          <w:color w:val="000000"/>
          <w:sz w:val="20"/>
          <w:szCs w:val="20"/>
        </w:rPr>
        <w:t xml:space="preserve">“Naar een afstammingsloos gezag?” (noot onder Arbitragehof 8 oktober 2003), </w:t>
      </w:r>
      <w:r w:rsidRPr="00187999">
        <w:rPr>
          <w:i/>
          <w:iCs/>
          <w:color w:val="000000"/>
          <w:sz w:val="20"/>
          <w:szCs w:val="20"/>
        </w:rPr>
        <w:t>TJK</w:t>
      </w:r>
      <w:r w:rsidRPr="00187999">
        <w:rPr>
          <w:color w:val="000000"/>
          <w:sz w:val="20"/>
          <w:szCs w:val="20"/>
        </w:rPr>
        <w:t xml:space="preserve"> 2004, </w:t>
      </w:r>
      <w:r>
        <w:rPr>
          <w:color w:val="000000"/>
          <w:sz w:val="20"/>
          <w:szCs w:val="20"/>
        </w:rPr>
        <w:t xml:space="preserve">(39) </w:t>
      </w:r>
      <w:r w:rsidRPr="00187999">
        <w:rPr>
          <w:color w:val="000000"/>
          <w:sz w:val="20"/>
          <w:szCs w:val="20"/>
        </w:rPr>
        <w:t xml:space="preserve">42, nr. 13; </w:t>
      </w:r>
      <w:r w:rsidRPr="00187999">
        <w:rPr>
          <w:smallCaps/>
          <w:sz w:val="20"/>
          <w:szCs w:val="20"/>
        </w:rPr>
        <w:t xml:space="preserve">G. </w:t>
      </w:r>
      <w:r>
        <w:rPr>
          <w:smallCaps/>
          <w:sz w:val="20"/>
          <w:szCs w:val="20"/>
        </w:rPr>
        <w:t>VERSCHELDEN</w:t>
      </w:r>
      <w:r w:rsidRPr="00187999">
        <w:rPr>
          <w:smallCaps/>
          <w:sz w:val="20"/>
          <w:szCs w:val="20"/>
        </w:rPr>
        <w:t xml:space="preserve">, </w:t>
      </w:r>
      <w:r w:rsidRPr="00187999">
        <w:rPr>
          <w:sz w:val="20"/>
          <w:szCs w:val="20"/>
        </w:rPr>
        <w:t>“Arbitragehof zet deur open voor zorgouderschap”,</w:t>
      </w:r>
      <w:r w:rsidRPr="00187999">
        <w:rPr>
          <w:i/>
          <w:iCs/>
          <w:sz w:val="20"/>
          <w:szCs w:val="20"/>
        </w:rPr>
        <w:t xml:space="preserve"> Juristenkrant</w:t>
      </w:r>
      <w:r w:rsidRPr="00187999">
        <w:rPr>
          <w:sz w:val="20"/>
          <w:szCs w:val="20"/>
        </w:rPr>
        <w:t xml:space="preserve"> 2003, 19 november 2003, afl. 78, </w:t>
      </w:r>
      <w:r>
        <w:rPr>
          <w:sz w:val="20"/>
          <w:szCs w:val="20"/>
        </w:rPr>
        <w:t xml:space="preserve">(13) </w:t>
      </w:r>
      <w:r w:rsidRPr="00187999">
        <w:rPr>
          <w:sz w:val="20"/>
          <w:szCs w:val="20"/>
        </w:rPr>
        <w:t>13.</w:t>
      </w:r>
    </w:p>
  </w:footnote>
  <w:footnote w:id="338">
    <w:p w:rsidR="002A0E74" w:rsidRDefault="002A0E74" w:rsidP="00115BEA">
      <w:pPr>
        <w:pStyle w:val="FootnoteText"/>
      </w:pPr>
      <w:r w:rsidRPr="00187999">
        <w:rPr>
          <w:rStyle w:val="FootnoteReference"/>
        </w:rPr>
        <w:footnoteRef/>
      </w:r>
      <w:r w:rsidRPr="00187999">
        <w:t xml:space="preserve"> </w:t>
      </w:r>
      <w:r w:rsidRPr="00187999">
        <w:rPr>
          <w:smallCaps/>
        </w:rPr>
        <w:t xml:space="preserve">M.V. </w:t>
      </w:r>
      <w:r>
        <w:rPr>
          <w:smallCaps/>
        </w:rPr>
        <w:t>ANTOKOLSKAIA</w:t>
      </w:r>
      <w:r w:rsidRPr="00187999">
        <w:rPr>
          <w:smallCaps/>
        </w:rPr>
        <w:t xml:space="preserve">, W.M. </w:t>
      </w:r>
      <w:r>
        <w:rPr>
          <w:smallCaps/>
        </w:rPr>
        <w:t>SCHRAMA</w:t>
      </w:r>
      <w:r w:rsidRPr="00187999">
        <w:rPr>
          <w:smallCaps/>
        </w:rPr>
        <w:t xml:space="preserve">, K.R.S.D. </w:t>
      </w:r>
      <w:r>
        <w:rPr>
          <w:smallCaps/>
        </w:rPr>
        <w:t>BOELE-WOELKI</w:t>
      </w:r>
      <w:r w:rsidRPr="00187999">
        <w:rPr>
          <w:smallCaps/>
        </w:rPr>
        <w:t>, C.C.J.H</w:t>
      </w:r>
      <w:r>
        <w:rPr>
          <w:smallCaps/>
        </w:rPr>
        <w:t>.</w:t>
      </w:r>
      <w:r w:rsidRPr="00187999">
        <w:rPr>
          <w:smallCaps/>
        </w:rPr>
        <w:t xml:space="preserve"> </w:t>
      </w:r>
      <w:r>
        <w:rPr>
          <w:smallCaps/>
        </w:rPr>
        <w:t>BIJLEVELD</w:t>
      </w:r>
      <w:r w:rsidRPr="00187999">
        <w:rPr>
          <w:smallCaps/>
        </w:rPr>
        <w:t xml:space="preserve">, C.G. </w:t>
      </w:r>
      <w:r>
        <w:rPr>
          <w:smallCaps/>
        </w:rPr>
        <w:t>JEPPESEN DE BOER</w:t>
      </w:r>
      <w:r w:rsidRPr="00187999">
        <w:rPr>
          <w:smallCaps/>
        </w:rPr>
        <w:t xml:space="preserve"> </w:t>
      </w:r>
      <w:r w:rsidRPr="00187999">
        <w:t xml:space="preserve">en G. </w:t>
      </w:r>
      <w:r>
        <w:rPr>
          <w:smallCaps/>
        </w:rPr>
        <w:t>VAN ROSSUM</w:t>
      </w:r>
      <w:r w:rsidRPr="00187999">
        <w:rPr>
          <w:smallCaps/>
        </w:rPr>
        <w:t xml:space="preserve">, </w:t>
      </w:r>
      <w:r w:rsidRPr="00187999">
        <w:rPr>
          <w:i/>
          <w:iCs/>
        </w:rPr>
        <w:t>Meeroudergezag: een oplossing voor kinderen met meer dan twee ouders? Een empirisch en rechtsvergelijkend onderzoek.</w:t>
      </w:r>
      <w:r w:rsidRPr="00187999">
        <w:t>, Den Haag, Boom Juridische uitgevers, 2014, 77.</w:t>
      </w:r>
    </w:p>
  </w:footnote>
  <w:footnote w:id="339">
    <w:p w:rsidR="002A0E74" w:rsidRPr="00947606" w:rsidRDefault="002A0E74">
      <w:pPr>
        <w:pStyle w:val="FootnoteText"/>
        <w:rPr>
          <w:lang w:val="en-US"/>
        </w:rPr>
      </w:pPr>
      <w:r>
        <w:rPr>
          <w:rStyle w:val="FootnoteReference"/>
        </w:rPr>
        <w:footnoteRef/>
      </w:r>
      <w:r w:rsidRPr="00115BEA">
        <w:rPr>
          <w:lang w:val="en-US"/>
        </w:rPr>
        <w:t xml:space="preserve"> </w:t>
      </w:r>
      <w:r w:rsidRPr="002C5D7A">
        <w:rPr>
          <w:smallCaps/>
          <w:lang w:val="en-US"/>
        </w:rPr>
        <w:t xml:space="preserve">M. </w:t>
      </w:r>
      <w:r>
        <w:rPr>
          <w:smallCaps/>
          <w:lang w:val="en-US"/>
        </w:rPr>
        <w:t>ANTOKOLSKAIA</w:t>
      </w:r>
      <w:r w:rsidRPr="002C5D7A">
        <w:rPr>
          <w:smallCaps/>
          <w:lang w:val="en-US"/>
        </w:rPr>
        <w:t xml:space="preserve">, </w:t>
      </w:r>
      <w:r w:rsidRPr="002C5D7A">
        <w:rPr>
          <w:lang w:val="en-US"/>
        </w:rPr>
        <w:t>“Legal embedding planned lesbian parentage. Pouring new wine into old wineskins?</w:t>
      </w:r>
      <w:proofErr w:type="gramStart"/>
      <w:r w:rsidRPr="002C5D7A">
        <w:rPr>
          <w:lang w:val="en-US"/>
        </w:rPr>
        <w:t>”,</w:t>
      </w:r>
      <w:proofErr w:type="gramEnd"/>
      <w:r w:rsidRPr="002C5D7A">
        <w:rPr>
          <w:lang w:val="en-US"/>
        </w:rPr>
        <w:t xml:space="preserve"> </w:t>
      </w:r>
      <w:r w:rsidRPr="002C5D7A">
        <w:rPr>
          <w:i/>
          <w:iCs/>
          <w:lang w:val="en-US"/>
        </w:rPr>
        <w:t>Familie &amp; Recht</w:t>
      </w:r>
      <w:r w:rsidRPr="002C5D7A">
        <w:rPr>
          <w:lang w:val="en-US"/>
        </w:rPr>
        <w:t xml:space="preserve"> 2014, </w:t>
      </w:r>
      <w:r>
        <w:rPr>
          <w:lang w:val="en-US"/>
        </w:rPr>
        <w:t xml:space="preserve">(1) </w:t>
      </w:r>
      <w:r w:rsidRPr="002C5D7A">
        <w:rPr>
          <w:lang w:val="en-US"/>
        </w:rPr>
        <w:t>8.</w:t>
      </w:r>
    </w:p>
  </w:footnote>
  <w:footnote w:id="340">
    <w:p w:rsidR="002A0E74" w:rsidRDefault="002A0E74" w:rsidP="00115BEA">
      <w:pPr>
        <w:pStyle w:val="FootnoteText"/>
      </w:pPr>
      <w:r w:rsidRPr="00187999">
        <w:rPr>
          <w:rStyle w:val="FootnoteReference"/>
        </w:rPr>
        <w:footnoteRef/>
      </w:r>
      <w:r w:rsidRPr="00187999">
        <w:t xml:space="preserve"> </w:t>
      </w:r>
      <w:r w:rsidRPr="00187999">
        <w:rPr>
          <w:smallCaps/>
        </w:rPr>
        <w:t xml:space="preserve">M. </w:t>
      </w:r>
      <w:r>
        <w:rPr>
          <w:smallCaps/>
        </w:rPr>
        <w:t>VONK</w:t>
      </w:r>
      <w:r w:rsidRPr="00187999">
        <w:rPr>
          <w:smallCaps/>
        </w:rPr>
        <w:t xml:space="preserve">, </w:t>
      </w:r>
      <w:r w:rsidRPr="00187999">
        <w:t xml:space="preserve">“Een huis voor alle kinderen. De juridische verankering van intentionele meeroudergezinnen in het afstammingsrecht.”, </w:t>
      </w:r>
      <w:r w:rsidRPr="00187999">
        <w:rPr>
          <w:i/>
          <w:iCs/>
        </w:rPr>
        <w:t>Nederlands Juristenblad</w:t>
      </w:r>
      <w:r>
        <w:t xml:space="preserve"> 2</w:t>
      </w:r>
      <w:r w:rsidRPr="00187999">
        <w:t xml:space="preserve">013, afl. 33, </w:t>
      </w:r>
      <w:r>
        <w:t xml:space="preserve">(2244) </w:t>
      </w:r>
      <w:r w:rsidRPr="00187999">
        <w:t>2245.</w:t>
      </w:r>
    </w:p>
  </w:footnote>
  <w:footnote w:id="341">
    <w:p w:rsidR="002A0E74" w:rsidRPr="000A6092" w:rsidRDefault="002A0E74">
      <w:pPr>
        <w:pStyle w:val="FootnoteText"/>
        <w:rPr>
          <w:lang w:val="en-US"/>
        </w:rPr>
      </w:pPr>
      <w:r>
        <w:rPr>
          <w:rStyle w:val="FootnoteReference"/>
        </w:rPr>
        <w:footnoteRef/>
      </w:r>
      <w:r w:rsidRPr="000A6092">
        <w:rPr>
          <w:lang w:val="en-US"/>
        </w:rPr>
        <w:t xml:space="preserve"> S. 8(1) en 12(2) </w:t>
      </w:r>
      <w:proofErr w:type="gramStart"/>
      <w:r w:rsidRPr="000A6092">
        <w:rPr>
          <w:lang w:val="en-US"/>
        </w:rPr>
        <w:t>CA.;</w:t>
      </w:r>
      <w:proofErr w:type="gramEnd"/>
      <w:r w:rsidRPr="000A6092">
        <w:rPr>
          <w:lang w:val="en-US"/>
        </w:rPr>
        <w:t xml:space="preserve"> </w:t>
      </w:r>
      <w:r>
        <w:rPr>
          <w:lang w:val="en-US"/>
        </w:rPr>
        <w:t xml:space="preserve">R. PROBERT, </w:t>
      </w:r>
      <w:r>
        <w:rPr>
          <w:i/>
          <w:lang w:val="en-US"/>
        </w:rPr>
        <w:t>Family &amp; Succession Law -</w:t>
      </w:r>
      <w:r w:rsidRPr="00364708">
        <w:rPr>
          <w:i/>
          <w:lang w:val="en-US"/>
        </w:rPr>
        <w:t xml:space="preserve"> England and Wales</w:t>
      </w:r>
      <w:r>
        <w:rPr>
          <w:lang w:val="en-US"/>
        </w:rPr>
        <w:t>, Nederland, Kluwer Law International, 2007, 134.</w:t>
      </w:r>
    </w:p>
  </w:footnote>
  <w:footnote w:id="342">
    <w:p w:rsidR="002A0E74" w:rsidRPr="000A6092" w:rsidRDefault="002A0E74">
      <w:pPr>
        <w:pStyle w:val="FootnoteText"/>
        <w:rPr>
          <w:lang w:val="en-US"/>
        </w:rPr>
      </w:pPr>
      <w:r>
        <w:rPr>
          <w:rStyle w:val="FootnoteReference"/>
        </w:rPr>
        <w:footnoteRef/>
      </w:r>
      <w:r w:rsidRPr="000A6092">
        <w:rPr>
          <w:lang w:val="en-US"/>
        </w:rPr>
        <w:t xml:space="preserve"> </w:t>
      </w:r>
      <w:r>
        <w:rPr>
          <w:lang w:val="en-US"/>
        </w:rPr>
        <w:t xml:space="preserve">R. PROBERT, </w:t>
      </w:r>
      <w:r>
        <w:rPr>
          <w:i/>
          <w:lang w:val="en-US"/>
        </w:rPr>
        <w:t>Family &amp; Succession Law -</w:t>
      </w:r>
      <w:r w:rsidRPr="00364708">
        <w:rPr>
          <w:i/>
          <w:lang w:val="en-US"/>
        </w:rPr>
        <w:t xml:space="preserve"> England and Wales</w:t>
      </w:r>
      <w:r>
        <w:rPr>
          <w:lang w:val="en-US"/>
        </w:rPr>
        <w:t>, Nederland, Kluwer Law International, 2007, 130.</w:t>
      </w:r>
    </w:p>
  </w:footnote>
  <w:footnote w:id="343">
    <w:p w:rsidR="002A0E74" w:rsidRPr="000A6092" w:rsidRDefault="002A0E74">
      <w:pPr>
        <w:pStyle w:val="FootnoteText"/>
        <w:rPr>
          <w:lang w:val="en-US"/>
        </w:rPr>
      </w:pPr>
      <w:r>
        <w:rPr>
          <w:rStyle w:val="FootnoteReference"/>
        </w:rPr>
        <w:footnoteRef/>
      </w:r>
      <w:r w:rsidRPr="000A6092">
        <w:rPr>
          <w:lang w:val="en-US"/>
        </w:rPr>
        <w:t xml:space="preserve"> </w:t>
      </w:r>
      <w:r>
        <w:rPr>
          <w:lang w:val="en-US"/>
        </w:rPr>
        <w:t xml:space="preserve">S. </w:t>
      </w:r>
      <w:r w:rsidRPr="000A6092">
        <w:rPr>
          <w:lang w:val="en-US"/>
        </w:rPr>
        <w:t>4 (1</w:t>
      </w:r>
      <w:proofErr w:type="gramStart"/>
      <w:r w:rsidRPr="000A6092">
        <w:rPr>
          <w:lang w:val="en-US"/>
        </w:rPr>
        <w:t>)(</w:t>
      </w:r>
      <w:proofErr w:type="gramEnd"/>
      <w:r w:rsidRPr="000A6092">
        <w:rPr>
          <w:lang w:val="en-US"/>
        </w:rPr>
        <w:t xml:space="preserve">b) en 4A (1)(a) CA.; </w:t>
      </w:r>
      <w:r>
        <w:rPr>
          <w:lang w:val="en-US"/>
        </w:rPr>
        <w:t xml:space="preserve">R. PROBERT, </w:t>
      </w:r>
      <w:r>
        <w:rPr>
          <w:i/>
          <w:lang w:val="en-US"/>
        </w:rPr>
        <w:t>Family &amp; Succession Law -</w:t>
      </w:r>
      <w:r w:rsidRPr="00364708">
        <w:rPr>
          <w:i/>
          <w:lang w:val="en-US"/>
        </w:rPr>
        <w:t xml:space="preserve"> England and Wales</w:t>
      </w:r>
      <w:r>
        <w:rPr>
          <w:lang w:val="en-US"/>
        </w:rPr>
        <w:t>, Nederland, Kluwer Law International, 2007, 130.</w:t>
      </w:r>
    </w:p>
  </w:footnote>
  <w:footnote w:id="344">
    <w:p w:rsidR="002A0E74" w:rsidRPr="000A6092" w:rsidRDefault="002A0E74">
      <w:pPr>
        <w:pStyle w:val="FootnoteText"/>
        <w:rPr>
          <w:lang w:val="en-US"/>
        </w:rPr>
      </w:pPr>
      <w:r>
        <w:rPr>
          <w:rStyle w:val="FootnoteReference"/>
        </w:rPr>
        <w:footnoteRef/>
      </w:r>
      <w:r w:rsidRPr="000A6092">
        <w:rPr>
          <w:lang w:val="en-US"/>
        </w:rPr>
        <w:t xml:space="preserve"> </w:t>
      </w:r>
      <w:r>
        <w:rPr>
          <w:lang w:val="en-US"/>
        </w:rPr>
        <w:t xml:space="preserve">S. </w:t>
      </w:r>
      <w:r w:rsidRPr="000A6092">
        <w:rPr>
          <w:lang w:val="en-US"/>
        </w:rPr>
        <w:t>4 (1</w:t>
      </w:r>
      <w:proofErr w:type="gramStart"/>
      <w:r w:rsidRPr="000A6092">
        <w:rPr>
          <w:lang w:val="en-US"/>
        </w:rPr>
        <w:t>)(</w:t>
      </w:r>
      <w:proofErr w:type="gramEnd"/>
      <w:r w:rsidRPr="000A6092">
        <w:rPr>
          <w:lang w:val="en-US"/>
        </w:rPr>
        <w:t>b) en 4A (1)(a) CA.</w:t>
      </w:r>
    </w:p>
  </w:footnote>
  <w:footnote w:id="345">
    <w:p w:rsidR="002A0E74" w:rsidRPr="000A6092" w:rsidRDefault="002A0E74">
      <w:pPr>
        <w:pStyle w:val="FootnoteText"/>
        <w:rPr>
          <w:lang w:val="en-US"/>
        </w:rPr>
      </w:pPr>
      <w:r>
        <w:rPr>
          <w:rStyle w:val="FootnoteReference"/>
        </w:rPr>
        <w:footnoteRef/>
      </w:r>
      <w:r w:rsidRPr="000A6092">
        <w:rPr>
          <w:lang w:val="en-US"/>
        </w:rPr>
        <w:t xml:space="preserve"> </w:t>
      </w:r>
      <w:r>
        <w:rPr>
          <w:lang w:val="en-US"/>
        </w:rPr>
        <w:t xml:space="preserve">R. PROBERT, </w:t>
      </w:r>
      <w:r>
        <w:rPr>
          <w:i/>
          <w:lang w:val="en-US"/>
        </w:rPr>
        <w:t>Family &amp; Succession Law -</w:t>
      </w:r>
      <w:r w:rsidRPr="00364708">
        <w:rPr>
          <w:i/>
          <w:lang w:val="en-US"/>
        </w:rPr>
        <w:t xml:space="preserve"> England and Wales</w:t>
      </w:r>
      <w:r>
        <w:rPr>
          <w:lang w:val="en-US"/>
        </w:rPr>
        <w:t>, Nederland, Kluwer Law International, 2007, 133.</w:t>
      </w:r>
    </w:p>
  </w:footnote>
  <w:footnote w:id="346">
    <w:p w:rsidR="002A0E74" w:rsidRPr="00A04079" w:rsidRDefault="002A0E74">
      <w:pPr>
        <w:pStyle w:val="FootnoteText"/>
        <w:rPr>
          <w:lang w:val="en-US"/>
        </w:rPr>
      </w:pPr>
      <w:r>
        <w:rPr>
          <w:rStyle w:val="FootnoteReference"/>
        </w:rPr>
        <w:footnoteRef/>
      </w:r>
      <w:r w:rsidRPr="000A6092">
        <w:rPr>
          <w:lang w:val="en-US"/>
        </w:rPr>
        <w:t xml:space="preserve"> </w:t>
      </w:r>
      <w:r>
        <w:rPr>
          <w:lang w:val="en-US"/>
        </w:rPr>
        <w:t>S. 5(3) CA.; C. BARTON en G. DOUGLAS</w:t>
      </w:r>
      <w:r w:rsidRPr="00410F90">
        <w:rPr>
          <w:i/>
          <w:lang w:val="en-US"/>
        </w:rPr>
        <w:t>, Law and Parenthood</w:t>
      </w:r>
      <w:r>
        <w:rPr>
          <w:lang w:val="en-US"/>
        </w:rPr>
        <w:t xml:space="preserve">, Londen, Butterworths, 1995, 99; R. PROBERT, </w:t>
      </w:r>
      <w:r>
        <w:rPr>
          <w:i/>
          <w:lang w:val="en-US"/>
        </w:rPr>
        <w:t>Family &amp; Succession Law -</w:t>
      </w:r>
      <w:r w:rsidRPr="00364708">
        <w:rPr>
          <w:i/>
          <w:lang w:val="en-US"/>
        </w:rPr>
        <w:t xml:space="preserve"> England and Wales</w:t>
      </w:r>
      <w:r>
        <w:rPr>
          <w:lang w:val="en-US"/>
        </w:rPr>
        <w:t>, Nederland, Kluwer Law International, 2007, 130-131.</w:t>
      </w:r>
    </w:p>
  </w:footnote>
  <w:footnote w:id="347">
    <w:p w:rsidR="002A0E74" w:rsidRPr="00A04079" w:rsidRDefault="002A0E74">
      <w:pPr>
        <w:pStyle w:val="FootnoteText"/>
        <w:rPr>
          <w:lang w:val="en-US"/>
        </w:rPr>
      </w:pPr>
      <w:r>
        <w:rPr>
          <w:rStyle w:val="FootnoteReference"/>
        </w:rPr>
        <w:footnoteRef/>
      </w:r>
      <w:r w:rsidRPr="000A6092">
        <w:rPr>
          <w:lang w:val="en-US"/>
        </w:rPr>
        <w:t xml:space="preserve"> S. 5(6) </w:t>
      </w:r>
      <w:proofErr w:type="gramStart"/>
      <w:r w:rsidRPr="000A6092">
        <w:rPr>
          <w:lang w:val="en-US"/>
        </w:rPr>
        <w:t>CA.;</w:t>
      </w:r>
      <w:proofErr w:type="gramEnd"/>
      <w:r w:rsidRPr="000A6092">
        <w:rPr>
          <w:lang w:val="en-US"/>
        </w:rPr>
        <w:t xml:space="preserve"> </w:t>
      </w:r>
      <w:r>
        <w:rPr>
          <w:lang w:val="en-US"/>
        </w:rPr>
        <w:t>C. BARTON en G. DOUGLAS</w:t>
      </w:r>
      <w:r w:rsidRPr="00410F90">
        <w:rPr>
          <w:i/>
          <w:lang w:val="en-US"/>
        </w:rPr>
        <w:t>, Law and Parenthood</w:t>
      </w:r>
      <w:r>
        <w:rPr>
          <w:lang w:val="en-US"/>
        </w:rPr>
        <w:t>, Londen, Butterworths, 1995, 99.</w:t>
      </w:r>
    </w:p>
  </w:footnote>
  <w:footnote w:id="348">
    <w:p w:rsidR="002A0E74" w:rsidRPr="00A82EF8" w:rsidRDefault="002A0E74">
      <w:pPr>
        <w:pStyle w:val="FootnoteText"/>
        <w:rPr>
          <w:lang w:val="en-US"/>
        </w:rPr>
      </w:pPr>
      <w:r>
        <w:rPr>
          <w:rStyle w:val="FootnoteReference"/>
        </w:rPr>
        <w:footnoteRef/>
      </w:r>
      <w:r w:rsidRPr="000A6092">
        <w:rPr>
          <w:lang w:val="en-US"/>
        </w:rPr>
        <w:t xml:space="preserve"> </w:t>
      </w:r>
      <w:r>
        <w:rPr>
          <w:lang w:val="en-US"/>
        </w:rPr>
        <w:t>S. 5(7) CA.</w:t>
      </w:r>
    </w:p>
  </w:footnote>
  <w:footnote w:id="349">
    <w:p w:rsidR="002A0E74" w:rsidRPr="00B62142" w:rsidRDefault="002A0E74" w:rsidP="006E1363">
      <w:pPr>
        <w:pStyle w:val="FootnoteText"/>
        <w:rPr>
          <w:lang w:val="en-US"/>
        </w:rPr>
      </w:pPr>
      <w:r>
        <w:rPr>
          <w:rStyle w:val="FootnoteReference"/>
        </w:rPr>
        <w:footnoteRef/>
      </w:r>
      <w:r w:rsidRPr="00B62142">
        <w:rPr>
          <w:lang w:val="en-US"/>
        </w:rPr>
        <w:t xml:space="preserve"> S. 3(1) CA.</w:t>
      </w:r>
    </w:p>
  </w:footnote>
  <w:footnote w:id="350">
    <w:p w:rsidR="002A0E74" w:rsidRPr="008B35EB" w:rsidRDefault="002A0E74" w:rsidP="006E1363">
      <w:pPr>
        <w:pStyle w:val="FootnoteText"/>
        <w:rPr>
          <w:lang w:val="en-US"/>
        </w:rPr>
      </w:pPr>
      <w:r>
        <w:rPr>
          <w:rStyle w:val="FootnoteReference"/>
        </w:rPr>
        <w:footnoteRef/>
      </w:r>
      <w:r w:rsidRPr="008B35EB">
        <w:rPr>
          <w:lang w:val="en-US"/>
        </w:rPr>
        <w:t xml:space="preserve"> </w:t>
      </w:r>
      <w:r>
        <w:rPr>
          <w:lang w:val="en-US"/>
        </w:rPr>
        <w:t xml:space="preserve">R. PROBERT, </w:t>
      </w:r>
      <w:r w:rsidRPr="00364708">
        <w:rPr>
          <w:i/>
          <w:lang w:val="en-US"/>
        </w:rPr>
        <w:t>Family &amp; Successi</w:t>
      </w:r>
      <w:r>
        <w:rPr>
          <w:i/>
          <w:lang w:val="en-US"/>
        </w:rPr>
        <w:t>on Law -</w:t>
      </w:r>
      <w:r w:rsidRPr="00364708">
        <w:rPr>
          <w:i/>
          <w:lang w:val="en-US"/>
        </w:rPr>
        <w:t xml:space="preserve"> England and Wales</w:t>
      </w:r>
      <w:r>
        <w:rPr>
          <w:lang w:val="en-US"/>
        </w:rPr>
        <w:t xml:space="preserve">, Nederland, Kluwer Law International, 2007, 135; R. PROBERT, </w:t>
      </w:r>
      <w:r w:rsidRPr="008B35EB">
        <w:rPr>
          <w:i/>
          <w:lang w:val="en-US"/>
        </w:rPr>
        <w:t>Cretney and Probert’s family law</w:t>
      </w:r>
      <w:r>
        <w:rPr>
          <w:lang w:val="en-US"/>
        </w:rPr>
        <w:t>, Londen, Sweet &amp; Maxwell, 2012, 285.</w:t>
      </w:r>
    </w:p>
  </w:footnote>
  <w:footnote w:id="351">
    <w:p w:rsidR="002A0E74" w:rsidRPr="00C61702" w:rsidRDefault="002A0E74" w:rsidP="006E1363">
      <w:pPr>
        <w:pStyle w:val="FootnoteText"/>
        <w:rPr>
          <w:lang w:val="en-US"/>
        </w:rPr>
      </w:pPr>
      <w:r>
        <w:rPr>
          <w:rStyle w:val="FootnoteReference"/>
        </w:rPr>
        <w:footnoteRef/>
      </w:r>
      <w:r w:rsidRPr="00935C4E">
        <w:rPr>
          <w:lang w:val="en-US"/>
        </w:rPr>
        <w:t xml:space="preserve"> Children </w:t>
      </w:r>
      <w:r w:rsidRPr="00C61702">
        <w:rPr>
          <w:lang w:val="en-US"/>
        </w:rPr>
        <w:t xml:space="preserve">Act 16 November 1989. </w:t>
      </w:r>
    </w:p>
  </w:footnote>
  <w:footnote w:id="352">
    <w:p w:rsidR="002A0E74" w:rsidRPr="00C61702" w:rsidRDefault="002A0E74" w:rsidP="006E1363">
      <w:pPr>
        <w:pStyle w:val="FootnoteText"/>
        <w:rPr>
          <w:lang w:val="en-US"/>
        </w:rPr>
      </w:pPr>
      <w:r w:rsidRPr="00C61702">
        <w:rPr>
          <w:rStyle w:val="FootnoteReference"/>
        </w:rPr>
        <w:footnoteRef/>
      </w:r>
      <w:r w:rsidRPr="00C61702">
        <w:rPr>
          <w:lang w:val="en-US"/>
        </w:rPr>
        <w:t xml:space="preserve"> S. GILMORE, J. HERRING en R. PROBERT, “Introduction: </w:t>
      </w:r>
      <w:hyperlink r:id="rId13" w:history="1">
        <w:r>
          <w:rPr>
            <w:lang w:val="en-US"/>
          </w:rPr>
          <w:t xml:space="preserve">Parental Responsibility - </w:t>
        </w:r>
        <w:r w:rsidRPr="00C61702">
          <w:rPr>
            <w:lang w:val="en-US"/>
          </w:rPr>
          <w:t>Law, Issues and Themes</w:t>
        </w:r>
      </w:hyperlink>
      <w:r>
        <w:rPr>
          <w:lang w:val="en-US"/>
        </w:rPr>
        <w:t xml:space="preserve">” </w:t>
      </w:r>
      <w:r w:rsidRPr="00C61702">
        <w:rPr>
          <w:lang w:val="en-US"/>
        </w:rPr>
        <w:t xml:space="preserve">in PROBERT, R., GILMORE, S. en HERRING, J. (eds.), </w:t>
      </w:r>
      <w:r w:rsidRPr="00C61702">
        <w:rPr>
          <w:i/>
          <w:lang w:val="en-US"/>
        </w:rPr>
        <w:t>Responsible Parents &amp; Parental Responsibility</w:t>
      </w:r>
      <w:r w:rsidRPr="00C61702">
        <w:rPr>
          <w:lang w:val="en-US"/>
        </w:rPr>
        <w:t>, Hart, Oxford, 2009,</w:t>
      </w:r>
      <w:r>
        <w:rPr>
          <w:lang w:val="en-US"/>
        </w:rPr>
        <w:t xml:space="preserve"> (1)</w:t>
      </w:r>
      <w:r w:rsidRPr="00C61702">
        <w:rPr>
          <w:lang w:val="en-US"/>
        </w:rPr>
        <w:t xml:space="preserve"> 3.</w:t>
      </w:r>
    </w:p>
  </w:footnote>
  <w:footnote w:id="353">
    <w:p w:rsidR="002A0E74" w:rsidRPr="00FC2495" w:rsidRDefault="002A0E74" w:rsidP="006E1363">
      <w:pPr>
        <w:pStyle w:val="FootnoteText"/>
        <w:rPr>
          <w:lang w:val="en-US"/>
        </w:rPr>
      </w:pPr>
      <w:r w:rsidRPr="00C61702">
        <w:rPr>
          <w:rStyle w:val="FootnoteReference"/>
        </w:rPr>
        <w:footnoteRef/>
      </w:r>
      <w:r w:rsidRPr="00C61702">
        <w:rPr>
          <w:lang w:val="en-US"/>
        </w:rPr>
        <w:t xml:space="preserve"> S. 3(1) </w:t>
      </w:r>
      <w:proofErr w:type="gramStart"/>
      <w:r w:rsidRPr="00C61702">
        <w:rPr>
          <w:lang w:val="en-US"/>
        </w:rPr>
        <w:t>CA</w:t>
      </w:r>
      <w:r>
        <w:rPr>
          <w:lang w:val="en-US"/>
        </w:rPr>
        <w:t>.</w:t>
      </w:r>
      <w:r w:rsidRPr="00C61702">
        <w:rPr>
          <w:lang w:val="en-US"/>
        </w:rPr>
        <w:t>;</w:t>
      </w:r>
      <w:proofErr w:type="gramEnd"/>
      <w:r w:rsidRPr="00C61702">
        <w:rPr>
          <w:lang w:val="en-US"/>
        </w:rPr>
        <w:t xml:space="preserve"> S. GILMORE, J. HERRING en R. PROBERT, “Introduction: </w:t>
      </w:r>
      <w:hyperlink r:id="rId14" w:history="1">
        <w:r>
          <w:rPr>
            <w:lang w:val="en-US"/>
          </w:rPr>
          <w:t xml:space="preserve">Parental Responsibility - </w:t>
        </w:r>
        <w:r w:rsidRPr="00C61702">
          <w:rPr>
            <w:lang w:val="en-US"/>
          </w:rPr>
          <w:t>Law, Issues and Themes</w:t>
        </w:r>
      </w:hyperlink>
      <w:r w:rsidRPr="00C61702">
        <w:rPr>
          <w:lang w:val="en-US"/>
        </w:rPr>
        <w:t xml:space="preserve">” in PROBERT, R., GILMORE, S. en HERRING, J. (eds.), </w:t>
      </w:r>
      <w:r w:rsidRPr="00C61702">
        <w:rPr>
          <w:i/>
          <w:lang w:val="en-US"/>
        </w:rPr>
        <w:t>Responsible Parents &amp; Parental Responsibility</w:t>
      </w:r>
      <w:r w:rsidRPr="00C61702">
        <w:rPr>
          <w:lang w:val="en-US"/>
        </w:rPr>
        <w:t xml:space="preserve">, Hart, Oxford, 2009, </w:t>
      </w:r>
      <w:r>
        <w:rPr>
          <w:lang w:val="en-US"/>
        </w:rPr>
        <w:t xml:space="preserve">(1) </w:t>
      </w:r>
      <w:r w:rsidRPr="00C61702">
        <w:rPr>
          <w:lang w:val="en-US"/>
        </w:rPr>
        <w:t>3.</w:t>
      </w:r>
    </w:p>
  </w:footnote>
  <w:footnote w:id="354">
    <w:p w:rsidR="002A0E74" w:rsidRPr="00200735" w:rsidRDefault="002A0E74" w:rsidP="006E1363">
      <w:pPr>
        <w:pStyle w:val="FootnoteText"/>
        <w:rPr>
          <w:lang w:val="en-US"/>
        </w:rPr>
      </w:pPr>
      <w:r>
        <w:rPr>
          <w:rStyle w:val="FootnoteReference"/>
        </w:rPr>
        <w:footnoteRef/>
      </w:r>
      <w:r w:rsidRPr="00200735">
        <w:rPr>
          <w:lang w:val="en-US"/>
        </w:rPr>
        <w:t xml:space="preserve"> </w:t>
      </w:r>
      <w:r>
        <w:rPr>
          <w:lang w:val="en-US"/>
        </w:rPr>
        <w:t>C. BARTON en G. DOUGLAS</w:t>
      </w:r>
      <w:r w:rsidRPr="00410F90">
        <w:rPr>
          <w:i/>
          <w:lang w:val="en-US"/>
        </w:rPr>
        <w:t>, Law and Parenthood</w:t>
      </w:r>
      <w:r>
        <w:rPr>
          <w:lang w:val="en-US"/>
        </w:rPr>
        <w:t xml:space="preserve">, Londen, Butterworths, 1995, 99; R. PROBERT, </w:t>
      </w:r>
      <w:r>
        <w:rPr>
          <w:i/>
          <w:lang w:val="en-US"/>
        </w:rPr>
        <w:t>Family &amp; Succession Law -</w:t>
      </w:r>
      <w:r w:rsidRPr="00364708">
        <w:rPr>
          <w:i/>
          <w:lang w:val="en-US"/>
        </w:rPr>
        <w:t xml:space="preserve"> England and Wales</w:t>
      </w:r>
      <w:r>
        <w:rPr>
          <w:lang w:val="en-US"/>
        </w:rPr>
        <w:t>, Nederland, Kluwer Law International, 2007, 129.</w:t>
      </w:r>
    </w:p>
  </w:footnote>
  <w:footnote w:id="355">
    <w:p w:rsidR="002A0E74" w:rsidRPr="004C548C" w:rsidRDefault="002A0E74" w:rsidP="006E1363">
      <w:pPr>
        <w:pStyle w:val="FootnoteText"/>
        <w:rPr>
          <w:lang w:val="en-US"/>
        </w:rPr>
      </w:pPr>
      <w:r>
        <w:rPr>
          <w:rStyle w:val="FootnoteReference"/>
        </w:rPr>
        <w:footnoteRef/>
      </w:r>
      <w:r w:rsidRPr="004C548C">
        <w:rPr>
          <w:lang w:val="en-US"/>
        </w:rPr>
        <w:t xml:space="preserve"> </w:t>
      </w:r>
      <w:r>
        <w:rPr>
          <w:lang w:val="en-US"/>
        </w:rPr>
        <w:t xml:space="preserve">G. LIND en T. HEWITT, “Law and the complexities of parenting: parental status and parental function”, </w:t>
      </w:r>
      <w:r w:rsidRPr="004C548C">
        <w:rPr>
          <w:i/>
          <w:lang w:val="en-US"/>
        </w:rPr>
        <w:t>Journal of Social Welfare and Family Law</w:t>
      </w:r>
      <w:r>
        <w:rPr>
          <w:lang w:val="en-US"/>
        </w:rPr>
        <w:t xml:space="preserve"> 2009, (391) 394.</w:t>
      </w:r>
    </w:p>
  </w:footnote>
  <w:footnote w:id="356">
    <w:p w:rsidR="002A0E74" w:rsidRPr="00200735" w:rsidRDefault="002A0E74" w:rsidP="006E1363">
      <w:pPr>
        <w:pStyle w:val="FootnoteText"/>
        <w:rPr>
          <w:lang w:val="en-US"/>
        </w:rPr>
      </w:pPr>
      <w:r>
        <w:rPr>
          <w:rStyle w:val="FootnoteReference"/>
        </w:rPr>
        <w:footnoteRef/>
      </w:r>
      <w:r w:rsidRPr="00884DB2">
        <w:rPr>
          <w:lang w:val="en-US"/>
        </w:rPr>
        <w:t xml:space="preserve"> </w:t>
      </w:r>
      <w:r>
        <w:rPr>
          <w:lang w:val="en-US"/>
        </w:rPr>
        <w:t>C. BARTON en G. DOUGLAS</w:t>
      </w:r>
      <w:r w:rsidRPr="00410F90">
        <w:rPr>
          <w:i/>
          <w:lang w:val="en-US"/>
        </w:rPr>
        <w:t>, Law and Parenthood</w:t>
      </w:r>
      <w:r>
        <w:rPr>
          <w:lang w:val="en-US"/>
        </w:rPr>
        <w:t xml:space="preserve">, Londen, Butterworths, 1995, 99; G. LIND en T. HEWITT, “Law and the complexities of parenting: parental status and parental function”, </w:t>
      </w:r>
      <w:r w:rsidRPr="004C548C">
        <w:rPr>
          <w:i/>
          <w:lang w:val="en-US"/>
        </w:rPr>
        <w:t>Journal of Social Welfare and Family Law</w:t>
      </w:r>
      <w:r>
        <w:rPr>
          <w:lang w:val="en-US"/>
        </w:rPr>
        <w:t xml:space="preserve"> 2009, (391) 394.</w:t>
      </w:r>
    </w:p>
  </w:footnote>
  <w:footnote w:id="357">
    <w:p w:rsidR="002A0E74" w:rsidRPr="00AD12A4" w:rsidRDefault="002A0E74" w:rsidP="006E1363">
      <w:pPr>
        <w:pStyle w:val="FootnoteText"/>
      </w:pPr>
      <w:r>
        <w:rPr>
          <w:rStyle w:val="FootnoteReference"/>
        </w:rPr>
        <w:footnoteRef/>
      </w:r>
      <w:r>
        <w:t xml:space="preserve"> </w:t>
      </w:r>
      <w:r w:rsidRPr="00AD12A4">
        <w:t>Children Act 16 November 1989.</w:t>
      </w:r>
    </w:p>
  </w:footnote>
  <w:footnote w:id="358">
    <w:p w:rsidR="002A0E74" w:rsidRPr="000A7529" w:rsidRDefault="002A0E74" w:rsidP="006E1363">
      <w:pPr>
        <w:pStyle w:val="FootnoteText"/>
      </w:pPr>
      <w:r>
        <w:rPr>
          <w:rStyle w:val="FootnoteReference"/>
        </w:rPr>
        <w:footnoteRef/>
      </w:r>
      <w:r>
        <w:t xml:space="preserve"> </w:t>
      </w:r>
      <w:r w:rsidRPr="00187999">
        <w:rPr>
          <w:smallCaps/>
        </w:rPr>
        <w:t xml:space="preserve">M.V. </w:t>
      </w:r>
      <w:r>
        <w:rPr>
          <w:smallCaps/>
        </w:rPr>
        <w:t>ANTOKOLSKAIA</w:t>
      </w:r>
      <w:r w:rsidRPr="00187999">
        <w:rPr>
          <w:smallCaps/>
        </w:rPr>
        <w:t xml:space="preserve">, W.M. </w:t>
      </w:r>
      <w:r>
        <w:rPr>
          <w:smallCaps/>
        </w:rPr>
        <w:t>SCHRAMA</w:t>
      </w:r>
      <w:r w:rsidRPr="00187999">
        <w:rPr>
          <w:smallCaps/>
        </w:rPr>
        <w:t xml:space="preserve">, K.R.S.D. </w:t>
      </w:r>
      <w:r>
        <w:rPr>
          <w:smallCaps/>
        </w:rPr>
        <w:t>BOELE-WOELKI</w:t>
      </w:r>
      <w:r w:rsidRPr="00187999">
        <w:rPr>
          <w:smallCaps/>
        </w:rPr>
        <w:t>, C.C.J.H</w:t>
      </w:r>
      <w:r>
        <w:rPr>
          <w:smallCaps/>
        </w:rPr>
        <w:t>.</w:t>
      </w:r>
      <w:r w:rsidRPr="00187999">
        <w:rPr>
          <w:smallCaps/>
        </w:rPr>
        <w:t xml:space="preserve"> </w:t>
      </w:r>
      <w:r>
        <w:rPr>
          <w:smallCaps/>
        </w:rPr>
        <w:t>BIJLEVELD</w:t>
      </w:r>
      <w:r w:rsidRPr="00187999">
        <w:rPr>
          <w:smallCaps/>
        </w:rPr>
        <w:t xml:space="preserve">, C.G. </w:t>
      </w:r>
      <w:r>
        <w:rPr>
          <w:smallCaps/>
        </w:rPr>
        <w:t>JEPPESEN DE BOER</w:t>
      </w:r>
      <w:r w:rsidRPr="00187999">
        <w:rPr>
          <w:smallCaps/>
        </w:rPr>
        <w:t xml:space="preserve"> </w:t>
      </w:r>
      <w:r w:rsidRPr="00187999">
        <w:t xml:space="preserve">en G. </w:t>
      </w:r>
      <w:r>
        <w:rPr>
          <w:smallCaps/>
        </w:rPr>
        <w:t>VAN ROSSUM</w:t>
      </w:r>
      <w:r w:rsidRPr="00187999">
        <w:rPr>
          <w:smallCaps/>
        </w:rPr>
        <w:t xml:space="preserve">, </w:t>
      </w:r>
      <w:r w:rsidRPr="00187999">
        <w:rPr>
          <w:i/>
          <w:iCs/>
        </w:rPr>
        <w:t>Meeroudergezag: een oplossing voor kinderen met meer dan twee ouders? Een empirisch en rechtsvergelijkend onderzoek.</w:t>
      </w:r>
      <w:r w:rsidRPr="00187999">
        <w:t>, Den Haag, Boom Juridische uitgevers, 2014,</w:t>
      </w:r>
      <w:r>
        <w:t xml:space="preserve"> 75-76.</w:t>
      </w:r>
    </w:p>
  </w:footnote>
  <w:footnote w:id="359">
    <w:p w:rsidR="002A0E74" w:rsidRPr="00706977" w:rsidRDefault="002A0E74">
      <w:pPr>
        <w:pStyle w:val="FootnoteText"/>
      </w:pPr>
      <w:r>
        <w:rPr>
          <w:rStyle w:val="FootnoteReference"/>
        </w:rPr>
        <w:footnoteRef/>
      </w:r>
      <w:r w:rsidRPr="00706977">
        <w:t xml:space="preserve"> </w:t>
      </w:r>
      <w:r w:rsidRPr="00187999">
        <w:rPr>
          <w:smallCaps/>
        </w:rPr>
        <w:t xml:space="preserve">M.V. </w:t>
      </w:r>
      <w:r>
        <w:rPr>
          <w:smallCaps/>
        </w:rPr>
        <w:t>ANTOKOLSKAIA</w:t>
      </w:r>
      <w:r w:rsidRPr="00187999">
        <w:rPr>
          <w:smallCaps/>
        </w:rPr>
        <w:t xml:space="preserve">, W.M. </w:t>
      </w:r>
      <w:r>
        <w:rPr>
          <w:smallCaps/>
        </w:rPr>
        <w:t>SCHRAMA</w:t>
      </w:r>
      <w:r w:rsidRPr="00187999">
        <w:rPr>
          <w:smallCaps/>
        </w:rPr>
        <w:t xml:space="preserve">, K.R.S.D. </w:t>
      </w:r>
      <w:r>
        <w:rPr>
          <w:smallCaps/>
        </w:rPr>
        <w:t>BOELE-WOELKI</w:t>
      </w:r>
      <w:r w:rsidRPr="00187999">
        <w:rPr>
          <w:smallCaps/>
        </w:rPr>
        <w:t>, C.C.J.H</w:t>
      </w:r>
      <w:r>
        <w:rPr>
          <w:smallCaps/>
        </w:rPr>
        <w:t>.</w:t>
      </w:r>
      <w:r w:rsidRPr="00187999">
        <w:rPr>
          <w:smallCaps/>
        </w:rPr>
        <w:t xml:space="preserve"> </w:t>
      </w:r>
      <w:r>
        <w:rPr>
          <w:smallCaps/>
        </w:rPr>
        <w:t>BIJLEVELD</w:t>
      </w:r>
      <w:r w:rsidRPr="00187999">
        <w:rPr>
          <w:smallCaps/>
        </w:rPr>
        <w:t xml:space="preserve">, C.G. </w:t>
      </w:r>
      <w:r>
        <w:rPr>
          <w:smallCaps/>
        </w:rPr>
        <w:t>JEPPESEN DE BOER</w:t>
      </w:r>
      <w:r w:rsidRPr="00187999">
        <w:rPr>
          <w:smallCaps/>
        </w:rPr>
        <w:t xml:space="preserve"> </w:t>
      </w:r>
      <w:r w:rsidRPr="00187999">
        <w:t xml:space="preserve">en G. </w:t>
      </w:r>
      <w:r>
        <w:rPr>
          <w:smallCaps/>
        </w:rPr>
        <w:t>VAN ROSSUM</w:t>
      </w:r>
      <w:r w:rsidRPr="00187999">
        <w:rPr>
          <w:smallCaps/>
        </w:rPr>
        <w:t xml:space="preserve">, </w:t>
      </w:r>
      <w:r w:rsidRPr="00187999">
        <w:rPr>
          <w:i/>
          <w:iCs/>
        </w:rPr>
        <w:t>Meeroudergezag: een oplossing voor kinderen met meer dan twee ouders? Een empirisch en rechtsvergelijkend onderzoek.</w:t>
      </w:r>
      <w:r w:rsidRPr="00187999">
        <w:t>, Den Haag, Boom Juridische uitgevers, 2014,</w:t>
      </w:r>
      <w:r>
        <w:t xml:space="preserve"> 75-76.</w:t>
      </w:r>
    </w:p>
  </w:footnote>
  <w:footnote w:id="360">
    <w:p w:rsidR="002A0E74" w:rsidRPr="00AD12A4" w:rsidRDefault="002A0E74">
      <w:pPr>
        <w:pStyle w:val="FootnoteText"/>
        <w:rPr>
          <w:lang w:val="en-US"/>
        </w:rPr>
      </w:pPr>
      <w:r>
        <w:rPr>
          <w:rStyle w:val="FootnoteReference"/>
        </w:rPr>
        <w:footnoteRef/>
      </w:r>
      <w:r>
        <w:rPr>
          <w:lang w:val="en-US"/>
        </w:rPr>
        <w:t xml:space="preserve"> S. 2(2</w:t>
      </w:r>
      <w:proofErr w:type="gramStart"/>
      <w:r>
        <w:rPr>
          <w:lang w:val="en-US"/>
        </w:rPr>
        <w:t>)(</w:t>
      </w:r>
      <w:proofErr w:type="gramEnd"/>
      <w:r>
        <w:rPr>
          <w:lang w:val="en-US"/>
        </w:rPr>
        <w:t xml:space="preserve">a) en 2(2A)(a) CA.; J. HERRING, </w:t>
      </w:r>
      <w:r w:rsidRPr="005E7A03">
        <w:rPr>
          <w:i/>
          <w:lang w:val="en-US"/>
        </w:rPr>
        <w:t>Family Law,</w:t>
      </w:r>
      <w:r>
        <w:rPr>
          <w:lang w:val="en-US"/>
        </w:rPr>
        <w:t xml:space="preserve"> Harlow, Pearson, 2015, 354.</w:t>
      </w:r>
    </w:p>
  </w:footnote>
  <w:footnote w:id="361">
    <w:p w:rsidR="002A0E74" w:rsidRPr="00AD12A4" w:rsidRDefault="002A0E74">
      <w:pPr>
        <w:pStyle w:val="FootnoteText"/>
        <w:rPr>
          <w:lang w:val="en-US"/>
        </w:rPr>
      </w:pPr>
      <w:r>
        <w:rPr>
          <w:rStyle w:val="FootnoteReference"/>
        </w:rPr>
        <w:footnoteRef/>
      </w:r>
      <w:r>
        <w:rPr>
          <w:lang w:val="en-US"/>
        </w:rPr>
        <w:t xml:space="preserve"> S. 2(1) </w:t>
      </w:r>
      <w:proofErr w:type="gramStart"/>
      <w:r>
        <w:rPr>
          <w:lang w:val="en-US"/>
        </w:rPr>
        <w:t>CA.;</w:t>
      </w:r>
      <w:proofErr w:type="gramEnd"/>
      <w:r>
        <w:rPr>
          <w:lang w:val="en-US"/>
        </w:rPr>
        <w:t xml:space="preserve"> C. BARTON en G. DOUGLAS</w:t>
      </w:r>
      <w:r w:rsidRPr="00410F90">
        <w:rPr>
          <w:i/>
          <w:lang w:val="en-US"/>
        </w:rPr>
        <w:t>, Law and Parenthood</w:t>
      </w:r>
      <w:r>
        <w:rPr>
          <w:lang w:val="en-US"/>
        </w:rPr>
        <w:t>, Londen, Butterworths, 1995, 54-55.</w:t>
      </w:r>
    </w:p>
  </w:footnote>
  <w:footnote w:id="362">
    <w:p w:rsidR="002A0E74" w:rsidRPr="00C61702" w:rsidRDefault="002A0E74">
      <w:pPr>
        <w:pStyle w:val="FootnoteText"/>
        <w:rPr>
          <w:lang w:val="en-US"/>
        </w:rPr>
      </w:pPr>
      <w:r>
        <w:rPr>
          <w:rStyle w:val="FootnoteReference"/>
        </w:rPr>
        <w:footnoteRef/>
      </w:r>
      <w:r w:rsidRPr="00E01C99">
        <w:rPr>
          <w:lang w:val="en-US"/>
        </w:rPr>
        <w:t xml:space="preserve"> </w:t>
      </w:r>
      <w:r>
        <w:rPr>
          <w:lang w:val="en-US"/>
        </w:rPr>
        <w:t xml:space="preserve">J. HERRING, </w:t>
      </w:r>
      <w:r w:rsidRPr="005E7A03">
        <w:rPr>
          <w:i/>
          <w:lang w:val="en-US"/>
        </w:rPr>
        <w:t>Family Law,</w:t>
      </w:r>
      <w:r>
        <w:rPr>
          <w:lang w:val="en-US"/>
        </w:rPr>
        <w:t xml:space="preserve"> Harlow, Pearson, 2015, 328; R. PROBERT, </w:t>
      </w:r>
      <w:r w:rsidRPr="008B35EB">
        <w:rPr>
          <w:i/>
          <w:lang w:val="en-US"/>
        </w:rPr>
        <w:t>Cretney and Probert’s family law</w:t>
      </w:r>
      <w:r>
        <w:rPr>
          <w:lang w:val="en-US"/>
        </w:rPr>
        <w:t>, Londen</w:t>
      </w:r>
      <w:r w:rsidRPr="00C61702">
        <w:rPr>
          <w:lang w:val="en-US"/>
        </w:rPr>
        <w:t>, Sweet &amp; Maxwell,</w:t>
      </w:r>
      <w:r>
        <w:rPr>
          <w:lang w:val="en-US"/>
        </w:rPr>
        <w:t xml:space="preserve"> 2012,</w:t>
      </w:r>
      <w:r w:rsidRPr="00C61702">
        <w:rPr>
          <w:lang w:val="en-US"/>
        </w:rPr>
        <w:t xml:space="preserve"> 291.</w:t>
      </w:r>
    </w:p>
  </w:footnote>
  <w:footnote w:id="363">
    <w:p w:rsidR="002A0E74" w:rsidRPr="00C61702" w:rsidRDefault="002A0E74">
      <w:pPr>
        <w:pStyle w:val="FootnoteText"/>
        <w:rPr>
          <w:lang w:val="en-US"/>
        </w:rPr>
      </w:pPr>
      <w:r w:rsidRPr="00C61702">
        <w:rPr>
          <w:rStyle w:val="FootnoteReference"/>
        </w:rPr>
        <w:footnoteRef/>
      </w:r>
      <w:r w:rsidRPr="00C61702">
        <w:rPr>
          <w:lang w:val="en-US"/>
        </w:rPr>
        <w:t xml:space="preserve"> J. HERRING, </w:t>
      </w:r>
      <w:r w:rsidRPr="00C61702">
        <w:rPr>
          <w:i/>
          <w:lang w:val="en-US"/>
        </w:rPr>
        <w:t>Family Law,</w:t>
      </w:r>
      <w:r w:rsidRPr="00C61702">
        <w:rPr>
          <w:lang w:val="en-US"/>
        </w:rPr>
        <w:t xml:space="preserve"> Harlow, Pearson, 2015, 362.</w:t>
      </w:r>
    </w:p>
  </w:footnote>
  <w:footnote w:id="364">
    <w:p w:rsidR="002A0E74" w:rsidRPr="001B53A2" w:rsidRDefault="002A0E74">
      <w:pPr>
        <w:pStyle w:val="FootnoteText"/>
        <w:rPr>
          <w:lang w:val="en-US"/>
        </w:rPr>
      </w:pPr>
      <w:r w:rsidRPr="00C61702">
        <w:rPr>
          <w:rStyle w:val="FootnoteReference"/>
        </w:rPr>
        <w:footnoteRef/>
      </w:r>
      <w:r w:rsidRPr="00C61702">
        <w:rPr>
          <w:lang w:val="en-US"/>
        </w:rPr>
        <w:t xml:space="preserve"> S. 2(2)(b)</w:t>
      </w:r>
      <w:r>
        <w:rPr>
          <w:lang w:val="en-US"/>
        </w:rPr>
        <w:t>, 4(1)(a)(b)(c)</w:t>
      </w:r>
      <w:r w:rsidRPr="00C61702">
        <w:rPr>
          <w:lang w:val="en-US"/>
        </w:rPr>
        <w:t xml:space="preserve"> en 8(1) CA ; S. GILMORE, J. HERRING en R. PROBERT, “Introduction: </w:t>
      </w:r>
      <w:hyperlink r:id="rId15" w:history="1">
        <w:r w:rsidRPr="00C61702">
          <w:rPr>
            <w:lang w:val="en-US"/>
          </w:rPr>
          <w:t>Pare</w:t>
        </w:r>
        <w:r>
          <w:rPr>
            <w:lang w:val="en-US"/>
          </w:rPr>
          <w:t xml:space="preserve">ntal Responsibility - </w:t>
        </w:r>
        <w:r w:rsidRPr="00C61702">
          <w:rPr>
            <w:lang w:val="en-US"/>
          </w:rPr>
          <w:t>Law, Issues and Themes</w:t>
        </w:r>
      </w:hyperlink>
      <w:r w:rsidRPr="00C61702">
        <w:rPr>
          <w:lang w:val="en-US"/>
        </w:rPr>
        <w:t xml:space="preserve">” in PROBERT, R., GILMORE, S. en HERRING, J. (eds.), </w:t>
      </w:r>
      <w:r w:rsidRPr="00C61702">
        <w:rPr>
          <w:i/>
          <w:lang w:val="en-US"/>
        </w:rPr>
        <w:t>Responsible Parents &amp;</w:t>
      </w:r>
      <w:r w:rsidRPr="00FC2495">
        <w:rPr>
          <w:i/>
          <w:lang w:val="en-US"/>
        </w:rPr>
        <w:t xml:space="preserve"> Parental Responsibility</w:t>
      </w:r>
      <w:r>
        <w:rPr>
          <w:lang w:val="en-US"/>
        </w:rPr>
        <w:t xml:space="preserve">, Hart, Oxford, 2009, (1) 6-7; R. PROBERT, </w:t>
      </w:r>
      <w:r>
        <w:rPr>
          <w:i/>
          <w:lang w:val="en-US"/>
        </w:rPr>
        <w:t>Family &amp; Succession Law -</w:t>
      </w:r>
      <w:r w:rsidRPr="00364708">
        <w:rPr>
          <w:i/>
          <w:lang w:val="en-US"/>
        </w:rPr>
        <w:t xml:space="preserve"> England and Wales</w:t>
      </w:r>
      <w:r>
        <w:rPr>
          <w:lang w:val="en-US"/>
        </w:rPr>
        <w:t xml:space="preserve">, Nederland, Kluwer Law International, 2007, 129-130; S. SHELDON, “Unmarried fathers and parental responsibility: a case for reform?”, </w:t>
      </w:r>
      <w:r w:rsidRPr="003068FD">
        <w:rPr>
          <w:i/>
          <w:lang w:val="en-US"/>
        </w:rPr>
        <w:t>Feminist Legal Studies</w:t>
      </w:r>
      <w:r>
        <w:rPr>
          <w:lang w:val="en-US"/>
        </w:rPr>
        <w:t xml:space="preserve"> 2001, (93) 103.</w:t>
      </w:r>
    </w:p>
  </w:footnote>
  <w:footnote w:id="365">
    <w:p w:rsidR="002A0E74" w:rsidRPr="00760487" w:rsidRDefault="002A0E74">
      <w:pPr>
        <w:pStyle w:val="FootnoteText"/>
        <w:rPr>
          <w:lang w:val="en-US"/>
        </w:rPr>
      </w:pPr>
      <w:r>
        <w:rPr>
          <w:rStyle w:val="FootnoteReference"/>
        </w:rPr>
        <w:footnoteRef/>
      </w:r>
      <w:r w:rsidRPr="00760487">
        <w:rPr>
          <w:lang w:val="en-US"/>
        </w:rPr>
        <w:t xml:space="preserve"> </w:t>
      </w:r>
      <w:r>
        <w:rPr>
          <w:lang w:val="en-US"/>
        </w:rPr>
        <w:t xml:space="preserve">J. HERRING, </w:t>
      </w:r>
      <w:r w:rsidRPr="005E7A03">
        <w:rPr>
          <w:i/>
          <w:lang w:val="en-US"/>
        </w:rPr>
        <w:t>Family Law,</w:t>
      </w:r>
      <w:r>
        <w:rPr>
          <w:lang w:val="en-US"/>
        </w:rPr>
        <w:t xml:space="preserve"> Harlow, Pearson, 2015, 354-355.</w:t>
      </w:r>
    </w:p>
  </w:footnote>
  <w:footnote w:id="366">
    <w:p w:rsidR="002A0E74" w:rsidRPr="00364708" w:rsidRDefault="002A0E74">
      <w:pPr>
        <w:pStyle w:val="FootnoteText"/>
        <w:rPr>
          <w:lang w:val="en-US"/>
        </w:rPr>
      </w:pPr>
      <w:r>
        <w:rPr>
          <w:rStyle w:val="FootnoteReference"/>
        </w:rPr>
        <w:footnoteRef/>
      </w:r>
      <w:r w:rsidRPr="000A6092">
        <w:rPr>
          <w:lang w:val="en-US"/>
        </w:rPr>
        <w:t xml:space="preserve"> </w:t>
      </w:r>
      <w:r>
        <w:rPr>
          <w:lang w:val="en-US"/>
        </w:rPr>
        <w:t xml:space="preserve">R. PROBERT, </w:t>
      </w:r>
      <w:r>
        <w:rPr>
          <w:i/>
          <w:lang w:val="en-US"/>
        </w:rPr>
        <w:t>Family &amp; Succession Law -</w:t>
      </w:r>
      <w:r w:rsidRPr="00364708">
        <w:rPr>
          <w:i/>
          <w:lang w:val="en-US"/>
        </w:rPr>
        <w:t xml:space="preserve"> England and Wales</w:t>
      </w:r>
      <w:r>
        <w:rPr>
          <w:lang w:val="en-US"/>
        </w:rPr>
        <w:t>, Nederland, Kluwer Law International, 2007, 129.</w:t>
      </w:r>
    </w:p>
  </w:footnote>
  <w:footnote w:id="367">
    <w:p w:rsidR="002A0E74" w:rsidRPr="00AD12A4" w:rsidRDefault="002A0E74">
      <w:pPr>
        <w:pStyle w:val="FootnoteText"/>
        <w:rPr>
          <w:lang w:val="en-US"/>
        </w:rPr>
      </w:pPr>
      <w:r>
        <w:rPr>
          <w:rStyle w:val="FootnoteReference"/>
        </w:rPr>
        <w:footnoteRef/>
      </w:r>
      <w:r w:rsidRPr="00AD12A4">
        <w:rPr>
          <w:lang w:val="en-US"/>
        </w:rPr>
        <w:t xml:space="preserve"> </w:t>
      </w:r>
      <w:r w:rsidRPr="006B67B2">
        <w:rPr>
          <w:lang w:val="en-US"/>
        </w:rPr>
        <w:t>Human Fertilisation and Embryology Act 13 November 2008.</w:t>
      </w:r>
    </w:p>
  </w:footnote>
  <w:footnote w:id="368">
    <w:p w:rsidR="002A0E74" w:rsidRDefault="002A0E74">
      <w:pPr>
        <w:pStyle w:val="FootnoteText"/>
      </w:pPr>
      <w:r>
        <w:rPr>
          <w:rStyle w:val="FootnoteReference"/>
        </w:rPr>
        <w:footnoteRef/>
      </w:r>
      <w:r>
        <w:t xml:space="preserve"> </w:t>
      </w:r>
      <w:r w:rsidRPr="00187999">
        <w:rPr>
          <w:smallCaps/>
        </w:rPr>
        <w:t xml:space="preserve">M.V. </w:t>
      </w:r>
      <w:r>
        <w:rPr>
          <w:smallCaps/>
        </w:rPr>
        <w:t>ANTOKOLSKAIA</w:t>
      </w:r>
      <w:r w:rsidRPr="00187999">
        <w:rPr>
          <w:smallCaps/>
        </w:rPr>
        <w:t xml:space="preserve">, W.M. </w:t>
      </w:r>
      <w:r>
        <w:rPr>
          <w:smallCaps/>
        </w:rPr>
        <w:t>SCHRAMA</w:t>
      </w:r>
      <w:r w:rsidRPr="00187999">
        <w:rPr>
          <w:smallCaps/>
        </w:rPr>
        <w:t xml:space="preserve">, K.R.S.D. </w:t>
      </w:r>
      <w:r>
        <w:rPr>
          <w:smallCaps/>
        </w:rPr>
        <w:t>BOELE-WOELKI</w:t>
      </w:r>
      <w:r w:rsidRPr="00187999">
        <w:rPr>
          <w:smallCaps/>
        </w:rPr>
        <w:t>, C.C.J.H</w:t>
      </w:r>
      <w:r>
        <w:rPr>
          <w:smallCaps/>
        </w:rPr>
        <w:t>.</w:t>
      </w:r>
      <w:r w:rsidRPr="00187999">
        <w:rPr>
          <w:smallCaps/>
        </w:rPr>
        <w:t xml:space="preserve"> </w:t>
      </w:r>
      <w:r>
        <w:rPr>
          <w:smallCaps/>
        </w:rPr>
        <w:t>BIJLEVELD</w:t>
      </w:r>
      <w:r w:rsidRPr="00187999">
        <w:rPr>
          <w:smallCaps/>
        </w:rPr>
        <w:t xml:space="preserve">, C.G. </w:t>
      </w:r>
      <w:r>
        <w:rPr>
          <w:smallCaps/>
        </w:rPr>
        <w:t>JEPPESEN DE BOER</w:t>
      </w:r>
      <w:r w:rsidRPr="00187999">
        <w:rPr>
          <w:smallCaps/>
        </w:rPr>
        <w:t xml:space="preserve"> </w:t>
      </w:r>
      <w:r w:rsidRPr="00187999">
        <w:t xml:space="preserve">en G. </w:t>
      </w:r>
      <w:r>
        <w:rPr>
          <w:smallCaps/>
        </w:rPr>
        <w:t>VAN ROSSUM</w:t>
      </w:r>
      <w:r w:rsidRPr="00187999">
        <w:rPr>
          <w:smallCaps/>
        </w:rPr>
        <w:t xml:space="preserve">, </w:t>
      </w:r>
      <w:r w:rsidRPr="00187999">
        <w:rPr>
          <w:i/>
          <w:iCs/>
        </w:rPr>
        <w:t>Meeroudergezag: een oplossing voor kinderen met meer dan twee ouders? Een empirisch en rechtsvergelijkend onderzoek.</w:t>
      </w:r>
      <w:r w:rsidRPr="00187999">
        <w:t>, Den Haag, Boom Juridische uitgevers, 2014,</w:t>
      </w:r>
      <w:r>
        <w:t xml:space="preserve"> 78.</w:t>
      </w:r>
    </w:p>
  </w:footnote>
  <w:footnote w:id="369">
    <w:p w:rsidR="002A0E74" w:rsidRPr="00C55260" w:rsidRDefault="002A0E74">
      <w:pPr>
        <w:pStyle w:val="FootnoteText"/>
      </w:pPr>
      <w:r>
        <w:rPr>
          <w:rStyle w:val="FootnoteReference"/>
        </w:rPr>
        <w:footnoteRef/>
      </w:r>
      <w:r w:rsidRPr="00C55260">
        <w:t xml:space="preserve"> </w:t>
      </w:r>
      <w:r w:rsidRPr="00C55260">
        <w:t xml:space="preserve">S. 33 HFEA 2008. </w:t>
      </w:r>
    </w:p>
  </w:footnote>
  <w:footnote w:id="370">
    <w:p w:rsidR="002A0E74" w:rsidRPr="00C55260" w:rsidRDefault="002A0E74">
      <w:pPr>
        <w:pStyle w:val="FootnoteText"/>
      </w:pPr>
      <w:r>
        <w:rPr>
          <w:rStyle w:val="FootnoteReference"/>
        </w:rPr>
        <w:footnoteRef/>
      </w:r>
      <w:r w:rsidRPr="00C55260">
        <w:t xml:space="preserve"> </w:t>
      </w:r>
      <w:r w:rsidRPr="00C55260">
        <w:rPr>
          <w:smallCaps/>
        </w:rPr>
        <w:t xml:space="preserve">S. 42, 43 </w:t>
      </w:r>
      <w:r w:rsidRPr="00C55260">
        <w:t>en 44 HFEA 2008.</w:t>
      </w:r>
    </w:p>
  </w:footnote>
  <w:footnote w:id="371">
    <w:p w:rsidR="002A0E74" w:rsidRPr="00A6770A" w:rsidRDefault="002A0E74" w:rsidP="00124150">
      <w:pPr>
        <w:pStyle w:val="FootnoteText"/>
        <w:rPr>
          <w:lang w:val="en-US"/>
        </w:rPr>
      </w:pPr>
      <w:r>
        <w:rPr>
          <w:rStyle w:val="FootnoteReference"/>
        </w:rPr>
        <w:footnoteRef/>
      </w:r>
      <w:r>
        <w:rPr>
          <w:lang w:val="en-US"/>
        </w:rPr>
        <w:t xml:space="preserve"> S. 42</w:t>
      </w:r>
      <w:r w:rsidRPr="00A6770A">
        <w:rPr>
          <w:lang w:val="en-US"/>
        </w:rPr>
        <w:t xml:space="preserve"> HFEA 2008.</w:t>
      </w:r>
    </w:p>
  </w:footnote>
  <w:footnote w:id="372">
    <w:p w:rsidR="002A0E74" w:rsidRPr="00947606" w:rsidRDefault="002A0E74">
      <w:pPr>
        <w:pStyle w:val="FootnoteText"/>
        <w:rPr>
          <w:lang w:val="en-US"/>
        </w:rPr>
      </w:pPr>
      <w:r>
        <w:rPr>
          <w:rStyle w:val="FootnoteReference"/>
        </w:rPr>
        <w:footnoteRef/>
      </w:r>
      <w:r w:rsidRPr="00CE1F63">
        <w:rPr>
          <w:lang w:val="en-US"/>
        </w:rPr>
        <w:t xml:space="preserve"> S. 2(1A</w:t>
      </w:r>
      <w:proofErr w:type="gramStart"/>
      <w:r w:rsidRPr="00CE1F63">
        <w:rPr>
          <w:lang w:val="en-US"/>
        </w:rPr>
        <w:t>)(</w:t>
      </w:r>
      <w:proofErr w:type="gramEnd"/>
      <w:r w:rsidRPr="00CE1F63">
        <w:rPr>
          <w:lang w:val="en-US"/>
        </w:rPr>
        <w:t>a) CA.</w:t>
      </w:r>
    </w:p>
  </w:footnote>
  <w:footnote w:id="373">
    <w:p w:rsidR="002A0E74" w:rsidRPr="00AD12A4" w:rsidRDefault="002A0E74" w:rsidP="0068221A">
      <w:pPr>
        <w:pStyle w:val="FootnoteText"/>
        <w:rPr>
          <w:lang w:val="en-US"/>
        </w:rPr>
      </w:pPr>
      <w:r>
        <w:rPr>
          <w:rStyle w:val="FootnoteReference"/>
        </w:rPr>
        <w:footnoteRef/>
      </w:r>
      <w:r w:rsidRPr="00AD12A4">
        <w:rPr>
          <w:lang w:val="en-US"/>
        </w:rPr>
        <w:t xml:space="preserve"> S. 43-44 </w:t>
      </w:r>
      <w:r>
        <w:rPr>
          <w:lang w:val="en-US"/>
        </w:rPr>
        <w:t>HFEA 2008.</w:t>
      </w:r>
    </w:p>
  </w:footnote>
  <w:footnote w:id="374">
    <w:p w:rsidR="002A0E74" w:rsidRPr="00C55260" w:rsidRDefault="002A0E74">
      <w:pPr>
        <w:pStyle w:val="FootnoteText"/>
        <w:rPr>
          <w:lang w:val="en-US"/>
        </w:rPr>
      </w:pPr>
      <w:r>
        <w:rPr>
          <w:rStyle w:val="FootnoteReference"/>
        </w:rPr>
        <w:footnoteRef/>
      </w:r>
      <w:r w:rsidRPr="00667EC1">
        <w:rPr>
          <w:lang w:val="en-US"/>
        </w:rPr>
        <w:t xml:space="preserve"> S. 2(1A</w:t>
      </w:r>
      <w:proofErr w:type="gramStart"/>
      <w:r w:rsidRPr="00667EC1">
        <w:rPr>
          <w:lang w:val="en-US"/>
        </w:rPr>
        <w:t>)(</w:t>
      </w:r>
      <w:proofErr w:type="gramEnd"/>
      <w:r w:rsidRPr="00667EC1">
        <w:rPr>
          <w:lang w:val="en-US"/>
        </w:rPr>
        <w:t>b) CA</w:t>
      </w:r>
      <w:r w:rsidRPr="00C55260">
        <w:rPr>
          <w:lang w:val="en-US"/>
        </w:rPr>
        <w:t>.</w:t>
      </w:r>
    </w:p>
  </w:footnote>
  <w:footnote w:id="375">
    <w:p w:rsidR="002A0E74" w:rsidRPr="00C55260" w:rsidRDefault="002A0E74">
      <w:pPr>
        <w:pStyle w:val="FootnoteText"/>
      </w:pPr>
      <w:r>
        <w:rPr>
          <w:rStyle w:val="FootnoteReference"/>
        </w:rPr>
        <w:footnoteRef/>
      </w:r>
      <w:r>
        <w:t xml:space="preserve"> </w:t>
      </w:r>
      <w:r>
        <w:t xml:space="preserve">S. 5(4),(6),(7) en </w:t>
      </w:r>
      <w:r w:rsidRPr="00C55260">
        <w:t xml:space="preserve">8(1) CA. </w:t>
      </w:r>
    </w:p>
  </w:footnote>
  <w:footnote w:id="376">
    <w:p w:rsidR="002A0E74" w:rsidRDefault="002A0E74">
      <w:pPr>
        <w:pStyle w:val="FootnoteText"/>
      </w:pPr>
      <w:r>
        <w:rPr>
          <w:rStyle w:val="FootnoteReference"/>
        </w:rPr>
        <w:footnoteRef/>
      </w:r>
      <w:r>
        <w:t xml:space="preserve"> </w:t>
      </w:r>
      <w:r>
        <w:t>S. 41 en 47 HFEA 2008.</w:t>
      </w:r>
    </w:p>
  </w:footnote>
  <w:footnote w:id="377">
    <w:p w:rsidR="002A0E74" w:rsidRPr="00E3362C" w:rsidRDefault="002A0E74">
      <w:pPr>
        <w:pStyle w:val="FootnoteText"/>
      </w:pPr>
      <w:r>
        <w:rPr>
          <w:rStyle w:val="FootnoteReference"/>
        </w:rPr>
        <w:footnoteRef/>
      </w:r>
      <w:r w:rsidRPr="00E3362C">
        <w:t xml:space="preserve"> </w:t>
      </w:r>
      <w:r w:rsidRPr="00E3362C">
        <w:t xml:space="preserve">S. 5(4),(6),(7) en 8(1) CA. </w:t>
      </w:r>
    </w:p>
  </w:footnote>
  <w:footnote w:id="378">
    <w:p w:rsidR="002A0E74" w:rsidRPr="00E3362C" w:rsidRDefault="002A0E74">
      <w:pPr>
        <w:pStyle w:val="FootnoteText"/>
      </w:pPr>
      <w:r>
        <w:rPr>
          <w:rStyle w:val="FootnoteReference"/>
        </w:rPr>
        <w:footnoteRef/>
      </w:r>
      <w:r>
        <w:t xml:space="preserve"> </w:t>
      </w:r>
      <w:r w:rsidRPr="00013CF8">
        <w:t>Zie randnummer 135.</w:t>
      </w:r>
    </w:p>
  </w:footnote>
  <w:footnote w:id="379">
    <w:p w:rsidR="002A0E74" w:rsidRPr="004C548C" w:rsidRDefault="002A0E74">
      <w:pPr>
        <w:pStyle w:val="FootnoteText"/>
        <w:rPr>
          <w:lang w:val="en-US"/>
        </w:rPr>
      </w:pPr>
      <w:r>
        <w:rPr>
          <w:rStyle w:val="FootnoteReference"/>
        </w:rPr>
        <w:footnoteRef/>
      </w:r>
      <w:r w:rsidRPr="004C548C">
        <w:rPr>
          <w:lang w:val="en-US"/>
        </w:rPr>
        <w:t xml:space="preserve"> </w:t>
      </w:r>
      <w:r>
        <w:rPr>
          <w:lang w:val="en-US"/>
        </w:rPr>
        <w:t xml:space="preserve">G. LIND en T. HEWITT, “Law and the complexities of parenting: parental status and parental function”, </w:t>
      </w:r>
      <w:r w:rsidRPr="004C548C">
        <w:rPr>
          <w:i/>
          <w:lang w:val="en-US"/>
        </w:rPr>
        <w:t>Journal of Social Welfare and Family Law</w:t>
      </w:r>
      <w:r>
        <w:rPr>
          <w:lang w:val="en-US"/>
        </w:rPr>
        <w:t xml:space="preserve"> 2009, (391) 392.</w:t>
      </w:r>
    </w:p>
  </w:footnote>
  <w:footnote w:id="380">
    <w:p w:rsidR="002A0E74" w:rsidRPr="00947606" w:rsidRDefault="002A0E74">
      <w:pPr>
        <w:pStyle w:val="FootnoteText"/>
        <w:rPr>
          <w:lang w:val="en-US"/>
        </w:rPr>
      </w:pPr>
      <w:r>
        <w:rPr>
          <w:rStyle w:val="FootnoteReference"/>
        </w:rPr>
        <w:footnoteRef/>
      </w:r>
      <w:r w:rsidRPr="0092144A">
        <w:rPr>
          <w:lang w:val="en-US"/>
        </w:rPr>
        <w:t xml:space="preserve"> </w:t>
      </w:r>
      <w:r w:rsidRPr="006B67B2">
        <w:rPr>
          <w:lang w:val="en-US"/>
        </w:rPr>
        <w:t>Adoption an</w:t>
      </w:r>
      <w:r>
        <w:rPr>
          <w:lang w:val="en-US"/>
        </w:rPr>
        <w:t xml:space="preserve">d children act 7 November 2002; G. LIND en T. HEWITT, “Law and the complexities of parenting: parental status and parental function”, </w:t>
      </w:r>
      <w:r w:rsidRPr="004C548C">
        <w:rPr>
          <w:i/>
          <w:lang w:val="en-US"/>
        </w:rPr>
        <w:t>Journal of Social Welfare and Family Law</w:t>
      </w:r>
      <w:r>
        <w:rPr>
          <w:lang w:val="en-US"/>
        </w:rPr>
        <w:t xml:space="preserve"> 2009, (391) 398.</w:t>
      </w:r>
    </w:p>
  </w:footnote>
  <w:footnote w:id="381">
    <w:p w:rsidR="002A0E74" w:rsidRPr="00C55260" w:rsidRDefault="002A0E74">
      <w:pPr>
        <w:pStyle w:val="FootnoteText"/>
        <w:rPr>
          <w:lang w:val="en-US"/>
        </w:rPr>
      </w:pPr>
      <w:r>
        <w:rPr>
          <w:rStyle w:val="FootnoteReference"/>
        </w:rPr>
        <w:footnoteRef/>
      </w:r>
      <w:r>
        <w:rPr>
          <w:lang w:val="en-US"/>
        </w:rPr>
        <w:t xml:space="preserve"> S. 4(A)(1) CA.; J. HERRING, </w:t>
      </w:r>
      <w:r w:rsidRPr="005E7A03">
        <w:rPr>
          <w:i/>
          <w:lang w:val="en-US"/>
        </w:rPr>
        <w:t>Family Law,</w:t>
      </w:r>
      <w:r>
        <w:rPr>
          <w:lang w:val="en-US"/>
        </w:rPr>
        <w:t xml:space="preserve"> Harlow, Pearson, 2015, 346; R. PROBERT, </w:t>
      </w:r>
      <w:r w:rsidRPr="008B35EB">
        <w:rPr>
          <w:i/>
          <w:lang w:val="en-US"/>
        </w:rPr>
        <w:t>Cretney and Probert’s family law</w:t>
      </w:r>
      <w:r>
        <w:rPr>
          <w:lang w:val="en-US"/>
        </w:rPr>
        <w:t>, Londen, Sweet &amp; Maxwell, 2012, 295-296.</w:t>
      </w:r>
    </w:p>
  </w:footnote>
  <w:footnote w:id="382">
    <w:p w:rsidR="002A0E74" w:rsidRPr="00C55260" w:rsidRDefault="002A0E74">
      <w:pPr>
        <w:pStyle w:val="FootnoteText"/>
        <w:rPr>
          <w:lang w:val="en-US"/>
        </w:rPr>
      </w:pPr>
      <w:r>
        <w:rPr>
          <w:rStyle w:val="FootnoteReference"/>
        </w:rPr>
        <w:footnoteRef/>
      </w:r>
      <w:r>
        <w:rPr>
          <w:lang w:val="en-US"/>
        </w:rPr>
        <w:t xml:space="preserve"> S. 4(A</w:t>
      </w:r>
      <w:proofErr w:type="gramStart"/>
      <w:r>
        <w:rPr>
          <w:lang w:val="en-US"/>
        </w:rPr>
        <w:t>)(</w:t>
      </w:r>
      <w:proofErr w:type="gramEnd"/>
      <w:r>
        <w:rPr>
          <w:lang w:val="en-US"/>
        </w:rPr>
        <w:t xml:space="preserve">1)(a) CA.; J. HERRING, </w:t>
      </w:r>
      <w:r w:rsidRPr="005E7A03">
        <w:rPr>
          <w:i/>
          <w:lang w:val="en-US"/>
        </w:rPr>
        <w:t>Family Law,</w:t>
      </w:r>
      <w:r>
        <w:rPr>
          <w:lang w:val="en-US"/>
        </w:rPr>
        <w:t xml:space="preserve"> Harlow, Pearson, 2015, 346.</w:t>
      </w:r>
    </w:p>
  </w:footnote>
  <w:footnote w:id="383">
    <w:p w:rsidR="002A0E74" w:rsidRPr="0016370A" w:rsidRDefault="002A0E74">
      <w:pPr>
        <w:pStyle w:val="FootnoteText"/>
        <w:rPr>
          <w:lang w:val="en-US"/>
        </w:rPr>
      </w:pPr>
      <w:r>
        <w:rPr>
          <w:rStyle w:val="FootnoteReference"/>
        </w:rPr>
        <w:footnoteRef/>
      </w:r>
      <w:r w:rsidRPr="0016370A">
        <w:rPr>
          <w:lang w:val="en-US"/>
        </w:rPr>
        <w:t xml:space="preserve"> </w:t>
      </w:r>
      <w:r w:rsidRPr="0016370A">
        <w:rPr>
          <w:smallCaps/>
          <w:lang w:val="en-US"/>
        </w:rPr>
        <w:t>S. 4</w:t>
      </w:r>
      <w:r>
        <w:rPr>
          <w:smallCaps/>
          <w:lang w:val="en-US"/>
        </w:rPr>
        <w:t>(</w:t>
      </w:r>
      <w:r w:rsidRPr="0016370A">
        <w:rPr>
          <w:smallCaps/>
          <w:lang w:val="en-US"/>
        </w:rPr>
        <w:t>A</w:t>
      </w:r>
      <w:r>
        <w:rPr>
          <w:smallCaps/>
          <w:lang w:val="en-US"/>
        </w:rPr>
        <w:t>)</w:t>
      </w:r>
      <w:r w:rsidRPr="0016370A">
        <w:rPr>
          <w:smallCaps/>
          <w:lang w:val="en-US"/>
        </w:rPr>
        <w:t xml:space="preserve"> CA.; </w:t>
      </w:r>
      <w:r>
        <w:rPr>
          <w:lang w:val="en-US"/>
        </w:rPr>
        <w:t xml:space="preserve">J. HERRING, </w:t>
      </w:r>
      <w:r w:rsidRPr="005E7A03">
        <w:rPr>
          <w:i/>
          <w:lang w:val="en-US"/>
        </w:rPr>
        <w:t>Family Law,</w:t>
      </w:r>
      <w:r>
        <w:rPr>
          <w:lang w:val="en-US"/>
        </w:rPr>
        <w:t xml:space="preserve"> Harlow, Pearson, 2015, 346; G. LIND en T. HEWITT, “Law and the complexities of parenting: parental status and parental function”, </w:t>
      </w:r>
      <w:r w:rsidRPr="004C548C">
        <w:rPr>
          <w:i/>
          <w:lang w:val="en-US"/>
        </w:rPr>
        <w:t>Journal of Social Welfare and Family Law</w:t>
      </w:r>
      <w:r>
        <w:rPr>
          <w:lang w:val="en-US"/>
        </w:rPr>
        <w:t xml:space="preserve"> 2009, (391) 398.</w:t>
      </w:r>
    </w:p>
  </w:footnote>
  <w:footnote w:id="384">
    <w:p w:rsidR="002A0E74" w:rsidRPr="00E01C99" w:rsidRDefault="002A0E74" w:rsidP="004C548C">
      <w:pPr>
        <w:pStyle w:val="FootnoteText"/>
        <w:rPr>
          <w:lang w:val="en-US"/>
        </w:rPr>
      </w:pPr>
      <w:r>
        <w:rPr>
          <w:rStyle w:val="FootnoteReference"/>
        </w:rPr>
        <w:footnoteRef/>
      </w:r>
      <w:r w:rsidRPr="00E01C99">
        <w:rPr>
          <w:lang w:val="en-US"/>
        </w:rPr>
        <w:t xml:space="preserve"> S. 5(</w:t>
      </w:r>
      <w:r>
        <w:rPr>
          <w:lang w:val="en-US"/>
        </w:rPr>
        <w:t>4),(6),(7) en</w:t>
      </w:r>
      <w:r w:rsidRPr="00E01C99">
        <w:rPr>
          <w:lang w:val="en-US"/>
        </w:rPr>
        <w:t xml:space="preserve"> 8(1) CA</w:t>
      </w:r>
      <w:r w:rsidRPr="00E01C99">
        <w:rPr>
          <w:smallCaps/>
          <w:lang w:val="en-US"/>
        </w:rPr>
        <w:t xml:space="preserve">.; </w:t>
      </w:r>
      <w:r>
        <w:rPr>
          <w:lang w:val="en-US"/>
        </w:rPr>
        <w:t xml:space="preserve">R. PROBERT, </w:t>
      </w:r>
      <w:r w:rsidRPr="008B35EB">
        <w:rPr>
          <w:i/>
          <w:lang w:val="en-US"/>
        </w:rPr>
        <w:t>Cretney and Probert’s family law</w:t>
      </w:r>
      <w:r>
        <w:rPr>
          <w:lang w:val="en-US"/>
        </w:rPr>
        <w:t>, Londen, Sweet &amp; Maxwell, 2012, 295-296.</w:t>
      </w:r>
    </w:p>
  </w:footnote>
  <w:footnote w:id="385">
    <w:p w:rsidR="002A0E74" w:rsidRPr="00881DC5" w:rsidRDefault="002A0E74">
      <w:pPr>
        <w:pStyle w:val="FootnoteText"/>
        <w:rPr>
          <w:lang w:val="en-US"/>
        </w:rPr>
      </w:pPr>
      <w:r>
        <w:rPr>
          <w:rStyle w:val="FootnoteReference"/>
        </w:rPr>
        <w:footnoteRef/>
      </w:r>
      <w:r w:rsidRPr="000A6092">
        <w:rPr>
          <w:lang w:val="en-US"/>
        </w:rPr>
        <w:t xml:space="preserve"> </w:t>
      </w:r>
      <w:r>
        <w:rPr>
          <w:lang w:val="en-US"/>
        </w:rPr>
        <w:t xml:space="preserve">G. LIND en T. HEWITT, “Law and the complexities of parenting: parental status and parental function”, </w:t>
      </w:r>
      <w:r w:rsidRPr="004C548C">
        <w:rPr>
          <w:i/>
          <w:lang w:val="en-US"/>
        </w:rPr>
        <w:t>Journal of Social Welfare and Family Law</w:t>
      </w:r>
      <w:r>
        <w:rPr>
          <w:lang w:val="en-US"/>
        </w:rPr>
        <w:t xml:space="preserve"> 2009, (391) 394.</w:t>
      </w:r>
    </w:p>
  </w:footnote>
  <w:footnote w:id="386">
    <w:p w:rsidR="002A0E74" w:rsidRPr="000A6092" w:rsidRDefault="002A0E74">
      <w:pPr>
        <w:pStyle w:val="FootnoteText"/>
        <w:rPr>
          <w:lang w:val="en-US"/>
        </w:rPr>
      </w:pPr>
      <w:r>
        <w:rPr>
          <w:rStyle w:val="FootnoteReference"/>
        </w:rPr>
        <w:footnoteRef/>
      </w:r>
      <w:r w:rsidRPr="000A6092">
        <w:rPr>
          <w:lang w:val="en-US"/>
        </w:rPr>
        <w:t xml:space="preserve"> S. 2(6) CA.; </w:t>
      </w:r>
      <w:r>
        <w:rPr>
          <w:lang w:val="en-US"/>
        </w:rPr>
        <w:t xml:space="preserve">S. GILMORE en L. GLENNON, </w:t>
      </w:r>
      <w:r w:rsidRPr="00E07F04">
        <w:rPr>
          <w:i/>
          <w:lang w:val="en-US"/>
        </w:rPr>
        <w:t>Hayes &amp; Williams’ Family Law</w:t>
      </w:r>
      <w:r>
        <w:rPr>
          <w:lang w:val="en-US"/>
        </w:rPr>
        <w:t>, Oxford, Oxford University Press, 2014, 382.</w:t>
      </w:r>
    </w:p>
  </w:footnote>
  <w:footnote w:id="387">
    <w:p w:rsidR="002A0E74" w:rsidRPr="00F0497C" w:rsidRDefault="002A0E74">
      <w:pPr>
        <w:pStyle w:val="FootnoteText"/>
        <w:rPr>
          <w:lang w:val="en-US"/>
        </w:rPr>
      </w:pPr>
      <w:r>
        <w:rPr>
          <w:rStyle w:val="FootnoteReference"/>
        </w:rPr>
        <w:footnoteRef/>
      </w:r>
      <w:r w:rsidRPr="000A6092">
        <w:rPr>
          <w:lang w:val="en-US"/>
        </w:rPr>
        <w:t xml:space="preserve"> </w:t>
      </w:r>
      <w:r>
        <w:rPr>
          <w:lang w:val="en-US"/>
        </w:rPr>
        <w:t xml:space="preserve">S. GILMORE en L. GLENNON, </w:t>
      </w:r>
      <w:r w:rsidRPr="00E07F04">
        <w:rPr>
          <w:i/>
          <w:lang w:val="en-US"/>
        </w:rPr>
        <w:t>Hayes &amp; Williams’ Family Law</w:t>
      </w:r>
      <w:r>
        <w:rPr>
          <w:lang w:val="en-US"/>
        </w:rPr>
        <w:t xml:space="preserve">, Oxford, Oxford University Press, 2014, 382; R. PROBERT, </w:t>
      </w:r>
      <w:r>
        <w:rPr>
          <w:i/>
          <w:lang w:val="en-US"/>
        </w:rPr>
        <w:t>Family &amp; Succession Law -</w:t>
      </w:r>
      <w:r w:rsidRPr="00364708">
        <w:rPr>
          <w:i/>
          <w:lang w:val="en-US"/>
        </w:rPr>
        <w:t xml:space="preserve"> England and Wales</w:t>
      </w:r>
      <w:r>
        <w:rPr>
          <w:lang w:val="en-US"/>
        </w:rPr>
        <w:t>, Nederland, Kluwer Law International, 2007, 138.</w:t>
      </w:r>
    </w:p>
  </w:footnote>
  <w:footnote w:id="388">
    <w:p w:rsidR="002A0E74" w:rsidRPr="00800A41" w:rsidRDefault="002A0E74">
      <w:pPr>
        <w:pStyle w:val="FootnoteText"/>
        <w:rPr>
          <w:lang w:val="en-US"/>
        </w:rPr>
      </w:pPr>
      <w:r>
        <w:rPr>
          <w:rStyle w:val="FootnoteReference"/>
        </w:rPr>
        <w:footnoteRef/>
      </w:r>
      <w:r w:rsidRPr="000A6092">
        <w:rPr>
          <w:lang w:val="en-US"/>
        </w:rPr>
        <w:t xml:space="preserve"> </w:t>
      </w:r>
      <w:r>
        <w:rPr>
          <w:lang w:val="en-US"/>
        </w:rPr>
        <w:t>S. 13 CA.</w:t>
      </w:r>
    </w:p>
  </w:footnote>
  <w:footnote w:id="389">
    <w:p w:rsidR="002A0E74" w:rsidRPr="00F0497C" w:rsidRDefault="002A0E74">
      <w:pPr>
        <w:pStyle w:val="FootnoteText"/>
        <w:rPr>
          <w:lang w:val="en-US"/>
        </w:rPr>
      </w:pPr>
      <w:r>
        <w:rPr>
          <w:rStyle w:val="FootnoteReference"/>
        </w:rPr>
        <w:footnoteRef/>
      </w:r>
      <w:r w:rsidRPr="000A6092">
        <w:rPr>
          <w:lang w:val="en-US"/>
        </w:rPr>
        <w:t xml:space="preserve"> </w:t>
      </w:r>
      <w:r>
        <w:rPr>
          <w:lang w:val="en-US"/>
        </w:rPr>
        <w:t xml:space="preserve">R. PROBERT, </w:t>
      </w:r>
      <w:r>
        <w:rPr>
          <w:i/>
          <w:lang w:val="en-US"/>
        </w:rPr>
        <w:t>Family &amp; Succession Law -</w:t>
      </w:r>
      <w:r w:rsidRPr="00364708">
        <w:rPr>
          <w:i/>
          <w:lang w:val="en-US"/>
        </w:rPr>
        <w:t xml:space="preserve"> England and Wales</w:t>
      </w:r>
      <w:r>
        <w:rPr>
          <w:lang w:val="en-US"/>
        </w:rPr>
        <w:t>, Nederland, Kluwer Law International, 2007, 137.</w:t>
      </w:r>
    </w:p>
  </w:footnote>
  <w:footnote w:id="390">
    <w:p w:rsidR="002A0E74" w:rsidRPr="00F0497C" w:rsidRDefault="002A0E74">
      <w:pPr>
        <w:pStyle w:val="FootnoteText"/>
        <w:rPr>
          <w:lang w:val="en-US"/>
        </w:rPr>
      </w:pPr>
      <w:r>
        <w:rPr>
          <w:rStyle w:val="FootnoteReference"/>
        </w:rPr>
        <w:footnoteRef/>
      </w:r>
      <w:r w:rsidRPr="000A6092">
        <w:rPr>
          <w:lang w:val="en-US"/>
        </w:rPr>
        <w:t xml:space="preserve"> </w:t>
      </w:r>
      <w:r>
        <w:rPr>
          <w:lang w:val="en-US"/>
        </w:rPr>
        <w:t xml:space="preserve">R. PROBERT, </w:t>
      </w:r>
      <w:r>
        <w:rPr>
          <w:i/>
          <w:lang w:val="en-US"/>
        </w:rPr>
        <w:t xml:space="preserve">Family &amp; Succession Law - </w:t>
      </w:r>
      <w:r w:rsidRPr="00364708">
        <w:rPr>
          <w:i/>
          <w:lang w:val="en-US"/>
        </w:rPr>
        <w:t>England and Wales</w:t>
      </w:r>
      <w:r>
        <w:rPr>
          <w:lang w:val="en-US"/>
        </w:rPr>
        <w:t>, Nederland, Kluwer Law International, 2007, 137.</w:t>
      </w:r>
    </w:p>
  </w:footnote>
  <w:footnote w:id="391">
    <w:p w:rsidR="002A0E74" w:rsidRPr="00812D64" w:rsidRDefault="002A0E74" w:rsidP="00812D64">
      <w:pPr>
        <w:rPr>
          <w:sz w:val="20"/>
          <w:szCs w:val="20"/>
          <w:lang w:val="en-US"/>
        </w:rPr>
      </w:pPr>
      <w:r w:rsidRPr="00812D64">
        <w:rPr>
          <w:rStyle w:val="FootnoteReference"/>
          <w:sz w:val="20"/>
          <w:szCs w:val="20"/>
        </w:rPr>
        <w:footnoteRef/>
      </w:r>
      <w:r w:rsidRPr="00812D64">
        <w:rPr>
          <w:sz w:val="20"/>
          <w:szCs w:val="20"/>
          <w:lang w:val="en-US"/>
        </w:rPr>
        <w:t xml:space="preserve"> F. BURTON, </w:t>
      </w:r>
      <w:r w:rsidRPr="00812D64">
        <w:rPr>
          <w:i/>
          <w:sz w:val="20"/>
          <w:szCs w:val="20"/>
          <w:lang w:val="en-US"/>
        </w:rPr>
        <w:t>Family Law</w:t>
      </w:r>
      <w:r w:rsidRPr="00812D64">
        <w:rPr>
          <w:sz w:val="20"/>
          <w:szCs w:val="20"/>
          <w:lang w:val="en-US"/>
        </w:rPr>
        <w:t xml:space="preserve">, Londen, Routledge, 2015, 317; </w:t>
      </w:r>
      <w:r>
        <w:rPr>
          <w:sz w:val="20"/>
          <w:szCs w:val="20"/>
          <w:lang w:val="en-US"/>
        </w:rPr>
        <w:t xml:space="preserve">J. M. SCHERPE, </w:t>
      </w:r>
      <w:r w:rsidRPr="00812D64">
        <w:rPr>
          <w:sz w:val="20"/>
          <w:szCs w:val="20"/>
          <w:lang w:val="en-US"/>
        </w:rPr>
        <w:t xml:space="preserve">“Establishing and Ending Parental Responsibility: A Comparative View” in PROBERT, R., GILMORE, S. en HERRING, J. (eds.), </w:t>
      </w:r>
      <w:r w:rsidRPr="00812D64">
        <w:rPr>
          <w:i/>
          <w:sz w:val="20"/>
          <w:szCs w:val="20"/>
          <w:lang w:val="en-US"/>
        </w:rPr>
        <w:t>Responsible Parents &amp; Parental Responsibility</w:t>
      </w:r>
      <w:r w:rsidRPr="00812D64">
        <w:rPr>
          <w:sz w:val="20"/>
          <w:szCs w:val="20"/>
          <w:lang w:val="en-US"/>
        </w:rPr>
        <w:t xml:space="preserve">, Hart, Oxford, 2009, 53; S. GILMORE en L. GLENNON, </w:t>
      </w:r>
      <w:r w:rsidRPr="00812D64">
        <w:rPr>
          <w:i/>
          <w:sz w:val="20"/>
          <w:szCs w:val="20"/>
          <w:lang w:val="en-US"/>
        </w:rPr>
        <w:t>Hayes &amp; Williams’ Family Law</w:t>
      </w:r>
      <w:r w:rsidRPr="00812D64">
        <w:rPr>
          <w:sz w:val="20"/>
          <w:szCs w:val="20"/>
          <w:lang w:val="en-US"/>
        </w:rPr>
        <w:t xml:space="preserve">, Oxford, Oxford University Press, 2014, 378; J. HERRING, </w:t>
      </w:r>
      <w:r w:rsidRPr="00812D64">
        <w:rPr>
          <w:i/>
          <w:sz w:val="20"/>
          <w:szCs w:val="20"/>
          <w:lang w:val="en-US"/>
        </w:rPr>
        <w:t>Family Law,</w:t>
      </w:r>
      <w:r w:rsidRPr="00812D64">
        <w:rPr>
          <w:sz w:val="20"/>
          <w:szCs w:val="20"/>
          <w:lang w:val="en-US"/>
        </w:rPr>
        <w:t xml:space="preserve"> Harlow, Pearson, 2015, 410; R. PROBERT, </w:t>
      </w:r>
      <w:r w:rsidRPr="00812D64">
        <w:rPr>
          <w:i/>
          <w:sz w:val="20"/>
          <w:szCs w:val="20"/>
          <w:lang w:val="en-US"/>
        </w:rPr>
        <w:t>Family &amp; Succession Law - England and Wales</w:t>
      </w:r>
      <w:r w:rsidRPr="00812D64">
        <w:rPr>
          <w:sz w:val="20"/>
          <w:szCs w:val="20"/>
          <w:lang w:val="en-US"/>
        </w:rPr>
        <w:t>, Nederland, Kluwer Law International, 2007, 139.</w:t>
      </w:r>
    </w:p>
  </w:footnote>
  <w:footnote w:id="392">
    <w:p w:rsidR="002A0E74" w:rsidRPr="00395278" w:rsidRDefault="002A0E74">
      <w:pPr>
        <w:pStyle w:val="FootnoteText"/>
        <w:rPr>
          <w:lang w:val="en-US"/>
        </w:rPr>
      </w:pPr>
      <w:r>
        <w:rPr>
          <w:rStyle w:val="FootnoteReference"/>
        </w:rPr>
        <w:footnoteRef/>
      </w:r>
      <w:r w:rsidRPr="000A6092">
        <w:rPr>
          <w:lang w:val="en-US"/>
        </w:rPr>
        <w:t xml:space="preserve"> </w:t>
      </w:r>
      <w:r>
        <w:rPr>
          <w:lang w:val="en-US"/>
        </w:rPr>
        <w:t xml:space="preserve">S. 4(2A) CA.; S. GILMORE en L. GLENNON, </w:t>
      </w:r>
      <w:r w:rsidRPr="00E07F04">
        <w:rPr>
          <w:i/>
          <w:lang w:val="en-US"/>
        </w:rPr>
        <w:t>Hayes &amp; Williams’ Family Law</w:t>
      </w:r>
      <w:r>
        <w:rPr>
          <w:lang w:val="en-US"/>
        </w:rPr>
        <w:t xml:space="preserve">, Oxford, Oxford University Press, 2014, 378; R. PROBERT, </w:t>
      </w:r>
      <w:r>
        <w:rPr>
          <w:i/>
          <w:lang w:val="en-US"/>
        </w:rPr>
        <w:t>Family &amp; Succession Law -</w:t>
      </w:r>
      <w:r w:rsidRPr="00364708">
        <w:rPr>
          <w:i/>
          <w:lang w:val="en-US"/>
        </w:rPr>
        <w:t xml:space="preserve"> England and Wales</w:t>
      </w:r>
      <w:r>
        <w:rPr>
          <w:lang w:val="en-US"/>
        </w:rPr>
        <w:t>, Nederland, Kluwer Law International, 2007, 139.</w:t>
      </w:r>
    </w:p>
  </w:footnote>
  <w:footnote w:id="393">
    <w:p w:rsidR="002A0E74" w:rsidRPr="00395278" w:rsidRDefault="002A0E74" w:rsidP="00395278">
      <w:pPr>
        <w:pStyle w:val="FootnoteText"/>
        <w:rPr>
          <w:lang w:val="en-US"/>
        </w:rPr>
      </w:pPr>
      <w:r>
        <w:rPr>
          <w:rStyle w:val="FootnoteReference"/>
        </w:rPr>
        <w:footnoteRef/>
      </w:r>
      <w:r w:rsidRPr="000A6092">
        <w:rPr>
          <w:lang w:val="en-US"/>
        </w:rPr>
        <w:t xml:space="preserve"> </w:t>
      </w:r>
      <w:r>
        <w:rPr>
          <w:lang w:val="en-US"/>
        </w:rPr>
        <w:t xml:space="preserve">S. 6(7) </w:t>
      </w:r>
      <w:proofErr w:type="gramStart"/>
      <w:r>
        <w:rPr>
          <w:lang w:val="en-US"/>
        </w:rPr>
        <w:t>CA.;</w:t>
      </w:r>
      <w:proofErr w:type="gramEnd"/>
      <w:r>
        <w:rPr>
          <w:lang w:val="en-US"/>
        </w:rPr>
        <w:t xml:space="preserve"> R. PROBERT, </w:t>
      </w:r>
      <w:r>
        <w:rPr>
          <w:i/>
          <w:lang w:val="en-US"/>
        </w:rPr>
        <w:t>Family &amp; Succession Law -</w:t>
      </w:r>
      <w:r w:rsidRPr="00364708">
        <w:rPr>
          <w:i/>
          <w:lang w:val="en-US"/>
        </w:rPr>
        <w:t xml:space="preserve"> England and Wales</w:t>
      </w:r>
      <w:r>
        <w:rPr>
          <w:lang w:val="en-US"/>
        </w:rPr>
        <w:t>, Nederland, Kluwer Law International, 2007, 139.</w:t>
      </w:r>
    </w:p>
  </w:footnote>
  <w:footnote w:id="394">
    <w:p w:rsidR="002A0E74" w:rsidRPr="00395278" w:rsidRDefault="002A0E74">
      <w:pPr>
        <w:pStyle w:val="FootnoteText"/>
        <w:rPr>
          <w:lang w:val="en-US"/>
        </w:rPr>
      </w:pPr>
      <w:r>
        <w:rPr>
          <w:rStyle w:val="FootnoteReference"/>
        </w:rPr>
        <w:footnoteRef/>
      </w:r>
      <w:r w:rsidRPr="000A6092">
        <w:rPr>
          <w:lang w:val="en-US"/>
        </w:rPr>
        <w:t xml:space="preserve"> </w:t>
      </w:r>
      <w:r>
        <w:rPr>
          <w:lang w:val="en-US"/>
        </w:rPr>
        <w:t>S. 5(3) CA.; C. BARTON en G. DOUGLAS</w:t>
      </w:r>
      <w:r w:rsidRPr="00410F90">
        <w:rPr>
          <w:i/>
          <w:lang w:val="en-US"/>
        </w:rPr>
        <w:t>, Law and Parenthood</w:t>
      </w:r>
      <w:r>
        <w:rPr>
          <w:lang w:val="en-US"/>
        </w:rPr>
        <w:t xml:space="preserve">, Londen, Butterworths, 1995, 99; R. PROBERT, </w:t>
      </w:r>
      <w:r>
        <w:rPr>
          <w:i/>
          <w:lang w:val="en-US"/>
        </w:rPr>
        <w:t>Family &amp; Succession Law -</w:t>
      </w:r>
      <w:r w:rsidRPr="00364708">
        <w:rPr>
          <w:i/>
          <w:lang w:val="en-US"/>
        </w:rPr>
        <w:t xml:space="preserve"> England and Wales</w:t>
      </w:r>
      <w:r>
        <w:rPr>
          <w:lang w:val="en-US"/>
        </w:rPr>
        <w:t>, Nederland, Kluwer Law International, 2007, 130-131.</w:t>
      </w:r>
    </w:p>
  </w:footnote>
  <w:footnote w:id="395">
    <w:p w:rsidR="002A0E74" w:rsidRPr="000A6092" w:rsidRDefault="002A0E74">
      <w:pPr>
        <w:pStyle w:val="FootnoteText"/>
        <w:rPr>
          <w:lang w:val="en-US"/>
        </w:rPr>
      </w:pPr>
      <w:r>
        <w:rPr>
          <w:rStyle w:val="FootnoteReference"/>
        </w:rPr>
        <w:footnoteRef/>
      </w:r>
      <w:r w:rsidRPr="000A6092">
        <w:rPr>
          <w:lang w:val="en-US"/>
        </w:rPr>
        <w:t xml:space="preserve"> </w:t>
      </w:r>
      <w:proofErr w:type="gramStart"/>
      <w:r w:rsidRPr="000A6092">
        <w:rPr>
          <w:lang w:val="en-US"/>
        </w:rPr>
        <w:t>S. 8(1) en 12(2) CA.</w:t>
      </w:r>
      <w:proofErr w:type="gramEnd"/>
    </w:p>
  </w:footnote>
  <w:footnote w:id="396">
    <w:p w:rsidR="002A0E74" w:rsidRPr="000A6092" w:rsidRDefault="002A0E74">
      <w:pPr>
        <w:pStyle w:val="FootnoteText"/>
        <w:rPr>
          <w:lang w:val="en-US"/>
        </w:rPr>
      </w:pPr>
      <w:r>
        <w:rPr>
          <w:rStyle w:val="FootnoteReference"/>
        </w:rPr>
        <w:footnoteRef/>
      </w:r>
      <w:r w:rsidRPr="000A6092">
        <w:rPr>
          <w:lang w:val="en-US"/>
        </w:rPr>
        <w:t xml:space="preserve"> S. 8(1) en 12(2) </w:t>
      </w:r>
      <w:proofErr w:type="gramStart"/>
      <w:r w:rsidRPr="000A6092">
        <w:rPr>
          <w:lang w:val="en-US"/>
        </w:rPr>
        <w:t>CA.;</w:t>
      </w:r>
      <w:proofErr w:type="gramEnd"/>
      <w:r w:rsidRPr="00F0497C">
        <w:rPr>
          <w:lang w:val="en-US"/>
        </w:rPr>
        <w:t xml:space="preserve"> </w:t>
      </w:r>
      <w:r>
        <w:rPr>
          <w:lang w:val="en-US"/>
        </w:rPr>
        <w:t xml:space="preserve">R. PROBERT, </w:t>
      </w:r>
      <w:r>
        <w:rPr>
          <w:i/>
          <w:lang w:val="en-US"/>
        </w:rPr>
        <w:t>Family &amp; Succession Law -</w:t>
      </w:r>
      <w:r w:rsidRPr="00364708">
        <w:rPr>
          <w:i/>
          <w:lang w:val="en-US"/>
        </w:rPr>
        <w:t xml:space="preserve"> England and Wales</w:t>
      </w:r>
      <w:r>
        <w:rPr>
          <w:lang w:val="en-US"/>
        </w:rPr>
        <w:t>, Nederland, Kluwer Law International, 2007, 138</w:t>
      </w:r>
      <w:r w:rsidRPr="000A6092">
        <w:rPr>
          <w:lang w:val="en-US"/>
        </w:rPr>
        <w:t>.</w:t>
      </w:r>
    </w:p>
  </w:footnote>
  <w:footnote w:id="397">
    <w:p w:rsidR="002A0E74" w:rsidRPr="000A6092" w:rsidRDefault="002A0E74" w:rsidP="00550184">
      <w:pPr>
        <w:pStyle w:val="FootnoteText"/>
        <w:rPr>
          <w:lang w:val="en-US"/>
        </w:rPr>
      </w:pPr>
      <w:r>
        <w:rPr>
          <w:rStyle w:val="FootnoteReference"/>
        </w:rPr>
        <w:footnoteRef/>
      </w:r>
      <w:r w:rsidRPr="000A6092">
        <w:rPr>
          <w:lang w:val="en-US"/>
        </w:rPr>
        <w:t xml:space="preserve"> S. </w:t>
      </w:r>
      <w:proofErr w:type="gramStart"/>
      <w:r w:rsidRPr="000A6092">
        <w:rPr>
          <w:lang w:val="en-US"/>
        </w:rPr>
        <w:t>4A(</w:t>
      </w:r>
      <w:proofErr w:type="gramEnd"/>
      <w:r w:rsidRPr="000A6092">
        <w:rPr>
          <w:lang w:val="en-US"/>
        </w:rPr>
        <w:t>3) CA.</w:t>
      </w:r>
    </w:p>
  </w:footnote>
  <w:footnote w:id="398">
    <w:p w:rsidR="002A0E74" w:rsidRPr="000A6092" w:rsidRDefault="002A0E74" w:rsidP="00550184">
      <w:pPr>
        <w:pStyle w:val="FootnoteText"/>
        <w:rPr>
          <w:smallCaps/>
          <w:lang w:val="en-US"/>
        </w:rPr>
      </w:pPr>
      <w:r>
        <w:rPr>
          <w:rStyle w:val="FootnoteReference"/>
        </w:rPr>
        <w:footnoteRef/>
      </w:r>
      <w:r w:rsidRPr="000A6092">
        <w:rPr>
          <w:lang w:val="en-US"/>
        </w:rPr>
        <w:t xml:space="preserve"> J. HERRING, </w:t>
      </w:r>
      <w:r w:rsidRPr="000A6092">
        <w:rPr>
          <w:i/>
          <w:lang w:val="en-US"/>
        </w:rPr>
        <w:t>Family Law,</w:t>
      </w:r>
      <w:r w:rsidRPr="000A6092">
        <w:rPr>
          <w:lang w:val="en-US"/>
        </w:rPr>
        <w:t xml:space="preserve"> Harlow, </w:t>
      </w:r>
      <w:r>
        <w:rPr>
          <w:lang w:val="en-US"/>
        </w:rPr>
        <w:t>Pearson, 2015, 246.</w:t>
      </w:r>
    </w:p>
  </w:footnote>
  <w:footnote w:id="399">
    <w:p w:rsidR="002A0E74" w:rsidRDefault="002A0E74" w:rsidP="00A7468F">
      <w:pPr>
        <w:autoSpaceDE w:val="0"/>
        <w:autoSpaceDN w:val="0"/>
        <w:adjustRightInd w:val="0"/>
      </w:pPr>
      <w:r w:rsidRPr="00187999">
        <w:rPr>
          <w:rStyle w:val="FootnoteReference"/>
          <w:sz w:val="20"/>
          <w:szCs w:val="20"/>
        </w:rPr>
        <w:footnoteRef/>
      </w:r>
      <w:r w:rsidRPr="00187999">
        <w:rPr>
          <w:sz w:val="20"/>
          <w:szCs w:val="20"/>
        </w:rPr>
        <w:t xml:space="preserve"> </w:t>
      </w:r>
      <w:r w:rsidRPr="00187999">
        <w:rPr>
          <w:sz w:val="20"/>
          <w:szCs w:val="20"/>
        </w:rPr>
        <w:t xml:space="preserve">Voorstel van wet tot wijziging van de wetgeving betreffende de bescherming van het kind wat de invoering van </w:t>
      </w:r>
      <w:r>
        <w:rPr>
          <w:sz w:val="20"/>
          <w:szCs w:val="20"/>
        </w:rPr>
        <w:t xml:space="preserve">het zorgouderschap betreft, </w:t>
      </w:r>
      <w:r>
        <w:rPr>
          <w:i/>
          <w:iCs/>
          <w:sz w:val="20"/>
          <w:szCs w:val="20"/>
        </w:rPr>
        <w:t>Parl.</w:t>
      </w:r>
      <w:r w:rsidRPr="00204254">
        <w:rPr>
          <w:i/>
          <w:iCs/>
          <w:sz w:val="20"/>
          <w:szCs w:val="20"/>
        </w:rPr>
        <w:t>St.</w:t>
      </w:r>
      <w:r w:rsidRPr="00187999">
        <w:rPr>
          <w:sz w:val="20"/>
          <w:szCs w:val="20"/>
        </w:rPr>
        <w:t xml:space="preserve"> Kamer 2014, nr. 54-0114/001; Voorstel van wet teneinde het zorgouderschap in het </w:t>
      </w:r>
      <w:r w:rsidRPr="00A7468F">
        <w:rPr>
          <w:sz w:val="20"/>
          <w:szCs w:val="20"/>
        </w:rPr>
        <w:t xml:space="preserve">Burgerlijk Wetboek op te nemen, </w:t>
      </w:r>
      <w:r>
        <w:rPr>
          <w:i/>
          <w:iCs/>
          <w:sz w:val="20"/>
          <w:szCs w:val="20"/>
        </w:rPr>
        <w:t>Parl.</w:t>
      </w:r>
      <w:r w:rsidRPr="00A7468F">
        <w:rPr>
          <w:i/>
          <w:iCs/>
          <w:sz w:val="20"/>
          <w:szCs w:val="20"/>
        </w:rPr>
        <w:t>St</w:t>
      </w:r>
      <w:r w:rsidRPr="00A7468F">
        <w:rPr>
          <w:sz w:val="20"/>
          <w:szCs w:val="20"/>
        </w:rPr>
        <w:t xml:space="preserve">. Kamer 2014, nr. 54-0194/001; Verslag namens de Commissie over het verzoek tot het opstellen van een informatieverslag betreffende een onderzoek van de mogelijkheden voor een wettelijke regeling van meeouderschap, </w:t>
      </w:r>
      <w:r w:rsidRPr="00A7468F">
        <w:rPr>
          <w:i/>
          <w:iCs/>
          <w:sz w:val="20"/>
          <w:szCs w:val="20"/>
        </w:rPr>
        <w:t>Parl.St.</w:t>
      </w:r>
      <w:r w:rsidRPr="00A7468F">
        <w:rPr>
          <w:sz w:val="20"/>
          <w:szCs w:val="20"/>
        </w:rPr>
        <w:t xml:space="preserve"> Senaat 2015-16, nr. 6-98/2.</w:t>
      </w:r>
    </w:p>
  </w:footnote>
  <w:footnote w:id="400">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nr. 54-0114/001</w:t>
      </w:r>
      <w:r>
        <w:t>, 1</w:t>
      </w:r>
      <w:r w:rsidRPr="00187999">
        <w:t xml:space="preserve">; Voorstel van wet teneinde het zorgouderschap in het Burgerlijk Wetboek op te nemen, </w:t>
      </w:r>
      <w:r>
        <w:rPr>
          <w:i/>
          <w:iCs/>
        </w:rPr>
        <w:t>Parl.</w:t>
      </w:r>
      <w:r w:rsidRPr="00204254">
        <w:rPr>
          <w:i/>
          <w:iCs/>
        </w:rPr>
        <w:t>St</w:t>
      </w:r>
      <w:r w:rsidRPr="00187999">
        <w:t>. Kamer 2014, n</w:t>
      </w:r>
      <w:r>
        <w:t>r. 54-0194/001, 1.</w:t>
      </w:r>
    </w:p>
  </w:footnote>
  <w:footnote w:id="401">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nr. 54-0114/001</w:t>
      </w:r>
      <w:r>
        <w:t>, 3.</w:t>
      </w:r>
    </w:p>
  </w:footnote>
  <w:footnote w:id="402">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nr. 54-0114/001</w:t>
      </w:r>
      <w:r>
        <w:t xml:space="preserve">, 4; </w:t>
      </w:r>
      <w:r w:rsidRPr="00340AF9">
        <w:t xml:space="preserve">Voorstel van wet teneinde het zorgouderschap in het Burgerlijk Wetboek op te nemen, </w:t>
      </w:r>
      <w:r>
        <w:rPr>
          <w:i/>
          <w:iCs/>
        </w:rPr>
        <w:t>Parl.</w:t>
      </w:r>
      <w:r w:rsidRPr="00340AF9">
        <w:rPr>
          <w:i/>
          <w:iCs/>
        </w:rPr>
        <w:t>St</w:t>
      </w:r>
      <w:r w:rsidRPr="00340AF9">
        <w:t>. Kamer 2014, nr. 54-0194/001,</w:t>
      </w:r>
      <w:r>
        <w:t>4-5.</w:t>
      </w:r>
    </w:p>
  </w:footnote>
  <w:footnote w:id="403">
    <w:p w:rsidR="002A0E74" w:rsidRDefault="002A0E74" w:rsidP="00594EF7">
      <w:r w:rsidRPr="00187999">
        <w:rPr>
          <w:rStyle w:val="FootnoteReference"/>
          <w:sz w:val="20"/>
          <w:szCs w:val="20"/>
        </w:rPr>
        <w:footnoteRef/>
      </w:r>
      <w:r w:rsidRPr="00187999">
        <w:rPr>
          <w:sz w:val="20"/>
          <w:szCs w:val="20"/>
        </w:rPr>
        <w:t xml:space="preserve"> </w:t>
      </w:r>
      <w:r w:rsidRPr="00187999">
        <w:rPr>
          <w:sz w:val="20"/>
          <w:szCs w:val="20"/>
        </w:rPr>
        <w:t xml:space="preserve">Voorstel </w:t>
      </w:r>
      <w:r w:rsidRPr="00340AF9">
        <w:rPr>
          <w:sz w:val="20"/>
          <w:szCs w:val="20"/>
        </w:rPr>
        <w:t xml:space="preserve">van wet tot wijziging van de wetgeving betreffende de bescherming van het kind wat de invoering van het zorgouderschap betreft, </w:t>
      </w:r>
      <w:r>
        <w:rPr>
          <w:i/>
          <w:iCs/>
          <w:sz w:val="20"/>
          <w:szCs w:val="20"/>
        </w:rPr>
        <w:t>Parl.</w:t>
      </w:r>
      <w:r w:rsidRPr="00340AF9">
        <w:rPr>
          <w:i/>
          <w:iCs/>
          <w:sz w:val="20"/>
          <w:szCs w:val="20"/>
        </w:rPr>
        <w:t>St.</w:t>
      </w:r>
      <w:r w:rsidRPr="00340AF9">
        <w:rPr>
          <w:sz w:val="20"/>
          <w:szCs w:val="20"/>
        </w:rPr>
        <w:t xml:space="preserve"> Kamer 2014, nr. 54-0114/001, 1 en 8; Voorstel van wet teneinde het zorgouderschap in het Burgerlijk Wetboek op te nemen, </w:t>
      </w:r>
      <w:r>
        <w:rPr>
          <w:i/>
          <w:iCs/>
          <w:sz w:val="20"/>
          <w:szCs w:val="20"/>
        </w:rPr>
        <w:t>Parl.</w:t>
      </w:r>
      <w:r w:rsidRPr="00340AF9">
        <w:rPr>
          <w:i/>
          <w:iCs/>
          <w:sz w:val="20"/>
          <w:szCs w:val="20"/>
        </w:rPr>
        <w:t>St</w:t>
      </w:r>
      <w:r w:rsidRPr="00340AF9">
        <w:rPr>
          <w:sz w:val="20"/>
          <w:szCs w:val="20"/>
        </w:rPr>
        <w:t xml:space="preserve">. Kamer 2014, nr. 54-0194/001, 1 en 3; </w:t>
      </w:r>
      <w:r w:rsidRPr="00187999">
        <w:rPr>
          <w:smallCaps/>
          <w:sz w:val="20"/>
          <w:szCs w:val="20"/>
        </w:rPr>
        <w:t xml:space="preserve">A. </w:t>
      </w:r>
      <w:r>
        <w:rPr>
          <w:smallCaps/>
          <w:sz w:val="20"/>
          <w:szCs w:val="20"/>
        </w:rPr>
        <w:t>HUYGENS,</w:t>
      </w:r>
      <w:r w:rsidRPr="00187999">
        <w:rPr>
          <w:smallCaps/>
          <w:sz w:val="20"/>
          <w:szCs w:val="20"/>
        </w:rPr>
        <w:t xml:space="preserve"> </w:t>
      </w:r>
      <w:r w:rsidRPr="00187999">
        <w:rPr>
          <w:sz w:val="20"/>
          <w:szCs w:val="20"/>
        </w:rPr>
        <w:t xml:space="preserve">“Persoonlijk gezag over minderjarige kinderen: quo vadis?”, </w:t>
      </w:r>
      <w:r w:rsidRPr="00187999">
        <w:rPr>
          <w:i/>
          <w:iCs/>
          <w:sz w:val="20"/>
          <w:szCs w:val="20"/>
        </w:rPr>
        <w:t>TBBR</w:t>
      </w:r>
      <w:r>
        <w:rPr>
          <w:sz w:val="20"/>
          <w:szCs w:val="20"/>
        </w:rPr>
        <w:t xml:space="preserve"> 2006, afl. 10, (567) 582, nr. 38.</w:t>
      </w:r>
    </w:p>
  </w:footnote>
  <w:footnote w:id="404">
    <w:p w:rsidR="002A0E74" w:rsidRDefault="002A0E74">
      <w:pPr>
        <w:pStyle w:val="FootnoteText"/>
      </w:pPr>
      <w:r>
        <w:rPr>
          <w:rStyle w:val="FootnoteReference"/>
        </w:rPr>
        <w:footnoteRef/>
      </w:r>
      <w:r>
        <w:t xml:space="preserve"> </w:t>
      </w:r>
      <w:r w:rsidRPr="00187999">
        <w:t xml:space="preserve">Voorstel </w:t>
      </w:r>
      <w:r w:rsidRPr="00340AF9">
        <w:t xml:space="preserve">van wet tot wijziging van de wetgeving betreffende de bescherming van het kind wat de invoering van het zorgouderschap betreft, </w:t>
      </w:r>
      <w:r>
        <w:rPr>
          <w:i/>
          <w:iCs/>
        </w:rPr>
        <w:t>Parl.</w:t>
      </w:r>
      <w:r w:rsidRPr="00340AF9">
        <w:rPr>
          <w:i/>
          <w:iCs/>
        </w:rPr>
        <w:t>St.</w:t>
      </w:r>
      <w:r w:rsidRPr="00340AF9">
        <w:t xml:space="preserve"> Kamer 2014, nr. 54-0114/001,</w:t>
      </w:r>
      <w:r>
        <w:t xml:space="preserve"> 6.</w:t>
      </w:r>
    </w:p>
  </w:footnote>
  <w:footnote w:id="405">
    <w:p w:rsidR="002A0E74" w:rsidRDefault="002A0E74">
      <w:pPr>
        <w:pStyle w:val="FootnoteText"/>
      </w:pPr>
      <w:r>
        <w:rPr>
          <w:rStyle w:val="FootnoteReference"/>
        </w:rPr>
        <w:footnoteRef/>
      </w:r>
      <w:r>
        <w:t xml:space="preserve"> </w:t>
      </w:r>
      <w:r w:rsidRPr="00187999">
        <w:t xml:space="preserve">Voorstel </w:t>
      </w:r>
      <w:r w:rsidRPr="00340AF9">
        <w:t xml:space="preserve">van wet tot wijziging van de wetgeving betreffende de bescherming van het kind wat de invoering van het zorgouderschap betreft, </w:t>
      </w:r>
      <w:r>
        <w:rPr>
          <w:i/>
          <w:iCs/>
        </w:rPr>
        <w:t>Parl.</w:t>
      </w:r>
      <w:r w:rsidRPr="00340AF9">
        <w:rPr>
          <w:i/>
          <w:iCs/>
        </w:rPr>
        <w:t>St.</w:t>
      </w:r>
      <w:r w:rsidRPr="00340AF9">
        <w:t xml:space="preserve"> Kamer 2014, nr. 54-0114/001,</w:t>
      </w:r>
      <w:r>
        <w:t xml:space="preserve"> 6.</w:t>
      </w:r>
    </w:p>
  </w:footnote>
  <w:footnote w:id="406">
    <w:p w:rsidR="002A0E74" w:rsidRDefault="002A0E74">
      <w:pPr>
        <w:pStyle w:val="FootnoteText"/>
      </w:pPr>
      <w:r>
        <w:rPr>
          <w:rStyle w:val="FootnoteReference"/>
        </w:rPr>
        <w:footnoteRef/>
      </w:r>
      <w:r>
        <w:t xml:space="preserve"> </w:t>
      </w:r>
      <w:r w:rsidRPr="00187999">
        <w:t xml:space="preserve">Voorstel </w:t>
      </w:r>
      <w:r w:rsidRPr="00340AF9">
        <w:t xml:space="preserve">van wet tot wijziging van de wetgeving betreffende de bescherming van het kind wat de invoering van het zorgouderschap betreft, </w:t>
      </w:r>
      <w:r>
        <w:rPr>
          <w:i/>
          <w:iCs/>
        </w:rPr>
        <w:t>Parl.</w:t>
      </w:r>
      <w:r w:rsidRPr="00340AF9">
        <w:rPr>
          <w:i/>
          <w:iCs/>
        </w:rPr>
        <w:t>St.</w:t>
      </w:r>
      <w:r w:rsidRPr="00340AF9">
        <w:t xml:space="preserve"> Kamer 2014, nr. 54-0114/001,</w:t>
      </w:r>
      <w:r>
        <w:t xml:space="preserve"> 7.</w:t>
      </w:r>
    </w:p>
  </w:footnote>
  <w:footnote w:id="407">
    <w:p w:rsidR="002A0E74" w:rsidRDefault="002A0E74" w:rsidP="00594EF7">
      <w:r w:rsidRPr="00187999">
        <w:rPr>
          <w:rStyle w:val="FootnoteReference"/>
          <w:sz w:val="20"/>
          <w:szCs w:val="20"/>
        </w:rPr>
        <w:footnoteRef/>
      </w:r>
      <w:r w:rsidRPr="00187999">
        <w:rPr>
          <w:sz w:val="20"/>
          <w:szCs w:val="20"/>
        </w:rPr>
        <w:t xml:space="preserve"> </w:t>
      </w:r>
      <w:r w:rsidRPr="00187999">
        <w:rPr>
          <w:sz w:val="20"/>
          <w:szCs w:val="20"/>
        </w:rPr>
        <w:t xml:space="preserve">Voorstel van wet tot wijziging van de wetgeving betreffende de bescherming van het kind wat de invoering van </w:t>
      </w:r>
      <w:r>
        <w:rPr>
          <w:sz w:val="20"/>
          <w:szCs w:val="20"/>
        </w:rPr>
        <w:t xml:space="preserve">het </w:t>
      </w:r>
      <w:r w:rsidRPr="00340AF9">
        <w:rPr>
          <w:sz w:val="20"/>
          <w:szCs w:val="20"/>
        </w:rPr>
        <w:t xml:space="preserve">zorgouderschap betreft, </w:t>
      </w:r>
      <w:r>
        <w:rPr>
          <w:i/>
          <w:iCs/>
          <w:sz w:val="20"/>
          <w:szCs w:val="20"/>
        </w:rPr>
        <w:t>Parl.</w:t>
      </w:r>
      <w:r w:rsidRPr="00340AF9">
        <w:rPr>
          <w:i/>
          <w:iCs/>
          <w:sz w:val="20"/>
          <w:szCs w:val="20"/>
        </w:rPr>
        <w:t>St.</w:t>
      </w:r>
      <w:r w:rsidRPr="00340AF9">
        <w:rPr>
          <w:sz w:val="20"/>
          <w:szCs w:val="20"/>
        </w:rPr>
        <w:t xml:space="preserve"> Kamer 2014, nr. 54-0114/001, 6 en 8-9; Voorstel van wet teneinde het zorgouderschap in het Burgerlijk Wetboek op te nemen, </w:t>
      </w:r>
      <w:r>
        <w:rPr>
          <w:i/>
          <w:iCs/>
          <w:sz w:val="20"/>
          <w:szCs w:val="20"/>
        </w:rPr>
        <w:t>Parl.</w:t>
      </w:r>
      <w:r w:rsidRPr="00340AF9">
        <w:rPr>
          <w:i/>
          <w:iCs/>
          <w:sz w:val="20"/>
          <w:szCs w:val="20"/>
        </w:rPr>
        <w:t>St</w:t>
      </w:r>
      <w:r w:rsidRPr="00340AF9">
        <w:rPr>
          <w:sz w:val="20"/>
          <w:szCs w:val="20"/>
        </w:rPr>
        <w:t>. Kamer 2014, nr. 54-0194/001, 1 en 3.</w:t>
      </w:r>
    </w:p>
  </w:footnote>
  <w:footnote w:id="408">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nr. 54-0114/001</w:t>
      </w:r>
      <w:r>
        <w:t>, 6.</w:t>
      </w:r>
    </w:p>
  </w:footnote>
  <w:footnote w:id="409">
    <w:p w:rsidR="002A0E74" w:rsidRPr="00C96DA7"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nr. 54-0114/001</w:t>
      </w:r>
      <w:r>
        <w:t>, 7.</w:t>
      </w:r>
    </w:p>
  </w:footnote>
  <w:footnote w:id="410">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w:t>
      </w:r>
      <w:r>
        <w:t>nr. 54-0114/001, 10 en 24.</w:t>
      </w:r>
    </w:p>
  </w:footnote>
  <w:footnote w:id="411">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w:t>
      </w:r>
      <w:r>
        <w:t xml:space="preserve"> Kamer 2014, nr. 54-0114/001, 10.</w:t>
      </w:r>
    </w:p>
  </w:footnote>
  <w:footnote w:id="412">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sidRPr="00204254">
        <w:rPr>
          <w:i/>
          <w:iCs/>
        </w:rPr>
        <w:t>Parl.St</w:t>
      </w:r>
      <w:r w:rsidRPr="00187999">
        <w:t>.</w:t>
      </w:r>
      <w:r>
        <w:t xml:space="preserve"> Kamer 2014, nr. 54-0114/001, 15.</w:t>
      </w:r>
    </w:p>
  </w:footnote>
  <w:footnote w:id="413">
    <w:p w:rsidR="002A0E74" w:rsidRDefault="002A0E74" w:rsidP="00A6770A">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t>. Kamer 2014, nr. 54-0114/001, 7</w:t>
      </w:r>
      <w:r w:rsidRPr="00187999">
        <w:t>.</w:t>
      </w:r>
    </w:p>
  </w:footnote>
  <w:footnote w:id="414">
    <w:p w:rsidR="002A0E74" w:rsidRDefault="002A0E74" w:rsidP="00A6770A">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t>. Kamer 2014, nr. 54-0114/001, 10</w:t>
      </w:r>
      <w:r w:rsidRPr="00187999">
        <w:t>.</w:t>
      </w:r>
    </w:p>
  </w:footnote>
  <w:footnote w:id="415">
    <w:p w:rsidR="002A0E74" w:rsidRDefault="002A0E74">
      <w:pPr>
        <w:pStyle w:val="FootnoteText"/>
      </w:pPr>
      <w:r>
        <w:rPr>
          <w:rStyle w:val="FootnoteReference"/>
        </w:rPr>
        <w:footnoteRef/>
      </w:r>
      <w:r>
        <w:t xml:space="preserve">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t xml:space="preserve"> 2006, afl. 10, (567)</w:t>
      </w:r>
      <w:r w:rsidRPr="00187999">
        <w:t xml:space="preserve"> </w:t>
      </w:r>
      <w:r>
        <w:t>584, nr. 43.</w:t>
      </w:r>
    </w:p>
  </w:footnote>
  <w:footnote w:id="416">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t xml:space="preserve">. Kamer 2014, nr. 54-0114/001, 7; </w:t>
      </w:r>
      <w:r w:rsidRPr="00340AF9">
        <w:t xml:space="preserve">Voorstel van wet teneinde het zorgouderschap in het Burgerlijk Wetboek op te nemen, </w:t>
      </w:r>
      <w:r>
        <w:rPr>
          <w:i/>
          <w:iCs/>
        </w:rPr>
        <w:t>Parl.</w:t>
      </w:r>
      <w:r w:rsidRPr="00340AF9">
        <w:rPr>
          <w:i/>
          <w:iCs/>
        </w:rPr>
        <w:t>St</w:t>
      </w:r>
      <w:r w:rsidRPr="00340AF9">
        <w:t>. Kame</w:t>
      </w:r>
      <w:r>
        <w:t xml:space="preserve">r 2014, nr. 54-0194/001, 7;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t xml:space="preserve"> 2006, afl. 10, (567)</w:t>
      </w:r>
      <w:r w:rsidRPr="00187999">
        <w:t xml:space="preserve"> </w:t>
      </w:r>
      <w:r>
        <w:t>584, nr. 43.</w:t>
      </w:r>
    </w:p>
  </w:footnote>
  <w:footnote w:id="417">
    <w:p w:rsidR="002A0E74" w:rsidRDefault="002A0E74" w:rsidP="004F6808">
      <w:pPr>
        <w:pStyle w:val="FootnoteText"/>
      </w:pPr>
      <w:r w:rsidRPr="00187999">
        <w:rPr>
          <w:rStyle w:val="FootnoteReference"/>
        </w:rPr>
        <w:footnoteRef/>
      </w:r>
      <w:r w:rsidRPr="00187999">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nr. 54-0114/001, 14.</w:t>
      </w:r>
    </w:p>
  </w:footnote>
  <w:footnote w:id="418">
    <w:p w:rsidR="002A0E74" w:rsidRDefault="002A0E74" w:rsidP="004F6808">
      <w:pPr>
        <w:pStyle w:val="FootnoteText"/>
      </w:pPr>
      <w:r w:rsidRPr="00187999">
        <w:rPr>
          <w:rStyle w:val="FootnoteReference"/>
        </w:rPr>
        <w:footnoteRef/>
      </w:r>
      <w:r w:rsidRPr="00187999">
        <w:t xml:space="preserve"> </w:t>
      </w:r>
      <w:r w:rsidRPr="00187999">
        <w:t>Voorstel van wet tot wijziging van de wetgeving betreffende de bescherming van het kind wat de invoering van het zorgouderschap betref</w:t>
      </w:r>
      <w:r>
        <w:t xml:space="preserve">t, </w:t>
      </w:r>
      <w:r>
        <w:rPr>
          <w:i/>
          <w:iCs/>
        </w:rPr>
        <w:t>Parl.</w:t>
      </w:r>
      <w:r w:rsidRPr="00204254">
        <w:rPr>
          <w:i/>
          <w:iCs/>
        </w:rPr>
        <w:t>St.</w:t>
      </w:r>
      <w:r w:rsidRPr="00187999">
        <w:t xml:space="preserve"> Kamer 2014, nr. 54-0114/001, 14.</w:t>
      </w:r>
    </w:p>
  </w:footnote>
  <w:footnote w:id="419">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t xml:space="preserve">. Kamer 2014, nr. 54-0114/001, 14; </w:t>
      </w:r>
      <w:r w:rsidRPr="00340AF9">
        <w:t xml:space="preserve">Voorstel van wet teneinde het zorgouderschap in het Burgerlijk Wetboek op te nemen, </w:t>
      </w:r>
      <w:r>
        <w:rPr>
          <w:i/>
          <w:iCs/>
        </w:rPr>
        <w:t>Parl.</w:t>
      </w:r>
      <w:r w:rsidRPr="00340AF9">
        <w:rPr>
          <w:i/>
          <w:iCs/>
        </w:rPr>
        <w:t>St</w:t>
      </w:r>
      <w:r w:rsidRPr="00340AF9">
        <w:t>. Kamer 2014, nr. 54-0194/001,</w:t>
      </w:r>
      <w:r>
        <w:t xml:space="preserve"> 12.</w:t>
      </w:r>
    </w:p>
  </w:footnote>
  <w:footnote w:id="420">
    <w:p w:rsidR="002A0E74" w:rsidRDefault="002A0E74" w:rsidP="004F6808">
      <w:pPr>
        <w:pStyle w:val="FootnoteText"/>
      </w:pPr>
      <w:r w:rsidRPr="00187999">
        <w:rPr>
          <w:rStyle w:val="FootnoteReference"/>
        </w:rPr>
        <w:footnoteRef/>
      </w:r>
      <w:r w:rsidRPr="00187999">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nr. 54-0114/001, 7; Voorstel van wet teneinde het zorgouderschap in het Burgerlijk Wetboek op te nemen, </w:t>
      </w:r>
      <w:r>
        <w:rPr>
          <w:i/>
          <w:iCs/>
        </w:rPr>
        <w:t>Parl.</w:t>
      </w:r>
      <w:r w:rsidRPr="00204254">
        <w:rPr>
          <w:i/>
          <w:iCs/>
        </w:rPr>
        <w:t>St.</w:t>
      </w:r>
      <w:r>
        <w:t xml:space="preserve"> Kamer 2014, nr. 54-0194/001, 7; </w:t>
      </w:r>
      <w:r w:rsidRPr="00187999">
        <w:rPr>
          <w:smallCaps/>
        </w:rPr>
        <w:t xml:space="preserve">A. </w:t>
      </w:r>
      <w:r>
        <w:rPr>
          <w:smallCaps/>
        </w:rPr>
        <w:t>HUYGENS,</w:t>
      </w:r>
      <w:r w:rsidRPr="00187999">
        <w:rPr>
          <w:smallCaps/>
        </w:rPr>
        <w:t xml:space="preserve"> </w:t>
      </w:r>
      <w:r w:rsidRPr="00187999">
        <w:t xml:space="preserve">“Persoonlijk gezag over minderjarige kinderen: quo vadis?”, </w:t>
      </w:r>
      <w:r w:rsidRPr="00187999">
        <w:rPr>
          <w:i/>
          <w:iCs/>
        </w:rPr>
        <w:t>TBBR</w:t>
      </w:r>
      <w:r>
        <w:t xml:space="preserve"> 2006, afl. 10, (567)</w:t>
      </w:r>
      <w:r w:rsidRPr="00187999">
        <w:t xml:space="preserve"> </w:t>
      </w:r>
      <w:r>
        <w:t>584, nr. 43.</w:t>
      </w:r>
    </w:p>
  </w:footnote>
  <w:footnote w:id="421">
    <w:p w:rsidR="002A0E74" w:rsidRDefault="002A0E74" w:rsidP="00ED4252">
      <w:pPr>
        <w:pStyle w:val="FootnoteText"/>
      </w:pPr>
      <w:r w:rsidRPr="00187999">
        <w:rPr>
          <w:rStyle w:val="FootnoteReference"/>
        </w:rPr>
        <w:footnoteRef/>
      </w:r>
      <w:r w:rsidRPr="00187999">
        <w:t xml:space="preserve"> </w:t>
      </w:r>
      <w:r w:rsidRPr="00187999">
        <w:rPr>
          <w:smallCaps/>
        </w:rPr>
        <w:t xml:space="preserve">M. </w:t>
      </w:r>
      <w:r>
        <w:rPr>
          <w:smallCaps/>
        </w:rPr>
        <w:t>VONK</w:t>
      </w:r>
      <w:r w:rsidRPr="00187999">
        <w:rPr>
          <w:smallCaps/>
        </w:rPr>
        <w:t xml:space="preserve">, </w:t>
      </w:r>
      <w:r w:rsidRPr="00187999">
        <w:t xml:space="preserve">“Een huis voor alle kinderen. De juridische verankering van intentionele meeroudergezinnen in het afstammingsrecht.”, </w:t>
      </w:r>
      <w:r w:rsidRPr="00187999">
        <w:rPr>
          <w:i/>
          <w:iCs/>
        </w:rPr>
        <w:t>Nederlands Juristenblad</w:t>
      </w:r>
      <w:r w:rsidRPr="00187999">
        <w:t xml:space="preserve"> 2013, afl. 33, </w:t>
      </w:r>
      <w:r>
        <w:t xml:space="preserve">(2244) </w:t>
      </w:r>
      <w:r w:rsidRPr="00187999">
        <w:t>2245.</w:t>
      </w:r>
    </w:p>
  </w:footnote>
  <w:footnote w:id="422">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Kamer 2014, nr. 54-0114/001</w:t>
      </w:r>
      <w:r>
        <w:t>, 27.</w:t>
      </w:r>
    </w:p>
  </w:footnote>
  <w:footnote w:id="423">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Kamer 2014, nr. 54-0114/001</w:t>
      </w:r>
      <w:r>
        <w:t>, 27.</w:t>
      </w:r>
    </w:p>
  </w:footnote>
  <w:footnote w:id="424">
    <w:p w:rsidR="002A0E74" w:rsidRDefault="002A0E74" w:rsidP="00A56DFD">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Kamer 2014, nr. 54-0114/001</w:t>
      </w:r>
      <w:r>
        <w:t>, 27.</w:t>
      </w:r>
    </w:p>
  </w:footnote>
  <w:footnote w:id="425">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Kamer 2014, nr. 54-0114/001</w:t>
      </w:r>
      <w:r>
        <w:t>, 15.</w:t>
      </w:r>
    </w:p>
  </w:footnote>
  <w:footnote w:id="426">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Kamer 2014, nr. 54-0114/001</w:t>
      </w:r>
      <w:r>
        <w:t>, 12.</w:t>
      </w:r>
    </w:p>
  </w:footnote>
  <w:footnote w:id="427">
    <w:p w:rsidR="002A0E74" w:rsidRDefault="002A0E74">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Kamer 2014, nr. 54-0114/001</w:t>
      </w:r>
      <w:r>
        <w:t>, 12.</w:t>
      </w:r>
    </w:p>
  </w:footnote>
  <w:footnote w:id="428">
    <w:p w:rsidR="002A0E74" w:rsidRDefault="002A0E74">
      <w:pPr>
        <w:pStyle w:val="FootnoteText"/>
      </w:pPr>
      <w:r>
        <w:rPr>
          <w:rStyle w:val="FootnoteReference"/>
        </w:rPr>
        <w:footnoteRef/>
      </w:r>
      <w:r>
        <w:t xml:space="preserve"> </w:t>
      </w:r>
      <w:r w:rsidRPr="00013CF8">
        <w:t>Zie randnummer 38.</w:t>
      </w:r>
    </w:p>
  </w:footnote>
  <w:footnote w:id="429">
    <w:p w:rsidR="002A0E74" w:rsidRPr="00437F8B" w:rsidRDefault="002A0E74">
      <w:pPr>
        <w:pStyle w:val="FootnoteText"/>
      </w:pPr>
      <w:r w:rsidRPr="00437F8B">
        <w:rPr>
          <w:rStyle w:val="FootnoteReference"/>
        </w:rPr>
        <w:footnoteRef/>
      </w:r>
      <w:r w:rsidRPr="00437F8B">
        <w:t xml:space="preserve"> </w:t>
      </w:r>
      <w:r w:rsidRPr="00437F8B">
        <w:t xml:space="preserve">Voorstel van wet tot wijziging van de wetgeving betreffende de bescherming van het kind wat de invoering van het zorgouderschap betreft, </w:t>
      </w:r>
      <w:r w:rsidRPr="00437F8B">
        <w:rPr>
          <w:i/>
          <w:iCs/>
        </w:rPr>
        <w:t>Parl.St</w:t>
      </w:r>
      <w:r w:rsidRPr="00437F8B">
        <w:t>. Kamer 2014, nr. 54-0114/001, 29.</w:t>
      </w:r>
    </w:p>
  </w:footnote>
  <w:footnote w:id="430">
    <w:p w:rsidR="002A0E74" w:rsidRPr="00437F8B" w:rsidRDefault="002A0E74">
      <w:pPr>
        <w:pStyle w:val="FootnoteText"/>
      </w:pPr>
      <w:r w:rsidRPr="00437F8B">
        <w:rPr>
          <w:rStyle w:val="FootnoteReference"/>
        </w:rPr>
        <w:footnoteRef/>
      </w:r>
      <w:r w:rsidRPr="00437F8B">
        <w:t xml:space="preserve"> </w:t>
      </w:r>
      <w:r w:rsidRPr="00437F8B">
        <w:t xml:space="preserve">Voorstel van wet tot wijziging van de wetgeving betreffende de bescherming van het kind wat de invoering van het zorgouderschap betreft, </w:t>
      </w:r>
      <w:r w:rsidRPr="00437F8B">
        <w:rPr>
          <w:i/>
          <w:iCs/>
        </w:rPr>
        <w:t>Parl.St</w:t>
      </w:r>
      <w:r w:rsidRPr="00437F8B">
        <w:t>. Kamer 2014, nr. 54-0114/001, 29.</w:t>
      </w:r>
    </w:p>
  </w:footnote>
  <w:footnote w:id="431">
    <w:p w:rsidR="002A0E74" w:rsidRPr="00437F8B" w:rsidRDefault="002A0E74">
      <w:pPr>
        <w:pStyle w:val="FootnoteText"/>
      </w:pPr>
      <w:r w:rsidRPr="00437F8B">
        <w:rPr>
          <w:rStyle w:val="FootnoteReference"/>
        </w:rPr>
        <w:footnoteRef/>
      </w:r>
      <w:r w:rsidRPr="00437F8B">
        <w:t xml:space="preserve"> </w:t>
      </w:r>
      <w:r w:rsidRPr="00437F8B">
        <w:t xml:space="preserve">Voorstel van wet tot wijziging van de wetgeving betreffende de bescherming van het kind wat de invoering van het zorgouderschap betreft, </w:t>
      </w:r>
      <w:r w:rsidRPr="00437F8B">
        <w:rPr>
          <w:i/>
          <w:iCs/>
        </w:rPr>
        <w:t>Parl.St</w:t>
      </w:r>
      <w:r w:rsidRPr="00437F8B">
        <w:t>. Kamer 2014, nr. 54-0114/001, 24.</w:t>
      </w:r>
    </w:p>
  </w:footnote>
  <w:footnote w:id="432">
    <w:p w:rsidR="002A0E74" w:rsidRPr="00437F8B" w:rsidRDefault="002A0E74" w:rsidP="008E7112">
      <w:pPr>
        <w:autoSpaceDE w:val="0"/>
        <w:autoSpaceDN w:val="0"/>
        <w:adjustRightInd w:val="0"/>
        <w:rPr>
          <w:sz w:val="20"/>
          <w:szCs w:val="20"/>
        </w:rPr>
      </w:pPr>
      <w:r w:rsidRPr="00437F8B">
        <w:rPr>
          <w:rStyle w:val="FootnoteReference"/>
          <w:sz w:val="20"/>
          <w:szCs w:val="20"/>
        </w:rPr>
        <w:footnoteRef/>
      </w:r>
      <w:r w:rsidRPr="00437F8B">
        <w:rPr>
          <w:sz w:val="20"/>
          <w:szCs w:val="20"/>
        </w:rPr>
        <w:t xml:space="preserve"> </w:t>
      </w:r>
      <w:r w:rsidRPr="00437F8B">
        <w:rPr>
          <w:sz w:val="20"/>
          <w:szCs w:val="20"/>
        </w:rPr>
        <w:t xml:space="preserve">Verslag namens de Commissie over het verzoek tot het opstellen van een informatieverslag betreffende een onderzoek van de mogelijkheden voor een wettelijke regeling van meeouderschap, </w:t>
      </w:r>
      <w:r w:rsidRPr="00437F8B">
        <w:rPr>
          <w:i/>
          <w:iCs/>
          <w:sz w:val="20"/>
          <w:szCs w:val="20"/>
        </w:rPr>
        <w:t>Parl.St.</w:t>
      </w:r>
      <w:r w:rsidRPr="00437F8B">
        <w:rPr>
          <w:sz w:val="20"/>
          <w:szCs w:val="20"/>
        </w:rPr>
        <w:t xml:space="preserve"> Senaat 2015-16, nr. 6-98/2, 150; </w:t>
      </w:r>
      <w:r w:rsidRPr="00437F8B">
        <w:rPr>
          <w:smallCaps/>
          <w:sz w:val="20"/>
          <w:szCs w:val="20"/>
        </w:rPr>
        <w:t>D. CUTAS</w:t>
      </w:r>
      <w:r>
        <w:rPr>
          <w:sz w:val="20"/>
          <w:szCs w:val="20"/>
        </w:rPr>
        <w:t>,</w:t>
      </w:r>
      <w:r w:rsidRPr="00437F8B">
        <w:rPr>
          <w:smallCaps/>
          <w:sz w:val="20"/>
          <w:szCs w:val="20"/>
        </w:rPr>
        <w:t xml:space="preserve"> </w:t>
      </w:r>
      <w:r w:rsidRPr="00437F8B">
        <w:rPr>
          <w:sz w:val="20"/>
          <w:szCs w:val="20"/>
        </w:rPr>
        <w:t xml:space="preserve">“On triparenting: is having three committed parents better than only having two?”, </w:t>
      </w:r>
      <w:r w:rsidRPr="00437F8B">
        <w:rPr>
          <w:i/>
          <w:iCs/>
          <w:sz w:val="20"/>
          <w:szCs w:val="20"/>
        </w:rPr>
        <w:t>Journal of medical ethics</w:t>
      </w:r>
      <w:r w:rsidRPr="00437F8B">
        <w:rPr>
          <w:sz w:val="20"/>
          <w:szCs w:val="20"/>
        </w:rPr>
        <w:t xml:space="preserve"> 2011, (735) 735.</w:t>
      </w:r>
    </w:p>
  </w:footnote>
  <w:footnote w:id="433">
    <w:p w:rsidR="002A0E74" w:rsidRPr="00437F8B" w:rsidRDefault="002A0E74" w:rsidP="008E7112">
      <w:pPr>
        <w:pStyle w:val="FootnoteText"/>
      </w:pPr>
      <w:r w:rsidRPr="00437F8B">
        <w:rPr>
          <w:rStyle w:val="FootnoteReference"/>
        </w:rPr>
        <w:footnoteRef/>
      </w:r>
      <w:r w:rsidRPr="00437F8B">
        <w:t xml:space="preserve"> </w:t>
      </w:r>
      <w:r w:rsidRPr="00437F8B">
        <w:t xml:space="preserve">Art. 374, §1, lid 2 BW.; </w:t>
      </w:r>
      <w:r w:rsidRPr="00437F8B">
        <w:rPr>
          <w:smallCaps/>
        </w:rPr>
        <w:t>P.</w:t>
      </w:r>
      <w:r w:rsidRPr="00437F8B">
        <w:rPr>
          <w:color w:val="000000"/>
        </w:rPr>
        <w:t xml:space="preserve"> </w:t>
      </w:r>
      <w:r w:rsidRPr="00437F8B">
        <w:rPr>
          <w:smallCaps/>
          <w:color w:val="000000"/>
        </w:rPr>
        <w:t xml:space="preserve">SENAEVE, </w:t>
      </w:r>
      <w:r w:rsidRPr="00437F8B">
        <w:rPr>
          <w:i/>
          <w:iCs/>
          <w:color w:val="000000"/>
        </w:rPr>
        <w:t>Compendium van het Personen- en Familierecht</w:t>
      </w:r>
      <w:r w:rsidRPr="00437F8B">
        <w:rPr>
          <w:color w:val="000000"/>
        </w:rPr>
        <w:t xml:space="preserve">, Leuven, Acco, 2015, 329, nr. 104; </w:t>
      </w:r>
      <w:r w:rsidRPr="00437F8B">
        <w:rPr>
          <w:smallCaps/>
        </w:rPr>
        <w:t xml:space="preserve">F. SWENNEN, </w:t>
      </w:r>
      <w:r w:rsidRPr="00437F8B">
        <w:rPr>
          <w:i/>
          <w:iCs/>
        </w:rPr>
        <w:t>Het personen- en familierecht</w:t>
      </w:r>
      <w:r w:rsidRPr="00437F8B">
        <w:t>, Antwerpen, Intersentia, 2015, 514, nr. 865.</w:t>
      </w:r>
    </w:p>
  </w:footnote>
  <w:footnote w:id="434">
    <w:p w:rsidR="002A0E74" w:rsidRPr="00437F8B" w:rsidRDefault="002A0E74" w:rsidP="008E7112">
      <w:pPr>
        <w:pStyle w:val="FootnoteText"/>
      </w:pPr>
      <w:r w:rsidRPr="00437F8B">
        <w:rPr>
          <w:rStyle w:val="FootnoteReference"/>
        </w:rPr>
        <w:footnoteRef/>
      </w:r>
      <w:r w:rsidRPr="00437F8B">
        <w:t xml:space="preserve"> </w:t>
      </w:r>
      <w:r w:rsidRPr="00437F8B">
        <w:rPr>
          <w:smallCaps/>
        </w:rPr>
        <w:t xml:space="preserve">J. PUT, </w:t>
      </w:r>
      <w:r w:rsidRPr="00437F8B">
        <w:rPr>
          <w:i/>
          <w:iCs/>
        </w:rPr>
        <w:t>Handboek Jeugdbeschermingsrecht</w:t>
      </w:r>
      <w:r w:rsidRPr="00437F8B">
        <w:t xml:space="preserve">, Brugge, Die Keure, 2015, 558, nr. 1103; </w:t>
      </w:r>
      <w:r w:rsidRPr="00437F8B">
        <w:rPr>
          <w:smallCaps/>
        </w:rPr>
        <w:t>P.</w:t>
      </w:r>
      <w:r w:rsidRPr="00437F8B">
        <w:rPr>
          <w:color w:val="000000"/>
        </w:rPr>
        <w:t xml:space="preserve"> </w:t>
      </w:r>
      <w:r w:rsidRPr="00437F8B">
        <w:rPr>
          <w:smallCaps/>
          <w:color w:val="000000"/>
        </w:rPr>
        <w:t xml:space="preserve">SENAEVE, </w:t>
      </w:r>
      <w:r w:rsidRPr="00437F8B">
        <w:rPr>
          <w:i/>
          <w:iCs/>
          <w:color w:val="000000"/>
        </w:rPr>
        <w:t>Compendium van het Personen- en Familierecht</w:t>
      </w:r>
      <w:r w:rsidRPr="00437F8B">
        <w:rPr>
          <w:color w:val="000000"/>
        </w:rPr>
        <w:t>, Leuven, Acco, 2015, 328-329, nr. 1043 en 1046.</w:t>
      </w:r>
    </w:p>
  </w:footnote>
  <w:footnote w:id="435">
    <w:p w:rsidR="002A0E74" w:rsidRPr="00FE6B57" w:rsidRDefault="002A0E74" w:rsidP="008E7112">
      <w:pPr>
        <w:rPr>
          <w:sz w:val="20"/>
          <w:szCs w:val="20"/>
        </w:rPr>
      </w:pPr>
      <w:r w:rsidRPr="00437F8B">
        <w:rPr>
          <w:rStyle w:val="FootnoteReference"/>
          <w:sz w:val="20"/>
          <w:szCs w:val="20"/>
        </w:rPr>
        <w:footnoteRef/>
      </w:r>
      <w:r w:rsidRPr="00437F8B">
        <w:rPr>
          <w:sz w:val="20"/>
          <w:szCs w:val="20"/>
        </w:rPr>
        <w:t xml:space="preserve"> </w:t>
      </w:r>
      <w:r w:rsidRPr="00437F8B">
        <w:rPr>
          <w:smallCaps/>
          <w:sz w:val="20"/>
          <w:szCs w:val="20"/>
        </w:rPr>
        <w:t xml:space="preserve">M.V. ANTOKOLSKAIA, W.M. SCHRAMA, K.R.S.D. BOELE-WOELKI, C.C.J.H. BIJLEVELD, C.G. JEPPESEN DE BOER </w:t>
      </w:r>
      <w:r w:rsidRPr="00437F8B">
        <w:rPr>
          <w:sz w:val="20"/>
          <w:szCs w:val="20"/>
        </w:rPr>
        <w:t xml:space="preserve">en G. </w:t>
      </w:r>
      <w:r w:rsidRPr="00437F8B">
        <w:rPr>
          <w:smallCaps/>
          <w:sz w:val="20"/>
          <w:szCs w:val="20"/>
        </w:rPr>
        <w:t xml:space="preserve">VAN ROSSUM, </w:t>
      </w:r>
      <w:r w:rsidRPr="00437F8B">
        <w:rPr>
          <w:i/>
          <w:iCs/>
          <w:sz w:val="20"/>
          <w:szCs w:val="20"/>
        </w:rPr>
        <w:t>Meeroudergezag: een oplossing voor kinderen met meer dan twee ouders? Een empirisch en rechtsvergelijkend onderzoek.</w:t>
      </w:r>
      <w:r w:rsidRPr="00437F8B">
        <w:rPr>
          <w:sz w:val="20"/>
          <w:szCs w:val="20"/>
        </w:rPr>
        <w:t>, Den Haag, Boom Juridische uitgevers, 2014, 77.</w:t>
      </w:r>
    </w:p>
  </w:footnote>
  <w:footnote w:id="436">
    <w:p w:rsidR="002A0E74" w:rsidRPr="00FE6B57" w:rsidRDefault="002A0E74" w:rsidP="008E7112">
      <w:pPr>
        <w:pStyle w:val="FootnoteText"/>
      </w:pPr>
      <w:r>
        <w:rPr>
          <w:rStyle w:val="FootnoteReference"/>
        </w:rPr>
        <w:footnoteRef/>
      </w:r>
      <w:r>
        <w:t xml:space="preserve"> </w:t>
      </w:r>
      <w:r w:rsidRPr="00134327">
        <w:rPr>
          <w:smallCaps/>
        </w:rPr>
        <w:t xml:space="preserve">P. </w:t>
      </w:r>
      <w:r>
        <w:rPr>
          <w:smallCaps/>
        </w:rPr>
        <w:t>BORGHS</w:t>
      </w:r>
      <w:r w:rsidRPr="00134327">
        <w:rPr>
          <w:smallCaps/>
        </w:rPr>
        <w:t xml:space="preserve">, </w:t>
      </w:r>
      <w:r w:rsidRPr="00134327">
        <w:t>“Homoadoptie, mee- en zo</w:t>
      </w:r>
      <w:r w:rsidRPr="00187999">
        <w:t>rgouderschap. Te veel van het goede? Tegenstanders maken discussie over homo’s met kinderen voor te ingewikkeld”,</w:t>
      </w:r>
      <w:r w:rsidRPr="00187999">
        <w:rPr>
          <w:i/>
          <w:iCs/>
        </w:rPr>
        <w:t xml:space="preserve"> Juristenkrant</w:t>
      </w:r>
      <w:r w:rsidRPr="00187999">
        <w:t xml:space="preserve"> 2005, 28 september 2005, afl. 114, </w:t>
      </w:r>
      <w:r>
        <w:t xml:space="preserve">(3) </w:t>
      </w:r>
      <w:r w:rsidRPr="00187999">
        <w:t xml:space="preserve">3; </w:t>
      </w:r>
      <w:r w:rsidRPr="00187999">
        <w:rPr>
          <w:smallCaps/>
        </w:rPr>
        <w:t xml:space="preserve">A. </w:t>
      </w:r>
      <w:r>
        <w:rPr>
          <w:smallCaps/>
        </w:rPr>
        <w:t xml:space="preserve">HUYGENS, </w:t>
      </w:r>
      <w:r w:rsidRPr="00187999">
        <w:t xml:space="preserve">“Persoonlijk gezag over minderjarige kinderen: quo vadis?”, </w:t>
      </w:r>
      <w:r w:rsidRPr="00187999">
        <w:rPr>
          <w:i/>
          <w:iCs/>
        </w:rPr>
        <w:t>TBBR</w:t>
      </w:r>
      <w:r w:rsidRPr="00187999">
        <w:t xml:space="preserve"> 2006, af</w:t>
      </w:r>
      <w:r>
        <w:t>l. 10, (567)</w:t>
      </w:r>
      <w:r w:rsidRPr="00187999">
        <w:t xml:space="preserve"> </w:t>
      </w:r>
      <w:r>
        <w:t xml:space="preserve">587 en 581, nr. 26 en </w:t>
      </w:r>
      <w:r w:rsidRPr="00187999">
        <w:t xml:space="preserve">37; </w:t>
      </w:r>
      <w:r w:rsidRPr="00187999">
        <w:rPr>
          <w:smallCaps/>
        </w:rPr>
        <w:t xml:space="preserve">T. </w:t>
      </w:r>
      <w:r>
        <w:rPr>
          <w:smallCaps/>
          <w:color w:val="000000"/>
        </w:rPr>
        <w:t>ROBERT</w:t>
      </w:r>
      <w:r w:rsidRPr="00187999">
        <w:rPr>
          <w:smallCaps/>
          <w:color w:val="000000"/>
        </w:rPr>
        <w:t xml:space="preserve">, </w:t>
      </w:r>
      <w:r w:rsidRPr="00187999">
        <w:rPr>
          <w:color w:val="000000"/>
        </w:rPr>
        <w:t xml:space="preserve">“Naar een afstammingsloos gezag?” (noot onder Arbitragehof 8 oktober 2003), </w:t>
      </w:r>
      <w:r w:rsidRPr="00187999">
        <w:rPr>
          <w:i/>
          <w:iCs/>
          <w:color w:val="000000"/>
        </w:rPr>
        <w:t>TJK</w:t>
      </w:r>
      <w:r w:rsidRPr="00187999">
        <w:rPr>
          <w:color w:val="000000"/>
        </w:rPr>
        <w:t xml:space="preserve"> 2004, </w:t>
      </w:r>
      <w:r>
        <w:rPr>
          <w:color w:val="000000"/>
        </w:rPr>
        <w:t xml:space="preserve">(39) </w:t>
      </w:r>
      <w:r w:rsidRPr="00187999">
        <w:rPr>
          <w:color w:val="000000"/>
        </w:rPr>
        <w:t xml:space="preserve">42, nr. 13; </w:t>
      </w:r>
      <w:r w:rsidRPr="00187999">
        <w:rPr>
          <w:smallCaps/>
        </w:rPr>
        <w:t xml:space="preserve">G. </w:t>
      </w:r>
      <w:r>
        <w:rPr>
          <w:smallCaps/>
        </w:rPr>
        <w:t>VERSCHELDEN</w:t>
      </w:r>
      <w:r w:rsidRPr="00187999">
        <w:rPr>
          <w:smallCaps/>
        </w:rPr>
        <w:t xml:space="preserve">, </w:t>
      </w:r>
      <w:r w:rsidRPr="00187999">
        <w:t>“Arbitragehof zet deur open voor zorgouderschap”,</w:t>
      </w:r>
      <w:r w:rsidRPr="00187999">
        <w:rPr>
          <w:i/>
          <w:iCs/>
        </w:rPr>
        <w:t xml:space="preserve"> Juristenkrant</w:t>
      </w:r>
      <w:r w:rsidRPr="00187999">
        <w:t xml:space="preserve"> 2003, 19 november 2003, afl. 78, </w:t>
      </w:r>
      <w:r>
        <w:t xml:space="preserve">(13) </w:t>
      </w:r>
      <w:r w:rsidRPr="00187999">
        <w:t>13.</w:t>
      </w:r>
    </w:p>
  </w:footnote>
  <w:footnote w:id="437">
    <w:p w:rsidR="002A0E74" w:rsidRPr="00FE6B57" w:rsidRDefault="002A0E74" w:rsidP="008E7112">
      <w:pPr>
        <w:pStyle w:val="FootnoteText"/>
      </w:pPr>
      <w:r>
        <w:rPr>
          <w:rStyle w:val="FootnoteReference"/>
        </w:rPr>
        <w:footnoteRef/>
      </w:r>
      <w:r>
        <w:t xml:space="preserve"> </w:t>
      </w:r>
      <w:r w:rsidRPr="00660BA4">
        <w:t xml:space="preserve">Addendum op het verzoek tot het opstellen van een informatieverslag betreffende een onderzoek van de </w:t>
      </w:r>
      <w:r w:rsidRPr="00437F8B">
        <w:t xml:space="preserve">mogelijkheden voor een wettelijke regeling van meeouderschap, </w:t>
      </w:r>
      <w:r w:rsidRPr="00437F8B">
        <w:rPr>
          <w:i/>
          <w:iCs/>
        </w:rPr>
        <w:t>Parl.St.</w:t>
      </w:r>
      <w:r w:rsidRPr="00437F8B">
        <w:t xml:space="preserve"> Senaat 2015-16, nr. 6-98/3, 3; </w:t>
      </w:r>
      <w:r w:rsidRPr="00437F8B">
        <w:rPr>
          <w:smallCaps/>
        </w:rPr>
        <w:t xml:space="preserve">J.-J. DE GUCHT, </w:t>
      </w:r>
      <w:r w:rsidRPr="00437F8B">
        <w:rPr>
          <w:i/>
        </w:rPr>
        <w:t>De tijd dat het twee-ouderschapsideaal de norm was, is niet meer van deze tijd</w:t>
      </w:r>
      <w:r w:rsidRPr="00437F8B">
        <w:t xml:space="preserve">, 2015, </w:t>
      </w:r>
      <w:hyperlink r:id="rId16" w:history="1">
        <w:r w:rsidRPr="00437F8B">
          <w:rPr>
            <w:rStyle w:val="Hyperlink"/>
          </w:rPr>
          <w:t>http://www.knack.be/nieuws/belgie/de-tijd-dat-het-twee-ouderschapsideaal-de-norm-was-is-niet-meer-van-deze-tijd/article-opinion-546377.html</w:t>
        </w:r>
      </w:hyperlink>
      <w:r w:rsidRPr="00437F8B">
        <w:t xml:space="preserve">; </w:t>
      </w:r>
      <w:r w:rsidRPr="00660BA4">
        <w:rPr>
          <w:smallCaps/>
        </w:rPr>
        <w:t xml:space="preserve">F. SWENNEN, </w:t>
      </w:r>
      <w:r w:rsidRPr="00660BA4">
        <w:rPr>
          <w:i/>
          <w:iCs/>
        </w:rPr>
        <w:t>Het personen- en familierecht</w:t>
      </w:r>
      <w:r w:rsidRPr="00660BA4">
        <w:t>, Antwerpen, Intersentia, 2015, 430-431,</w:t>
      </w:r>
      <w:r>
        <w:t xml:space="preserve"> nr. 708.</w:t>
      </w:r>
    </w:p>
  </w:footnote>
  <w:footnote w:id="438">
    <w:p w:rsidR="002A0E74" w:rsidRPr="008E7112" w:rsidRDefault="002A0E74" w:rsidP="008E7112">
      <w:pPr>
        <w:pStyle w:val="FootnoteText"/>
        <w:rPr>
          <w:lang w:val="en-US"/>
        </w:rPr>
      </w:pPr>
      <w:r>
        <w:rPr>
          <w:rStyle w:val="FootnoteReference"/>
        </w:rPr>
        <w:footnoteRef/>
      </w:r>
      <w:r w:rsidRPr="008E7112">
        <w:rPr>
          <w:lang w:val="en-US"/>
        </w:rPr>
        <w:t xml:space="preserve"> S. 39(3</w:t>
      </w:r>
      <w:proofErr w:type="gramStart"/>
      <w:r w:rsidRPr="008E7112">
        <w:rPr>
          <w:lang w:val="en-US"/>
        </w:rPr>
        <w:t>)(</w:t>
      </w:r>
      <w:proofErr w:type="gramEnd"/>
      <w:r w:rsidRPr="008E7112">
        <w:rPr>
          <w:lang w:val="en-US"/>
        </w:rPr>
        <w:t>a) FLA.</w:t>
      </w:r>
    </w:p>
  </w:footnote>
  <w:footnote w:id="439">
    <w:p w:rsidR="002A0E74" w:rsidRPr="00947606" w:rsidRDefault="002A0E74" w:rsidP="008E7112">
      <w:pPr>
        <w:pStyle w:val="FootnoteText"/>
        <w:rPr>
          <w:lang w:val="en-US"/>
        </w:rPr>
      </w:pPr>
      <w:r>
        <w:rPr>
          <w:rStyle w:val="FootnoteReference"/>
        </w:rPr>
        <w:footnoteRef/>
      </w:r>
      <w:r w:rsidRPr="001A378D">
        <w:rPr>
          <w:lang w:val="en-US"/>
        </w:rPr>
        <w:t xml:space="preserve"> </w:t>
      </w:r>
      <w:r w:rsidRPr="001A378D">
        <w:rPr>
          <w:smallCaps/>
          <w:lang w:val="en-US"/>
        </w:rPr>
        <w:t xml:space="preserve">D. </w:t>
      </w:r>
      <w:r>
        <w:rPr>
          <w:smallCaps/>
          <w:lang w:val="en-US"/>
        </w:rPr>
        <w:t>CUTAS</w:t>
      </w:r>
      <w:r w:rsidRPr="001A378D">
        <w:rPr>
          <w:lang w:val="en-US"/>
        </w:rPr>
        <w:t>, “On triparenting: is having three committed parents better than only having two?</w:t>
      </w:r>
      <w:proofErr w:type="gramStart"/>
      <w:r w:rsidRPr="001A378D">
        <w:rPr>
          <w:lang w:val="en-US"/>
        </w:rPr>
        <w:t>”,</w:t>
      </w:r>
      <w:proofErr w:type="gramEnd"/>
      <w:r w:rsidRPr="001A378D">
        <w:rPr>
          <w:lang w:val="en-US"/>
        </w:rPr>
        <w:t xml:space="preserve"> </w:t>
      </w:r>
      <w:r w:rsidRPr="001A378D">
        <w:rPr>
          <w:i/>
          <w:iCs/>
          <w:lang w:val="en-US"/>
        </w:rPr>
        <w:t>Journal of medical ethics</w:t>
      </w:r>
      <w:r w:rsidRPr="001A378D">
        <w:rPr>
          <w:lang w:val="en-US"/>
        </w:rPr>
        <w:t xml:space="preserve"> 2011,</w:t>
      </w:r>
      <w:r>
        <w:rPr>
          <w:lang w:val="en-US"/>
        </w:rPr>
        <w:t xml:space="preserve"> (735) 735-736.</w:t>
      </w:r>
    </w:p>
  </w:footnote>
  <w:footnote w:id="440">
    <w:p w:rsidR="002A0E74" w:rsidRDefault="002A0E74" w:rsidP="008E7112">
      <w:pPr>
        <w:pStyle w:val="FootnoteText"/>
      </w:pPr>
      <w:r>
        <w:rPr>
          <w:rStyle w:val="FootnoteReference"/>
        </w:rPr>
        <w:footnoteRef/>
      </w:r>
      <w:r>
        <w:t xml:space="preserve"> </w:t>
      </w:r>
      <w:r w:rsidRPr="00E956CA">
        <w:t xml:space="preserve">Voorstel van wet tot wijziging van de wetgeving betreffende de bescherming van het kind wat de invoering van het zorgouderschap betreft, </w:t>
      </w:r>
      <w:r w:rsidRPr="00E956CA">
        <w:rPr>
          <w:i/>
          <w:iCs/>
        </w:rPr>
        <w:t>Parl.St.</w:t>
      </w:r>
      <w:r w:rsidRPr="00E956CA">
        <w:t xml:space="preserve"> Kamer 2014, nr. 54-0114/001, 4; </w:t>
      </w:r>
      <w:r w:rsidRPr="00721EE1">
        <w:rPr>
          <w:smallCaps/>
        </w:rPr>
        <w:t xml:space="preserve">M.V. </w:t>
      </w:r>
      <w:r>
        <w:rPr>
          <w:smallCaps/>
        </w:rPr>
        <w:t>ANTOKOLSKAIA</w:t>
      </w:r>
      <w:r w:rsidRPr="00721EE1">
        <w:rPr>
          <w:smallCaps/>
        </w:rPr>
        <w:t xml:space="preserve">, W.M. </w:t>
      </w:r>
      <w:r>
        <w:rPr>
          <w:smallCaps/>
        </w:rPr>
        <w:t>SCHRAMA</w:t>
      </w:r>
      <w:r w:rsidRPr="00721EE1">
        <w:rPr>
          <w:smallCaps/>
        </w:rPr>
        <w:t xml:space="preserve">, K.R.S.D. </w:t>
      </w:r>
      <w:r>
        <w:rPr>
          <w:smallCaps/>
        </w:rPr>
        <w:t>BOELE-WOELKI</w:t>
      </w:r>
      <w:r w:rsidRPr="00721EE1">
        <w:rPr>
          <w:smallCaps/>
        </w:rPr>
        <w:t>, C.C.J.H</w:t>
      </w:r>
      <w:r>
        <w:rPr>
          <w:smallCaps/>
        </w:rPr>
        <w:t>.</w:t>
      </w:r>
      <w:r w:rsidRPr="00721EE1">
        <w:rPr>
          <w:smallCaps/>
        </w:rPr>
        <w:t xml:space="preserve"> </w:t>
      </w:r>
      <w:r>
        <w:rPr>
          <w:smallCaps/>
        </w:rPr>
        <w:t>BIJLEVELD</w:t>
      </w:r>
      <w:r w:rsidRPr="00721EE1">
        <w:rPr>
          <w:smallCaps/>
        </w:rPr>
        <w:t xml:space="preserve">, C.G. </w:t>
      </w:r>
      <w:r>
        <w:rPr>
          <w:smallCaps/>
        </w:rPr>
        <w:t>JEPPESEN DE BOER</w:t>
      </w:r>
      <w:r w:rsidRPr="00376465">
        <w:rPr>
          <w:smallCaps/>
        </w:rPr>
        <w:t xml:space="preserve"> </w:t>
      </w:r>
      <w:r w:rsidRPr="00376465">
        <w:t xml:space="preserve">en G. </w:t>
      </w:r>
      <w:r>
        <w:rPr>
          <w:smallCaps/>
        </w:rPr>
        <w:t>VAN ROSSUM</w:t>
      </w:r>
      <w:r w:rsidRPr="00376465">
        <w:rPr>
          <w:smallCaps/>
        </w:rPr>
        <w:t xml:space="preserve">, </w:t>
      </w:r>
      <w:r w:rsidRPr="00376465">
        <w:rPr>
          <w:i/>
          <w:iCs/>
        </w:rPr>
        <w:t>Meeroudergezag: een oplossing voor kinderen met meer dan twee ouders? Een empirisch en rechtsvergelijkend onderzoek.</w:t>
      </w:r>
      <w:r w:rsidRPr="00376465">
        <w:t>, Den Haag, Boom Juridische uitgevers, 2014</w:t>
      </w:r>
      <w:r>
        <w:t>, 225.</w:t>
      </w:r>
    </w:p>
  </w:footnote>
  <w:footnote w:id="441">
    <w:p w:rsidR="002A0E74" w:rsidRPr="002A0E74" w:rsidRDefault="002A0E74" w:rsidP="008E7112">
      <w:pPr>
        <w:pStyle w:val="FootnoteText"/>
        <w:rPr>
          <w:lang w:val="nl-NL"/>
        </w:rPr>
      </w:pPr>
      <w:r w:rsidRPr="00770D5D">
        <w:rPr>
          <w:rStyle w:val="FootnoteReference"/>
        </w:rPr>
        <w:footnoteRef/>
      </w:r>
      <w:r w:rsidRPr="002A0E74">
        <w:rPr>
          <w:lang w:val="nl-NL"/>
        </w:rPr>
        <w:t xml:space="preserve"> </w:t>
      </w:r>
      <w:r w:rsidRPr="002A0E74">
        <w:rPr>
          <w:lang w:val="nl-NL"/>
        </w:rPr>
        <w:t>S. 30(1)(a) FLA.</w:t>
      </w:r>
    </w:p>
  </w:footnote>
  <w:footnote w:id="442">
    <w:p w:rsidR="002A0E74" w:rsidRPr="002A0E74" w:rsidRDefault="002A0E74" w:rsidP="008E7112">
      <w:pPr>
        <w:pStyle w:val="FootnoteText"/>
        <w:rPr>
          <w:lang w:val="nl-NL"/>
        </w:rPr>
      </w:pPr>
      <w:r>
        <w:rPr>
          <w:rStyle w:val="FootnoteReference"/>
        </w:rPr>
        <w:footnoteRef/>
      </w:r>
      <w:r w:rsidRPr="002A0E74">
        <w:rPr>
          <w:lang w:val="nl-NL"/>
        </w:rPr>
        <w:t xml:space="preserve"> </w:t>
      </w:r>
      <w:r w:rsidRPr="002A0E74">
        <w:rPr>
          <w:lang w:val="nl-NL"/>
        </w:rPr>
        <w:t>S. 4(1)(b), 4A(1)(a), 4(A), 8(1), 12(2) en 5(3) CA.</w:t>
      </w:r>
    </w:p>
  </w:footnote>
  <w:footnote w:id="443">
    <w:p w:rsidR="002A0E74" w:rsidRDefault="002A0E74" w:rsidP="008E7112">
      <w:pPr>
        <w:pStyle w:val="FootnoteText"/>
      </w:pPr>
      <w:r>
        <w:rPr>
          <w:rStyle w:val="FootnoteReference"/>
        </w:rPr>
        <w:footnoteRef/>
      </w:r>
      <w:r>
        <w:t xml:space="preserve"> </w:t>
      </w:r>
      <w:r w:rsidRPr="00187999">
        <w:t xml:space="preserve">Voorstel van wet tot wijziging van de wetgeving betreffende de bescherming van het kind wat de invoering van </w:t>
      </w:r>
      <w:r>
        <w:t xml:space="preserve">het zorgouderschap betreft, </w:t>
      </w:r>
      <w:r>
        <w:rPr>
          <w:i/>
          <w:iCs/>
        </w:rPr>
        <w:t>Parl.</w:t>
      </w:r>
      <w:r w:rsidRPr="00204254">
        <w:rPr>
          <w:i/>
          <w:iCs/>
        </w:rPr>
        <w:t>St</w:t>
      </w:r>
      <w:r w:rsidRPr="00187999">
        <w:t xml:space="preserve">. Kamer 2014, </w:t>
      </w:r>
      <w:r>
        <w:t>nr. 54-0114/001, 10 en 24.</w:t>
      </w:r>
    </w:p>
  </w:footnote>
  <w:footnote w:id="444">
    <w:p w:rsidR="002A0E74" w:rsidRDefault="002A0E74" w:rsidP="008E7112">
      <w:pPr>
        <w:pStyle w:val="FootnoteText"/>
      </w:pPr>
      <w:r>
        <w:rPr>
          <w:rStyle w:val="FootnoteReference"/>
        </w:rPr>
        <w:footnoteRef/>
      </w:r>
      <w:r>
        <w:t xml:space="preserve"> </w:t>
      </w:r>
      <w:r w:rsidRPr="00721EE1">
        <w:rPr>
          <w:smallCaps/>
        </w:rPr>
        <w:t xml:space="preserve">M.V. </w:t>
      </w:r>
      <w:r>
        <w:rPr>
          <w:smallCaps/>
        </w:rPr>
        <w:t>ANTOKOLSKAIA</w:t>
      </w:r>
      <w:r w:rsidRPr="00721EE1">
        <w:rPr>
          <w:smallCaps/>
        </w:rPr>
        <w:t xml:space="preserve">, W.M. </w:t>
      </w:r>
      <w:r>
        <w:rPr>
          <w:smallCaps/>
        </w:rPr>
        <w:t>SCHRAMA</w:t>
      </w:r>
      <w:r w:rsidRPr="00721EE1">
        <w:rPr>
          <w:smallCaps/>
        </w:rPr>
        <w:t xml:space="preserve">, K.R.S.D. </w:t>
      </w:r>
      <w:r>
        <w:rPr>
          <w:smallCaps/>
        </w:rPr>
        <w:t>BOELE-WOELKI</w:t>
      </w:r>
      <w:r w:rsidRPr="00721EE1">
        <w:rPr>
          <w:smallCaps/>
        </w:rPr>
        <w:t>, C.C.J.H</w:t>
      </w:r>
      <w:r>
        <w:rPr>
          <w:smallCaps/>
        </w:rPr>
        <w:t>.</w:t>
      </w:r>
      <w:r w:rsidRPr="00721EE1">
        <w:rPr>
          <w:smallCaps/>
        </w:rPr>
        <w:t xml:space="preserve"> </w:t>
      </w:r>
      <w:r>
        <w:rPr>
          <w:smallCaps/>
        </w:rPr>
        <w:t>BIJLEVELD</w:t>
      </w:r>
      <w:r w:rsidRPr="00721EE1">
        <w:rPr>
          <w:smallCaps/>
        </w:rPr>
        <w:t xml:space="preserve">, C.G. </w:t>
      </w:r>
      <w:r>
        <w:rPr>
          <w:smallCaps/>
        </w:rPr>
        <w:t>JEPPESEN DE BOER</w:t>
      </w:r>
      <w:r w:rsidRPr="00376465">
        <w:rPr>
          <w:smallCaps/>
        </w:rPr>
        <w:t xml:space="preserve"> </w:t>
      </w:r>
      <w:r w:rsidRPr="00376465">
        <w:t xml:space="preserve">en G. </w:t>
      </w:r>
      <w:r>
        <w:rPr>
          <w:smallCaps/>
        </w:rPr>
        <w:t>VAN ROSSUM</w:t>
      </w:r>
      <w:r w:rsidRPr="00376465">
        <w:rPr>
          <w:smallCaps/>
        </w:rPr>
        <w:t xml:space="preserve">, </w:t>
      </w:r>
      <w:r w:rsidRPr="00376465">
        <w:rPr>
          <w:i/>
          <w:iCs/>
        </w:rPr>
        <w:t>Meeroudergezag: een oplossing voor kinderen met meer dan twee ouders? Een empirisch en rechtsvergelijkend onderzoek.</w:t>
      </w:r>
      <w:r w:rsidRPr="00376465">
        <w:t>, Den Haag, Boom Juridische uitgevers, 2014</w:t>
      </w:r>
      <w:r>
        <w:t>, 229.</w:t>
      </w:r>
    </w:p>
  </w:footnote>
  <w:footnote w:id="445">
    <w:p w:rsidR="002A0E74" w:rsidRDefault="002A0E74" w:rsidP="008E7112">
      <w:pPr>
        <w:pStyle w:val="FootnoteText"/>
      </w:pPr>
      <w:r>
        <w:rPr>
          <w:rStyle w:val="FootnoteReference"/>
        </w:rPr>
        <w:footnoteRef/>
      </w:r>
      <w:r>
        <w:t xml:space="preserve"> </w:t>
      </w:r>
      <w:r w:rsidRPr="00721EE1">
        <w:rPr>
          <w:smallCaps/>
        </w:rPr>
        <w:t xml:space="preserve">M.V. </w:t>
      </w:r>
      <w:r>
        <w:rPr>
          <w:smallCaps/>
        </w:rPr>
        <w:t>ANTOKOLSKAIA</w:t>
      </w:r>
      <w:r w:rsidRPr="00721EE1">
        <w:rPr>
          <w:smallCaps/>
        </w:rPr>
        <w:t xml:space="preserve">, W.M. </w:t>
      </w:r>
      <w:r>
        <w:rPr>
          <w:smallCaps/>
        </w:rPr>
        <w:t>SCHRAMA</w:t>
      </w:r>
      <w:r w:rsidRPr="00721EE1">
        <w:rPr>
          <w:smallCaps/>
        </w:rPr>
        <w:t xml:space="preserve">, K.R.S.D. </w:t>
      </w:r>
      <w:r>
        <w:rPr>
          <w:smallCaps/>
        </w:rPr>
        <w:t>BOELE-WOELKI</w:t>
      </w:r>
      <w:r w:rsidRPr="00721EE1">
        <w:rPr>
          <w:smallCaps/>
        </w:rPr>
        <w:t>, C.C.J.H</w:t>
      </w:r>
      <w:r>
        <w:rPr>
          <w:smallCaps/>
        </w:rPr>
        <w:t>.</w:t>
      </w:r>
      <w:r w:rsidRPr="00721EE1">
        <w:rPr>
          <w:smallCaps/>
        </w:rPr>
        <w:t xml:space="preserve"> </w:t>
      </w:r>
      <w:r>
        <w:rPr>
          <w:smallCaps/>
        </w:rPr>
        <w:t>BIJLEVELD</w:t>
      </w:r>
      <w:r w:rsidRPr="00721EE1">
        <w:rPr>
          <w:smallCaps/>
        </w:rPr>
        <w:t xml:space="preserve">, C.G. </w:t>
      </w:r>
      <w:r>
        <w:rPr>
          <w:smallCaps/>
        </w:rPr>
        <w:t>JEPPESEN DE BOER</w:t>
      </w:r>
      <w:r w:rsidRPr="00376465">
        <w:rPr>
          <w:smallCaps/>
        </w:rPr>
        <w:t xml:space="preserve"> </w:t>
      </w:r>
      <w:r w:rsidRPr="00376465">
        <w:t xml:space="preserve">en G. </w:t>
      </w:r>
      <w:r>
        <w:rPr>
          <w:smallCaps/>
        </w:rPr>
        <w:t>VAN ROSSUM</w:t>
      </w:r>
      <w:r w:rsidRPr="00376465">
        <w:rPr>
          <w:smallCaps/>
        </w:rPr>
        <w:t xml:space="preserve">, </w:t>
      </w:r>
      <w:r w:rsidRPr="00376465">
        <w:rPr>
          <w:i/>
          <w:iCs/>
        </w:rPr>
        <w:t>Meeroudergezag: een oplossing voor kinderen met meer dan twee ouders? Een empirisch en rechtsvergelijkend onderzoek.</w:t>
      </w:r>
      <w:r w:rsidRPr="00376465">
        <w:t>, Den Haag, Boom Juridische uitgevers, 2014</w:t>
      </w:r>
      <w:r>
        <w:t>, 229.</w:t>
      </w:r>
    </w:p>
  </w:footnote>
  <w:footnote w:id="446">
    <w:p w:rsidR="002A0E74" w:rsidRPr="00437F8B" w:rsidRDefault="002A0E74">
      <w:pPr>
        <w:pStyle w:val="FootnoteText"/>
        <w:rPr>
          <w:lang w:val="en-US"/>
        </w:rPr>
      </w:pPr>
      <w:r w:rsidRPr="00437F8B">
        <w:rPr>
          <w:rStyle w:val="FootnoteReference"/>
        </w:rPr>
        <w:footnoteRef/>
      </w:r>
      <w:r w:rsidRPr="00437F8B">
        <w:rPr>
          <w:lang w:val="en-US"/>
        </w:rPr>
        <w:t xml:space="preserve"> </w:t>
      </w:r>
      <w:r w:rsidRPr="00437F8B">
        <w:rPr>
          <w:smallCaps/>
          <w:lang w:val="en-US"/>
        </w:rPr>
        <w:t xml:space="preserve">M. ANTOKOLSKAIA, </w:t>
      </w:r>
      <w:r w:rsidRPr="00437F8B">
        <w:rPr>
          <w:lang w:val="en-US"/>
        </w:rPr>
        <w:t>“Legal embedding planned lesbian parentage. Pouring new wine into old wineskins?</w:t>
      </w:r>
      <w:proofErr w:type="gramStart"/>
      <w:r w:rsidRPr="00437F8B">
        <w:rPr>
          <w:lang w:val="en-US"/>
        </w:rPr>
        <w:t>”,</w:t>
      </w:r>
      <w:proofErr w:type="gramEnd"/>
      <w:r w:rsidRPr="00437F8B">
        <w:rPr>
          <w:lang w:val="en-US"/>
        </w:rPr>
        <w:t xml:space="preserve"> </w:t>
      </w:r>
      <w:r w:rsidRPr="00437F8B">
        <w:rPr>
          <w:i/>
          <w:iCs/>
          <w:lang w:val="en-US"/>
        </w:rPr>
        <w:t>Familie &amp; Recht</w:t>
      </w:r>
      <w:r w:rsidRPr="00437F8B">
        <w:rPr>
          <w:lang w:val="en-US"/>
        </w:rPr>
        <w:t xml:space="preserve"> 2014, (1) 2;</w:t>
      </w:r>
      <w:r w:rsidRPr="00437F8B">
        <w:rPr>
          <w:smallCaps/>
          <w:lang w:val="en-US"/>
        </w:rPr>
        <w:t xml:space="preserve"> D. CUTAS</w:t>
      </w:r>
      <w:r>
        <w:rPr>
          <w:lang w:val="en-US"/>
        </w:rPr>
        <w:t>,</w:t>
      </w:r>
      <w:r w:rsidRPr="00437F8B">
        <w:rPr>
          <w:smallCaps/>
          <w:lang w:val="en-US"/>
        </w:rPr>
        <w:t xml:space="preserve"> </w:t>
      </w:r>
      <w:r w:rsidRPr="00437F8B">
        <w:rPr>
          <w:lang w:val="en-US"/>
        </w:rPr>
        <w:t xml:space="preserve">“On triparenting: is having three committed parents better than only having two?”, </w:t>
      </w:r>
      <w:r w:rsidRPr="00437F8B">
        <w:rPr>
          <w:i/>
          <w:iCs/>
          <w:lang w:val="en-US"/>
        </w:rPr>
        <w:t>Journal of medical ethics</w:t>
      </w:r>
      <w:r w:rsidRPr="00437F8B">
        <w:rPr>
          <w:lang w:val="en-US"/>
        </w:rPr>
        <w:t xml:space="preserve"> 2011, (735) 735.</w:t>
      </w:r>
    </w:p>
  </w:footnote>
  <w:footnote w:id="447">
    <w:p w:rsidR="002A0E74" w:rsidRPr="00437F8B" w:rsidRDefault="002A0E74" w:rsidP="00A7468F">
      <w:pPr>
        <w:autoSpaceDE w:val="0"/>
        <w:autoSpaceDN w:val="0"/>
        <w:adjustRightInd w:val="0"/>
        <w:rPr>
          <w:sz w:val="20"/>
          <w:szCs w:val="20"/>
        </w:rPr>
      </w:pPr>
      <w:r w:rsidRPr="00437F8B">
        <w:rPr>
          <w:rStyle w:val="FootnoteReference"/>
          <w:sz w:val="20"/>
          <w:szCs w:val="20"/>
        </w:rPr>
        <w:footnoteRef/>
      </w:r>
      <w:r w:rsidRPr="00437F8B">
        <w:rPr>
          <w:sz w:val="20"/>
          <w:szCs w:val="20"/>
        </w:rPr>
        <w:t xml:space="preserve"> </w:t>
      </w:r>
      <w:r w:rsidRPr="00437F8B">
        <w:rPr>
          <w:sz w:val="20"/>
          <w:szCs w:val="20"/>
        </w:rPr>
        <w:t xml:space="preserve">Verslag namens de Commissie over het verzoek tot het opstellen van een informatieverslag betreffende een onderzoek van de mogelijkheden voor een wettelijke regeling van meeouderschap, </w:t>
      </w:r>
      <w:r w:rsidRPr="00437F8B">
        <w:rPr>
          <w:i/>
          <w:iCs/>
          <w:sz w:val="20"/>
          <w:szCs w:val="20"/>
        </w:rPr>
        <w:t>Parl.St.</w:t>
      </w:r>
      <w:r w:rsidRPr="00437F8B">
        <w:rPr>
          <w:sz w:val="20"/>
          <w:szCs w:val="20"/>
        </w:rPr>
        <w:t xml:space="preserve"> Senaat 2015-16, nr. 6-98/2, 150.</w:t>
      </w:r>
    </w:p>
  </w:footnote>
  <w:footnote w:id="448">
    <w:p w:rsidR="002A0E74" w:rsidRDefault="002A0E74" w:rsidP="00E0176B">
      <w:r w:rsidRPr="00437F8B">
        <w:rPr>
          <w:rStyle w:val="FootnoteReference"/>
          <w:sz w:val="20"/>
          <w:szCs w:val="20"/>
        </w:rPr>
        <w:footnoteRef/>
      </w:r>
      <w:r w:rsidRPr="00437F8B">
        <w:rPr>
          <w:sz w:val="20"/>
          <w:szCs w:val="20"/>
        </w:rPr>
        <w:t xml:space="preserve"> </w:t>
      </w:r>
      <w:r w:rsidRPr="00437F8B">
        <w:rPr>
          <w:smallCaps/>
          <w:color w:val="000000"/>
          <w:sz w:val="20"/>
          <w:szCs w:val="20"/>
        </w:rPr>
        <w:t xml:space="preserve">K. </w:t>
      </w:r>
      <w:r w:rsidRPr="00437F8B">
        <w:rPr>
          <w:smallCaps/>
          <w:sz w:val="20"/>
          <w:szCs w:val="20"/>
        </w:rPr>
        <w:t xml:space="preserve">UYTTERHOEVEN, </w:t>
      </w:r>
      <w:r w:rsidRPr="00437F8B">
        <w:rPr>
          <w:sz w:val="20"/>
          <w:szCs w:val="20"/>
        </w:rPr>
        <w:t xml:space="preserve">“Worden stiefouders stiefmoederlijk behandeld?”, </w:t>
      </w:r>
      <w:r w:rsidRPr="00437F8B">
        <w:rPr>
          <w:i/>
          <w:iCs/>
          <w:sz w:val="20"/>
          <w:szCs w:val="20"/>
        </w:rPr>
        <w:t>T.Fam</w:t>
      </w:r>
      <w:r w:rsidRPr="00437F8B">
        <w:rPr>
          <w:sz w:val="20"/>
          <w:szCs w:val="20"/>
        </w:rPr>
        <w:t xml:space="preserve">. 2009, afl. 7, (125) 125; </w:t>
      </w:r>
      <w:r w:rsidRPr="00437F8B">
        <w:rPr>
          <w:smallCaps/>
          <w:sz w:val="20"/>
          <w:szCs w:val="20"/>
        </w:rPr>
        <w:t xml:space="preserve">S. VAN DER BEEK, </w:t>
      </w:r>
      <w:r w:rsidRPr="00437F8B">
        <w:rPr>
          <w:sz w:val="20"/>
          <w:szCs w:val="20"/>
        </w:rPr>
        <w:t xml:space="preserve">“Meeroudergezag kan niet automatisch worden toegekend vanwege de grote diversiteit van stiefoudergezinnen en de verschillende rollen die stiefouders vervullen”, </w:t>
      </w:r>
      <w:r w:rsidRPr="00437F8B">
        <w:rPr>
          <w:i/>
          <w:iCs/>
          <w:sz w:val="20"/>
          <w:szCs w:val="20"/>
        </w:rPr>
        <w:t>Nieuw gezin</w:t>
      </w:r>
      <w:r w:rsidRPr="00437F8B">
        <w:rPr>
          <w:sz w:val="20"/>
          <w:szCs w:val="20"/>
        </w:rPr>
        <w:t xml:space="preserve"> 2014, (1) 3.</w:t>
      </w:r>
    </w:p>
  </w:footnote>
  <w:footnote w:id="449">
    <w:p w:rsidR="002A0E74" w:rsidRPr="00437F8B" w:rsidRDefault="002A0E74">
      <w:pPr>
        <w:pStyle w:val="FootnoteText"/>
      </w:pPr>
      <w:r w:rsidRPr="00437F8B">
        <w:rPr>
          <w:rStyle w:val="FootnoteReference"/>
        </w:rPr>
        <w:footnoteRef/>
      </w:r>
      <w:r w:rsidRPr="00437F8B">
        <w:t xml:space="preserve"> </w:t>
      </w:r>
      <w:r w:rsidRPr="00437F8B">
        <w:rPr>
          <w:smallCaps/>
        </w:rPr>
        <w:t xml:space="preserve">M.V. ANTOKOLSKAIA, W.M. SCHRAMA, K.R.S.D. BOELE-WOELKI, C.C.J.H. BIJLEVELD, C.G. JEPPESEN DE BOER </w:t>
      </w:r>
      <w:r w:rsidRPr="00437F8B">
        <w:t xml:space="preserve">en G. </w:t>
      </w:r>
      <w:r w:rsidRPr="00437F8B">
        <w:rPr>
          <w:smallCaps/>
        </w:rPr>
        <w:t xml:space="preserve">VAN ROSSUM, </w:t>
      </w:r>
      <w:r w:rsidRPr="00437F8B">
        <w:rPr>
          <w:i/>
          <w:iCs/>
        </w:rPr>
        <w:t>Meeroudergezag: een oplossing voor kinderen met meer dan twee ouders? Een empirisch en rechtsvergelijkend onderzoek.</w:t>
      </w:r>
      <w:r w:rsidRPr="00437F8B">
        <w:t xml:space="preserve">, Den Haag, Boom Juridische uitgevers, 2014, 220. </w:t>
      </w:r>
    </w:p>
  </w:footnote>
  <w:footnote w:id="450">
    <w:p w:rsidR="002A0E74" w:rsidRPr="00437F8B" w:rsidRDefault="002A0E74" w:rsidP="00CE594E">
      <w:pPr>
        <w:rPr>
          <w:sz w:val="20"/>
          <w:szCs w:val="20"/>
        </w:rPr>
      </w:pPr>
      <w:r w:rsidRPr="00437F8B">
        <w:rPr>
          <w:rStyle w:val="FootnoteReference"/>
          <w:sz w:val="20"/>
          <w:szCs w:val="20"/>
        </w:rPr>
        <w:footnoteRef/>
      </w:r>
      <w:r w:rsidRPr="00437F8B">
        <w:rPr>
          <w:sz w:val="20"/>
          <w:szCs w:val="20"/>
        </w:rPr>
        <w:t xml:space="preserve"> </w:t>
      </w:r>
      <w:r w:rsidRPr="00437F8B">
        <w:rPr>
          <w:smallCaps/>
          <w:sz w:val="20"/>
          <w:szCs w:val="20"/>
        </w:rPr>
        <w:t xml:space="preserve">S. VAN DER BEEK, </w:t>
      </w:r>
      <w:r w:rsidRPr="00437F8B">
        <w:rPr>
          <w:sz w:val="20"/>
          <w:szCs w:val="20"/>
        </w:rPr>
        <w:t xml:space="preserve">“Meeroudergezag kan niet automatisch worden toegekend vanwege de grote diversiteit van stiefoudergezinnen en de verschillende rollen die stiefouders vervullen”, </w:t>
      </w:r>
      <w:r w:rsidRPr="00437F8B">
        <w:rPr>
          <w:i/>
          <w:iCs/>
          <w:sz w:val="20"/>
          <w:szCs w:val="20"/>
        </w:rPr>
        <w:t>Nieuw gezin</w:t>
      </w:r>
      <w:r w:rsidRPr="00437F8B">
        <w:rPr>
          <w:sz w:val="20"/>
          <w:szCs w:val="20"/>
        </w:rPr>
        <w:t xml:space="preserve"> 2014, (1) 3.</w:t>
      </w:r>
    </w:p>
  </w:footnote>
  <w:footnote w:id="451">
    <w:p w:rsidR="002A0E74" w:rsidRPr="00773588" w:rsidRDefault="002A0E74" w:rsidP="00F664F9">
      <w:pPr>
        <w:pStyle w:val="FootnoteText"/>
      </w:pPr>
      <w:r w:rsidRPr="00437F8B">
        <w:rPr>
          <w:rStyle w:val="FootnoteReference"/>
        </w:rPr>
        <w:footnoteRef/>
      </w:r>
      <w:r w:rsidRPr="00437F8B">
        <w:t xml:space="preserve"> </w:t>
      </w:r>
      <w:r w:rsidRPr="00437F8B">
        <w:t xml:space="preserve">Voorstel van wet tot wijziging van de wetgeving betreffende de bescherming van het kind wat de invoering van het zorgouderschap betreft, </w:t>
      </w:r>
      <w:r w:rsidRPr="00437F8B">
        <w:rPr>
          <w:i/>
          <w:iCs/>
        </w:rPr>
        <w:t>Parl.St</w:t>
      </w:r>
      <w:r w:rsidRPr="00437F8B">
        <w:t>. Kamer 2014, nr. 54-0114/001, 15.</w:t>
      </w:r>
    </w:p>
  </w:footnote>
  <w:footnote w:id="452">
    <w:p w:rsidR="002A0E74" w:rsidRPr="0055523B" w:rsidRDefault="002A0E74" w:rsidP="00BE0698">
      <w:pPr>
        <w:pStyle w:val="FootnoteText"/>
        <w:rPr>
          <w:lang w:val="en-US"/>
        </w:rPr>
      </w:pPr>
      <w:r w:rsidRPr="00376C1C">
        <w:rPr>
          <w:rStyle w:val="FootnoteReference"/>
        </w:rPr>
        <w:footnoteRef/>
      </w:r>
      <w:r w:rsidRPr="0055523B">
        <w:rPr>
          <w:lang w:val="en-US"/>
        </w:rPr>
        <w:t xml:space="preserve"> S. 4(1</w:t>
      </w:r>
      <w:proofErr w:type="gramStart"/>
      <w:r w:rsidRPr="0055523B">
        <w:rPr>
          <w:lang w:val="en-US"/>
        </w:rPr>
        <w:t>)(</w:t>
      </w:r>
      <w:proofErr w:type="gramEnd"/>
      <w:r w:rsidRPr="0055523B">
        <w:rPr>
          <w:lang w:val="en-US"/>
        </w:rPr>
        <w:t>b), 4A(1)(a) en 4(A) CA.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Default="002A0E74">
    <w:pPr>
      <w:pStyle w:val="Header"/>
    </w:pPr>
  </w:p>
  <w:p w:rsidR="002A0E74" w:rsidRDefault="002A0E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E74" w:rsidRDefault="002A0E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62576C"/>
    <w:lvl w:ilvl="0">
      <w:start w:val="1"/>
      <w:numFmt w:val="bullet"/>
      <w:lvlText w:val=""/>
      <w:lvlJc w:val="left"/>
      <w:pPr>
        <w:tabs>
          <w:tab w:val="num" w:pos="643"/>
        </w:tabs>
        <w:ind w:left="643" w:hanging="360"/>
      </w:pPr>
      <w:rPr>
        <w:rFonts w:ascii="Symbol" w:hAnsi="Symbol" w:cs="Symbol" w:hint="default"/>
      </w:rPr>
    </w:lvl>
  </w:abstractNum>
  <w:abstractNum w:abstractNumId="1">
    <w:nsid w:val="03383212"/>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6197710"/>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65F5CDA"/>
    <w:multiLevelType w:val="hybridMultilevel"/>
    <w:tmpl w:val="3FCCCF52"/>
    <w:lvl w:ilvl="0" w:tplc="1BF04F3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6B4914"/>
    <w:multiLevelType w:val="multilevel"/>
    <w:tmpl w:val="04130023"/>
    <w:styleLink w:val="ArticleSection"/>
    <w:lvl w:ilvl="0">
      <w:start w:val="1"/>
      <w:numFmt w:val="upperRoman"/>
      <w:lvlText w:val="Artikel %1."/>
      <w:lvlJc w:val="left"/>
      <w:pPr>
        <w:tabs>
          <w:tab w:val="num" w:pos="1440"/>
        </w:tabs>
      </w:pPr>
    </w:lvl>
    <w:lvl w:ilvl="1">
      <w:start w:val="1"/>
      <w:numFmt w:val="decimalZero"/>
      <w:isLgl/>
      <w:lvlText w:val="Sectie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2FB55F10"/>
    <w:multiLevelType w:val="hybridMultilevel"/>
    <w:tmpl w:val="55FE4666"/>
    <w:lvl w:ilvl="0" w:tplc="334AF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4A4AC4"/>
    <w:multiLevelType w:val="hybridMultilevel"/>
    <w:tmpl w:val="0616DB32"/>
    <w:lvl w:ilvl="0" w:tplc="76981370">
      <w:start w:val="2"/>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739540C"/>
    <w:multiLevelType w:val="hybridMultilevel"/>
    <w:tmpl w:val="F1CA98E6"/>
    <w:lvl w:ilvl="0" w:tplc="55BCA88A">
      <w:start w:val="1"/>
      <w:numFmt w:val="decimal"/>
      <w:pStyle w:val="Nummer"/>
      <w:lvlText w:val="%1."/>
      <w:lvlJc w:val="left"/>
      <w:pPr>
        <w:tabs>
          <w:tab w:val="num" w:pos="357"/>
        </w:tabs>
      </w:pPr>
      <w:rPr>
        <w:rFonts w:hint="default"/>
        <w:b/>
        <w:bCs/>
        <w:i w:val="0"/>
        <w:iCs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3D8C6CBD"/>
    <w:multiLevelType w:val="hybridMultilevel"/>
    <w:tmpl w:val="06E27ECE"/>
    <w:lvl w:ilvl="0" w:tplc="88C8E6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71662E"/>
    <w:multiLevelType w:val="multilevel"/>
    <w:tmpl w:val="B5B20C44"/>
    <w:lvl w:ilvl="0">
      <w:start w:val="1"/>
      <w:numFmt w:val="upperRoman"/>
      <w:suff w:val="space"/>
      <w:lvlText w:val="Deel %1:"/>
      <w:lvlJc w:val="left"/>
      <w:rPr>
        <w:rFonts w:hint="default"/>
      </w:rPr>
    </w:lvl>
    <w:lvl w:ilvl="1">
      <w:start w:val="1"/>
      <w:numFmt w:val="upperRoman"/>
      <w:suff w:val="space"/>
      <w:lvlText w:val="Hoofdstuk %2."/>
      <w:lvlJc w:val="left"/>
      <w:pPr>
        <w:ind w:left="3828"/>
      </w:pPr>
      <w:rPr>
        <w:rFonts w:hint="default"/>
      </w:rPr>
    </w:lvl>
    <w:lvl w:ilvl="2">
      <w:start w:val="1"/>
      <w:numFmt w:val="upperRoman"/>
      <w:suff w:val="space"/>
      <w:lvlText w:val="Afdeling %3."/>
      <w:lvlJc w:val="left"/>
      <w:rPr>
        <w:rFonts w:hint="default"/>
      </w:rPr>
    </w:lvl>
    <w:lvl w:ilvl="3">
      <w:start w:val="1"/>
      <w:numFmt w:val="decimal"/>
      <w:suff w:val="space"/>
      <w:lvlText w:val="§%4."/>
      <w:lvlJc w:val="left"/>
      <w:rPr>
        <w:rFonts w:hint="default"/>
      </w:rPr>
    </w:lvl>
    <w:lvl w:ilvl="4">
      <w:start w:val="1"/>
      <w:numFmt w:val="upperLetter"/>
      <w:suff w:val="space"/>
      <w:lvlText w:val="%5."/>
      <w:lvlJc w:val="left"/>
      <w:rPr>
        <w:rFonts w:hint="default"/>
      </w:rPr>
    </w:lvl>
    <w:lvl w:ilvl="5">
      <w:start w:val="1"/>
      <w:numFmt w:val="decimal"/>
      <w:suff w:val="space"/>
      <w:lvlText w:val="%6."/>
      <w:lvlJc w:val="left"/>
      <w:rPr>
        <w:rFonts w:hint="default"/>
      </w:rPr>
    </w:lvl>
    <w:lvl w:ilvl="6">
      <w:start w:val="1"/>
      <w:numFmt w:val="lowerLetter"/>
      <w:suff w:val="space"/>
      <w:lvlText w:val="%7."/>
      <w:lvlJc w:val="left"/>
      <w:rPr>
        <w:rFonts w:hint="default"/>
      </w:rPr>
    </w:lvl>
    <w:lvl w:ilvl="7">
      <w:start w:val="1"/>
      <w:numFmt w:val="lowerRoman"/>
      <w:suff w:val="space"/>
      <w:lvlText w:val="%8."/>
      <w:lvlJc w:val="left"/>
      <w:pPr>
        <w:ind w:firstLine="709"/>
      </w:pPr>
      <w:rPr>
        <w:rFonts w:hint="default"/>
      </w:rPr>
    </w:lvl>
    <w:lvl w:ilvl="8">
      <w:start w:val="1"/>
      <w:numFmt w:val="none"/>
      <w:suff w:val="nothing"/>
      <w:lvlText w:val=""/>
      <w:lvlJc w:val="left"/>
      <w:rPr>
        <w:rFonts w:hint="default"/>
      </w:rPr>
    </w:lvl>
  </w:abstractNum>
  <w:abstractNum w:abstractNumId="10">
    <w:nsid w:val="47AA08F1"/>
    <w:multiLevelType w:val="hybridMultilevel"/>
    <w:tmpl w:val="92C8A786"/>
    <w:lvl w:ilvl="0" w:tplc="1E6C9E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864910"/>
    <w:multiLevelType w:val="hybridMultilevel"/>
    <w:tmpl w:val="8DAEC3A4"/>
    <w:lvl w:ilvl="0" w:tplc="26FCD5B8">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590E4228"/>
    <w:multiLevelType w:val="hybridMultilevel"/>
    <w:tmpl w:val="7BDE7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C31295"/>
    <w:multiLevelType w:val="hybridMultilevel"/>
    <w:tmpl w:val="86D8ACE4"/>
    <w:lvl w:ilvl="0" w:tplc="AD949D2E">
      <w:start w:val="1"/>
      <w:numFmt w:val="decimal"/>
      <w:lvlText w:val="%1."/>
      <w:lvlJc w:val="right"/>
      <w:pPr>
        <w:ind w:left="360" w:hanging="360"/>
      </w:pPr>
      <w:rPr>
        <w:rFonts w:ascii="Times New Roman" w:hAnsi="Times New Roman" w:cs="Times New Roman" w:hint="default"/>
        <w:b w:val="0"/>
        <w:bCs w:val="0"/>
        <w:i w:val="0"/>
        <w:iCs w:val="0"/>
        <w:caps w:val="0"/>
        <w:strike w:val="0"/>
        <w:dstrike w:val="0"/>
        <w:vanish w:val="0"/>
        <w:color w:val="000000"/>
        <w:spacing w:val="0"/>
        <w:kern w:val="0"/>
        <w:position w:val="0"/>
        <w:u w:val="none"/>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nsid w:val="66FF2439"/>
    <w:multiLevelType w:val="hybridMultilevel"/>
    <w:tmpl w:val="0D281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F15440"/>
    <w:multiLevelType w:val="hybridMultilevel"/>
    <w:tmpl w:val="45E6E0CE"/>
    <w:lvl w:ilvl="0" w:tplc="BCDCEF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0738A4"/>
    <w:multiLevelType w:val="hybridMultilevel"/>
    <w:tmpl w:val="7018A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03312A"/>
    <w:multiLevelType w:val="hybridMultilevel"/>
    <w:tmpl w:val="C2248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
  </w:num>
  <w:num w:numId="5">
    <w:abstractNumId w:val="4"/>
  </w:num>
  <w:num w:numId="6">
    <w:abstractNumId w:val="9"/>
  </w:num>
  <w:num w:numId="7">
    <w:abstractNumId w:val="0"/>
  </w:num>
  <w:num w:numId="8">
    <w:abstractNumId w:val="17"/>
  </w:num>
  <w:num w:numId="9">
    <w:abstractNumId w:val="15"/>
  </w:num>
  <w:num w:numId="10">
    <w:abstractNumId w:val="8"/>
  </w:num>
  <w:num w:numId="11">
    <w:abstractNumId w:val="10"/>
  </w:num>
  <w:num w:numId="12">
    <w:abstractNumId w:val="5"/>
  </w:num>
  <w:num w:numId="13">
    <w:abstractNumId w:val="6"/>
  </w:num>
  <w:num w:numId="14">
    <w:abstractNumId w:val="3"/>
  </w:num>
  <w:num w:numId="15">
    <w:abstractNumId w:val="16"/>
  </w:num>
  <w:num w:numId="16">
    <w:abstractNumId w:val="14"/>
  </w:num>
  <w:num w:numId="17">
    <w:abstractNumId w:val="12"/>
  </w:num>
  <w:num w:numId="18">
    <w:abstractNumId w:val="1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hideSpellingErrors/>
  <w:proofState w:grammar="clean"/>
  <w:attachedTemplate r:id="rId1"/>
  <w:stylePaneFormatFilter w:val="0004"/>
  <w:defaultTabStop w:val="709"/>
  <w:hyphenationZone w:val="425"/>
  <w:characterSpacingControl w:val="doNotCompress"/>
  <w:doNotValidateAgainstSchema/>
  <w:doNotDemarcateInvalidXml/>
  <w:footnotePr>
    <w:footnote w:id="-1"/>
    <w:footnote w:id="0"/>
  </w:footnotePr>
  <w:endnotePr>
    <w:endnote w:id="-1"/>
    <w:endnote w:id="0"/>
  </w:endnotePr>
  <w:compat/>
  <w:rsids>
    <w:rsidRoot w:val="00020911"/>
    <w:rsid w:val="0000346D"/>
    <w:rsid w:val="00003FE9"/>
    <w:rsid w:val="00004314"/>
    <w:rsid w:val="0000781C"/>
    <w:rsid w:val="00010EF9"/>
    <w:rsid w:val="000121A9"/>
    <w:rsid w:val="00012B6D"/>
    <w:rsid w:val="00013CF8"/>
    <w:rsid w:val="000144CA"/>
    <w:rsid w:val="00014E86"/>
    <w:rsid w:val="00017330"/>
    <w:rsid w:val="00020911"/>
    <w:rsid w:val="00025022"/>
    <w:rsid w:val="000267FB"/>
    <w:rsid w:val="00030347"/>
    <w:rsid w:val="00031DF8"/>
    <w:rsid w:val="00031FC9"/>
    <w:rsid w:val="00032451"/>
    <w:rsid w:val="000334BB"/>
    <w:rsid w:val="00033D91"/>
    <w:rsid w:val="00034FDB"/>
    <w:rsid w:val="000362E2"/>
    <w:rsid w:val="000362F5"/>
    <w:rsid w:val="00036C5D"/>
    <w:rsid w:val="00040017"/>
    <w:rsid w:val="000403B1"/>
    <w:rsid w:val="0004224F"/>
    <w:rsid w:val="000462A5"/>
    <w:rsid w:val="00047A96"/>
    <w:rsid w:val="00051736"/>
    <w:rsid w:val="00051789"/>
    <w:rsid w:val="00051FAA"/>
    <w:rsid w:val="00052EFA"/>
    <w:rsid w:val="00056F89"/>
    <w:rsid w:val="000571CA"/>
    <w:rsid w:val="00057B87"/>
    <w:rsid w:val="00057CF3"/>
    <w:rsid w:val="00061540"/>
    <w:rsid w:val="0006323C"/>
    <w:rsid w:val="00064D0A"/>
    <w:rsid w:val="00067EA1"/>
    <w:rsid w:val="00071DEB"/>
    <w:rsid w:val="00071E6D"/>
    <w:rsid w:val="00073938"/>
    <w:rsid w:val="0007401D"/>
    <w:rsid w:val="00076268"/>
    <w:rsid w:val="000769A9"/>
    <w:rsid w:val="000776BF"/>
    <w:rsid w:val="0008138F"/>
    <w:rsid w:val="00082007"/>
    <w:rsid w:val="000822F9"/>
    <w:rsid w:val="00083712"/>
    <w:rsid w:val="0008456B"/>
    <w:rsid w:val="0008513F"/>
    <w:rsid w:val="0008688D"/>
    <w:rsid w:val="000901EA"/>
    <w:rsid w:val="000917F0"/>
    <w:rsid w:val="00091D1C"/>
    <w:rsid w:val="00092E64"/>
    <w:rsid w:val="00094D12"/>
    <w:rsid w:val="000952FA"/>
    <w:rsid w:val="00095E64"/>
    <w:rsid w:val="00096D56"/>
    <w:rsid w:val="0009742C"/>
    <w:rsid w:val="00097B7C"/>
    <w:rsid w:val="000A0CA6"/>
    <w:rsid w:val="000A0F82"/>
    <w:rsid w:val="000A1C80"/>
    <w:rsid w:val="000A6092"/>
    <w:rsid w:val="000A67D2"/>
    <w:rsid w:val="000A7521"/>
    <w:rsid w:val="000A7529"/>
    <w:rsid w:val="000B0A13"/>
    <w:rsid w:val="000B1780"/>
    <w:rsid w:val="000B32DE"/>
    <w:rsid w:val="000B349D"/>
    <w:rsid w:val="000B4DBD"/>
    <w:rsid w:val="000B541D"/>
    <w:rsid w:val="000B63C6"/>
    <w:rsid w:val="000B681D"/>
    <w:rsid w:val="000B78AA"/>
    <w:rsid w:val="000B78BC"/>
    <w:rsid w:val="000C079F"/>
    <w:rsid w:val="000C0BD2"/>
    <w:rsid w:val="000C2999"/>
    <w:rsid w:val="000C3251"/>
    <w:rsid w:val="000C6C71"/>
    <w:rsid w:val="000C7814"/>
    <w:rsid w:val="000D0A62"/>
    <w:rsid w:val="000D0BA2"/>
    <w:rsid w:val="000D0FC9"/>
    <w:rsid w:val="000D1D6D"/>
    <w:rsid w:val="000D2782"/>
    <w:rsid w:val="000D292F"/>
    <w:rsid w:val="000D31F4"/>
    <w:rsid w:val="000D3BBE"/>
    <w:rsid w:val="000D5056"/>
    <w:rsid w:val="000D6619"/>
    <w:rsid w:val="000D7575"/>
    <w:rsid w:val="000E09BE"/>
    <w:rsid w:val="000E24C8"/>
    <w:rsid w:val="000E2EC1"/>
    <w:rsid w:val="000E3BB2"/>
    <w:rsid w:val="000E58B7"/>
    <w:rsid w:val="000E67DF"/>
    <w:rsid w:val="000E76C8"/>
    <w:rsid w:val="000F0F7D"/>
    <w:rsid w:val="000F1B6A"/>
    <w:rsid w:val="000F1EA3"/>
    <w:rsid w:val="000F21D7"/>
    <w:rsid w:val="000F329C"/>
    <w:rsid w:val="000F3BF8"/>
    <w:rsid w:val="000F4ECA"/>
    <w:rsid w:val="000F5F5D"/>
    <w:rsid w:val="000F6DBB"/>
    <w:rsid w:val="000F7310"/>
    <w:rsid w:val="000F792A"/>
    <w:rsid w:val="00101D07"/>
    <w:rsid w:val="0010281F"/>
    <w:rsid w:val="00103CBD"/>
    <w:rsid w:val="00103D29"/>
    <w:rsid w:val="00106D6E"/>
    <w:rsid w:val="00106DC3"/>
    <w:rsid w:val="00107C6D"/>
    <w:rsid w:val="00113478"/>
    <w:rsid w:val="00115BEA"/>
    <w:rsid w:val="00115D06"/>
    <w:rsid w:val="00120F71"/>
    <w:rsid w:val="00120FF2"/>
    <w:rsid w:val="001219C9"/>
    <w:rsid w:val="001229EA"/>
    <w:rsid w:val="00122A1B"/>
    <w:rsid w:val="00123954"/>
    <w:rsid w:val="00124150"/>
    <w:rsid w:val="00124C54"/>
    <w:rsid w:val="00124CA4"/>
    <w:rsid w:val="00125A30"/>
    <w:rsid w:val="001264D7"/>
    <w:rsid w:val="00127B51"/>
    <w:rsid w:val="00127E65"/>
    <w:rsid w:val="00130635"/>
    <w:rsid w:val="0013198F"/>
    <w:rsid w:val="00132D79"/>
    <w:rsid w:val="001333EC"/>
    <w:rsid w:val="00134327"/>
    <w:rsid w:val="00134D41"/>
    <w:rsid w:val="00136E1E"/>
    <w:rsid w:val="00137A02"/>
    <w:rsid w:val="00142AB3"/>
    <w:rsid w:val="001434A2"/>
    <w:rsid w:val="00143631"/>
    <w:rsid w:val="0014401C"/>
    <w:rsid w:val="00144C30"/>
    <w:rsid w:val="00145622"/>
    <w:rsid w:val="00146D21"/>
    <w:rsid w:val="001511CA"/>
    <w:rsid w:val="001519D9"/>
    <w:rsid w:val="00154FA7"/>
    <w:rsid w:val="0015614D"/>
    <w:rsid w:val="001607F0"/>
    <w:rsid w:val="001631E4"/>
    <w:rsid w:val="0016352D"/>
    <w:rsid w:val="0016370A"/>
    <w:rsid w:val="00163AF3"/>
    <w:rsid w:val="00165935"/>
    <w:rsid w:val="00165D97"/>
    <w:rsid w:val="00166CC6"/>
    <w:rsid w:val="00166DA7"/>
    <w:rsid w:val="00170004"/>
    <w:rsid w:val="001706D9"/>
    <w:rsid w:val="0017136B"/>
    <w:rsid w:val="0017175E"/>
    <w:rsid w:val="00172AE7"/>
    <w:rsid w:val="00173534"/>
    <w:rsid w:val="00173927"/>
    <w:rsid w:val="00173BC5"/>
    <w:rsid w:val="00174578"/>
    <w:rsid w:val="00175198"/>
    <w:rsid w:val="001753EC"/>
    <w:rsid w:val="00177A5B"/>
    <w:rsid w:val="00181EA9"/>
    <w:rsid w:val="00182FEB"/>
    <w:rsid w:val="00183500"/>
    <w:rsid w:val="00184653"/>
    <w:rsid w:val="00185399"/>
    <w:rsid w:val="00185FEC"/>
    <w:rsid w:val="00187999"/>
    <w:rsid w:val="00187CDE"/>
    <w:rsid w:val="00191F3E"/>
    <w:rsid w:val="00192127"/>
    <w:rsid w:val="00192D4E"/>
    <w:rsid w:val="00194BFD"/>
    <w:rsid w:val="00195363"/>
    <w:rsid w:val="001953BE"/>
    <w:rsid w:val="00195987"/>
    <w:rsid w:val="00196A9D"/>
    <w:rsid w:val="001A12F1"/>
    <w:rsid w:val="001A378D"/>
    <w:rsid w:val="001A39F4"/>
    <w:rsid w:val="001A52D1"/>
    <w:rsid w:val="001A5547"/>
    <w:rsid w:val="001A7E7F"/>
    <w:rsid w:val="001B0445"/>
    <w:rsid w:val="001B1863"/>
    <w:rsid w:val="001B30D1"/>
    <w:rsid w:val="001B50B7"/>
    <w:rsid w:val="001B53A2"/>
    <w:rsid w:val="001B623A"/>
    <w:rsid w:val="001B6D6A"/>
    <w:rsid w:val="001B7693"/>
    <w:rsid w:val="001B7887"/>
    <w:rsid w:val="001C08C0"/>
    <w:rsid w:val="001C08D5"/>
    <w:rsid w:val="001C1545"/>
    <w:rsid w:val="001C44DB"/>
    <w:rsid w:val="001C4B00"/>
    <w:rsid w:val="001C4FEC"/>
    <w:rsid w:val="001C59F1"/>
    <w:rsid w:val="001C651F"/>
    <w:rsid w:val="001C7EE2"/>
    <w:rsid w:val="001D0136"/>
    <w:rsid w:val="001D0824"/>
    <w:rsid w:val="001D17B4"/>
    <w:rsid w:val="001D185D"/>
    <w:rsid w:val="001D1B74"/>
    <w:rsid w:val="001D1E85"/>
    <w:rsid w:val="001D2A2B"/>
    <w:rsid w:val="001D44A3"/>
    <w:rsid w:val="001D7263"/>
    <w:rsid w:val="001D7939"/>
    <w:rsid w:val="001D79BE"/>
    <w:rsid w:val="001E0083"/>
    <w:rsid w:val="001E0364"/>
    <w:rsid w:val="001E073D"/>
    <w:rsid w:val="001E1AA0"/>
    <w:rsid w:val="001E22C1"/>
    <w:rsid w:val="001E2B28"/>
    <w:rsid w:val="001E2FEC"/>
    <w:rsid w:val="001E3BDE"/>
    <w:rsid w:val="001E3CCA"/>
    <w:rsid w:val="001E5484"/>
    <w:rsid w:val="001E5C57"/>
    <w:rsid w:val="001F0321"/>
    <w:rsid w:val="001F4F6A"/>
    <w:rsid w:val="001F4F98"/>
    <w:rsid w:val="001F5966"/>
    <w:rsid w:val="001F63C1"/>
    <w:rsid w:val="001F7814"/>
    <w:rsid w:val="001F7D75"/>
    <w:rsid w:val="00200735"/>
    <w:rsid w:val="00203A79"/>
    <w:rsid w:val="00203F5C"/>
    <w:rsid w:val="00204254"/>
    <w:rsid w:val="002056E7"/>
    <w:rsid w:val="00205DC7"/>
    <w:rsid w:val="00207085"/>
    <w:rsid w:val="00211147"/>
    <w:rsid w:val="00212FFD"/>
    <w:rsid w:val="00213030"/>
    <w:rsid w:val="0021394A"/>
    <w:rsid w:val="002178A9"/>
    <w:rsid w:val="0022103A"/>
    <w:rsid w:val="0022626E"/>
    <w:rsid w:val="00226C29"/>
    <w:rsid w:val="00227143"/>
    <w:rsid w:val="002272EE"/>
    <w:rsid w:val="00232904"/>
    <w:rsid w:val="00233DBA"/>
    <w:rsid w:val="00233E09"/>
    <w:rsid w:val="002370DF"/>
    <w:rsid w:val="002379FC"/>
    <w:rsid w:val="0024130C"/>
    <w:rsid w:val="0024149B"/>
    <w:rsid w:val="00245029"/>
    <w:rsid w:val="002515AE"/>
    <w:rsid w:val="00251997"/>
    <w:rsid w:val="0025337C"/>
    <w:rsid w:val="00254C99"/>
    <w:rsid w:val="002559C2"/>
    <w:rsid w:val="00255F46"/>
    <w:rsid w:val="002570BC"/>
    <w:rsid w:val="00257512"/>
    <w:rsid w:val="00257D39"/>
    <w:rsid w:val="002601E9"/>
    <w:rsid w:val="00260D25"/>
    <w:rsid w:val="00261A2E"/>
    <w:rsid w:val="00262367"/>
    <w:rsid w:val="00262755"/>
    <w:rsid w:val="00264E5F"/>
    <w:rsid w:val="00265474"/>
    <w:rsid w:val="0026790B"/>
    <w:rsid w:val="00267A2E"/>
    <w:rsid w:val="002702FA"/>
    <w:rsid w:val="00270C98"/>
    <w:rsid w:val="002715D6"/>
    <w:rsid w:val="00272D6C"/>
    <w:rsid w:val="00276007"/>
    <w:rsid w:val="0028175F"/>
    <w:rsid w:val="00282A35"/>
    <w:rsid w:val="00284209"/>
    <w:rsid w:val="002844F3"/>
    <w:rsid w:val="002846BD"/>
    <w:rsid w:val="00285646"/>
    <w:rsid w:val="00287062"/>
    <w:rsid w:val="00287884"/>
    <w:rsid w:val="00287CC9"/>
    <w:rsid w:val="0029001C"/>
    <w:rsid w:val="002966DD"/>
    <w:rsid w:val="00296FB4"/>
    <w:rsid w:val="002970C4"/>
    <w:rsid w:val="0029745E"/>
    <w:rsid w:val="00297ACF"/>
    <w:rsid w:val="002A0E74"/>
    <w:rsid w:val="002A0FC4"/>
    <w:rsid w:val="002A1989"/>
    <w:rsid w:val="002A19EC"/>
    <w:rsid w:val="002A24C1"/>
    <w:rsid w:val="002A313F"/>
    <w:rsid w:val="002A433A"/>
    <w:rsid w:val="002A4917"/>
    <w:rsid w:val="002A4EFA"/>
    <w:rsid w:val="002A6341"/>
    <w:rsid w:val="002B0429"/>
    <w:rsid w:val="002B16E8"/>
    <w:rsid w:val="002B1D65"/>
    <w:rsid w:val="002B2B0F"/>
    <w:rsid w:val="002B2EC9"/>
    <w:rsid w:val="002B4E97"/>
    <w:rsid w:val="002B4EF8"/>
    <w:rsid w:val="002C263A"/>
    <w:rsid w:val="002C3C7F"/>
    <w:rsid w:val="002C4880"/>
    <w:rsid w:val="002C5531"/>
    <w:rsid w:val="002C5AFD"/>
    <w:rsid w:val="002C5D7A"/>
    <w:rsid w:val="002D0342"/>
    <w:rsid w:val="002E06E0"/>
    <w:rsid w:val="002E085B"/>
    <w:rsid w:val="002E16CD"/>
    <w:rsid w:val="002E1D57"/>
    <w:rsid w:val="002E293C"/>
    <w:rsid w:val="002E5032"/>
    <w:rsid w:val="002E5C7E"/>
    <w:rsid w:val="002F070F"/>
    <w:rsid w:val="002F0843"/>
    <w:rsid w:val="002F12B7"/>
    <w:rsid w:val="002F1BD3"/>
    <w:rsid w:val="002F1FB1"/>
    <w:rsid w:val="002F2B52"/>
    <w:rsid w:val="002F3074"/>
    <w:rsid w:val="002F3171"/>
    <w:rsid w:val="002F3FDE"/>
    <w:rsid w:val="002F5BFE"/>
    <w:rsid w:val="002F680A"/>
    <w:rsid w:val="002F6B09"/>
    <w:rsid w:val="0030159C"/>
    <w:rsid w:val="00303E3A"/>
    <w:rsid w:val="003044BF"/>
    <w:rsid w:val="00304E1F"/>
    <w:rsid w:val="0030541C"/>
    <w:rsid w:val="00305787"/>
    <w:rsid w:val="00305FEB"/>
    <w:rsid w:val="003063A8"/>
    <w:rsid w:val="00306806"/>
    <w:rsid w:val="003068FD"/>
    <w:rsid w:val="00306D75"/>
    <w:rsid w:val="00307372"/>
    <w:rsid w:val="00310B3C"/>
    <w:rsid w:val="00311F4B"/>
    <w:rsid w:val="00313BAF"/>
    <w:rsid w:val="00313ED5"/>
    <w:rsid w:val="003207C0"/>
    <w:rsid w:val="00323226"/>
    <w:rsid w:val="003241EF"/>
    <w:rsid w:val="0032636F"/>
    <w:rsid w:val="003342AA"/>
    <w:rsid w:val="00334764"/>
    <w:rsid w:val="003347BA"/>
    <w:rsid w:val="003356F1"/>
    <w:rsid w:val="003358AF"/>
    <w:rsid w:val="00340AF9"/>
    <w:rsid w:val="00341913"/>
    <w:rsid w:val="00343BC7"/>
    <w:rsid w:val="003443A7"/>
    <w:rsid w:val="00345720"/>
    <w:rsid w:val="00345F36"/>
    <w:rsid w:val="00346B89"/>
    <w:rsid w:val="0034775E"/>
    <w:rsid w:val="003479BB"/>
    <w:rsid w:val="00350428"/>
    <w:rsid w:val="00350943"/>
    <w:rsid w:val="00351278"/>
    <w:rsid w:val="00352D91"/>
    <w:rsid w:val="0035744F"/>
    <w:rsid w:val="00357E20"/>
    <w:rsid w:val="00360339"/>
    <w:rsid w:val="0036038C"/>
    <w:rsid w:val="00361416"/>
    <w:rsid w:val="00361605"/>
    <w:rsid w:val="00361EA9"/>
    <w:rsid w:val="003621F1"/>
    <w:rsid w:val="00364708"/>
    <w:rsid w:val="00365412"/>
    <w:rsid w:val="0036675D"/>
    <w:rsid w:val="00366C98"/>
    <w:rsid w:val="003716C8"/>
    <w:rsid w:val="003719D7"/>
    <w:rsid w:val="003729D0"/>
    <w:rsid w:val="00373599"/>
    <w:rsid w:val="003743B0"/>
    <w:rsid w:val="00374693"/>
    <w:rsid w:val="003757CD"/>
    <w:rsid w:val="00375A2C"/>
    <w:rsid w:val="00376249"/>
    <w:rsid w:val="00376465"/>
    <w:rsid w:val="00376C1C"/>
    <w:rsid w:val="00376CAA"/>
    <w:rsid w:val="0038051D"/>
    <w:rsid w:val="003810C3"/>
    <w:rsid w:val="00381DD2"/>
    <w:rsid w:val="003824CE"/>
    <w:rsid w:val="0038460E"/>
    <w:rsid w:val="00384AA3"/>
    <w:rsid w:val="00387315"/>
    <w:rsid w:val="00387AAE"/>
    <w:rsid w:val="0039103E"/>
    <w:rsid w:val="0039108D"/>
    <w:rsid w:val="0039127C"/>
    <w:rsid w:val="0039171F"/>
    <w:rsid w:val="00392178"/>
    <w:rsid w:val="0039231B"/>
    <w:rsid w:val="0039282B"/>
    <w:rsid w:val="00393A5B"/>
    <w:rsid w:val="00395278"/>
    <w:rsid w:val="0039549A"/>
    <w:rsid w:val="0039685F"/>
    <w:rsid w:val="003A09C4"/>
    <w:rsid w:val="003A0D8F"/>
    <w:rsid w:val="003A43BE"/>
    <w:rsid w:val="003A44E5"/>
    <w:rsid w:val="003B0ABA"/>
    <w:rsid w:val="003B27CD"/>
    <w:rsid w:val="003B2F67"/>
    <w:rsid w:val="003B4771"/>
    <w:rsid w:val="003B4EE4"/>
    <w:rsid w:val="003B4EF2"/>
    <w:rsid w:val="003B54C4"/>
    <w:rsid w:val="003B5DB1"/>
    <w:rsid w:val="003B711D"/>
    <w:rsid w:val="003B76F3"/>
    <w:rsid w:val="003C16A9"/>
    <w:rsid w:val="003C247F"/>
    <w:rsid w:val="003C419F"/>
    <w:rsid w:val="003C4C1B"/>
    <w:rsid w:val="003C4E31"/>
    <w:rsid w:val="003C5CEC"/>
    <w:rsid w:val="003C6E6B"/>
    <w:rsid w:val="003D0CAC"/>
    <w:rsid w:val="003D4B46"/>
    <w:rsid w:val="003E2DC0"/>
    <w:rsid w:val="003E32F5"/>
    <w:rsid w:val="003E334F"/>
    <w:rsid w:val="003E398B"/>
    <w:rsid w:val="003E4645"/>
    <w:rsid w:val="003E486E"/>
    <w:rsid w:val="003E6A78"/>
    <w:rsid w:val="003E7E34"/>
    <w:rsid w:val="003F00A1"/>
    <w:rsid w:val="003F29F5"/>
    <w:rsid w:val="003F4866"/>
    <w:rsid w:val="003F53F9"/>
    <w:rsid w:val="003F5A6F"/>
    <w:rsid w:val="003F7069"/>
    <w:rsid w:val="003F70E8"/>
    <w:rsid w:val="003F7C62"/>
    <w:rsid w:val="003F7FE0"/>
    <w:rsid w:val="004022FE"/>
    <w:rsid w:val="00402FC3"/>
    <w:rsid w:val="004045EF"/>
    <w:rsid w:val="00404AA8"/>
    <w:rsid w:val="00406DDC"/>
    <w:rsid w:val="00410F90"/>
    <w:rsid w:val="004123B1"/>
    <w:rsid w:val="004137BF"/>
    <w:rsid w:val="00415AED"/>
    <w:rsid w:val="00420C33"/>
    <w:rsid w:val="00420C41"/>
    <w:rsid w:val="00421DF4"/>
    <w:rsid w:val="0042508E"/>
    <w:rsid w:val="00427D27"/>
    <w:rsid w:val="00431B23"/>
    <w:rsid w:val="00433094"/>
    <w:rsid w:val="00436632"/>
    <w:rsid w:val="0043668D"/>
    <w:rsid w:val="00437F8B"/>
    <w:rsid w:val="00440817"/>
    <w:rsid w:val="00441774"/>
    <w:rsid w:val="00441E71"/>
    <w:rsid w:val="00442820"/>
    <w:rsid w:val="004439B8"/>
    <w:rsid w:val="00445015"/>
    <w:rsid w:val="00445E58"/>
    <w:rsid w:val="0044631A"/>
    <w:rsid w:val="00446AC6"/>
    <w:rsid w:val="0044738B"/>
    <w:rsid w:val="00450B4F"/>
    <w:rsid w:val="00450D08"/>
    <w:rsid w:val="00451511"/>
    <w:rsid w:val="004521CF"/>
    <w:rsid w:val="0045253A"/>
    <w:rsid w:val="00454059"/>
    <w:rsid w:val="00455B43"/>
    <w:rsid w:val="00456B2E"/>
    <w:rsid w:val="00456FD0"/>
    <w:rsid w:val="00460250"/>
    <w:rsid w:val="00463678"/>
    <w:rsid w:val="004637E0"/>
    <w:rsid w:val="004654BA"/>
    <w:rsid w:val="00466996"/>
    <w:rsid w:val="00466B8F"/>
    <w:rsid w:val="00470945"/>
    <w:rsid w:val="004730C8"/>
    <w:rsid w:val="00473899"/>
    <w:rsid w:val="004773DE"/>
    <w:rsid w:val="00480059"/>
    <w:rsid w:val="004826AF"/>
    <w:rsid w:val="0048329B"/>
    <w:rsid w:val="004838D6"/>
    <w:rsid w:val="004844D6"/>
    <w:rsid w:val="00485122"/>
    <w:rsid w:val="0048584C"/>
    <w:rsid w:val="00485BA0"/>
    <w:rsid w:val="004863D8"/>
    <w:rsid w:val="00487B7B"/>
    <w:rsid w:val="004902FD"/>
    <w:rsid w:val="00492544"/>
    <w:rsid w:val="00493012"/>
    <w:rsid w:val="004945FE"/>
    <w:rsid w:val="00494985"/>
    <w:rsid w:val="0049669F"/>
    <w:rsid w:val="004A00CB"/>
    <w:rsid w:val="004A0855"/>
    <w:rsid w:val="004A1AC3"/>
    <w:rsid w:val="004A1C94"/>
    <w:rsid w:val="004A24E3"/>
    <w:rsid w:val="004A2734"/>
    <w:rsid w:val="004A2790"/>
    <w:rsid w:val="004A30BA"/>
    <w:rsid w:val="004A5D36"/>
    <w:rsid w:val="004A7596"/>
    <w:rsid w:val="004A76B8"/>
    <w:rsid w:val="004B101D"/>
    <w:rsid w:val="004B17D3"/>
    <w:rsid w:val="004B1F5B"/>
    <w:rsid w:val="004B28DF"/>
    <w:rsid w:val="004B292B"/>
    <w:rsid w:val="004B2F12"/>
    <w:rsid w:val="004B3E3B"/>
    <w:rsid w:val="004B497D"/>
    <w:rsid w:val="004B6581"/>
    <w:rsid w:val="004B6623"/>
    <w:rsid w:val="004B67ED"/>
    <w:rsid w:val="004B7925"/>
    <w:rsid w:val="004C07D0"/>
    <w:rsid w:val="004C548C"/>
    <w:rsid w:val="004C5767"/>
    <w:rsid w:val="004C5ED6"/>
    <w:rsid w:val="004C750E"/>
    <w:rsid w:val="004D0690"/>
    <w:rsid w:val="004D06E0"/>
    <w:rsid w:val="004D1641"/>
    <w:rsid w:val="004D3932"/>
    <w:rsid w:val="004D5579"/>
    <w:rsid w:val="004D5ACF"/>
    <w:rsid w:val="004D6D0D"/>
    <w:rsid w:val="004D7020"/>
    <w:rsid w:val="004E0C95"/>
    <w:rsid w:val="004E119E"/>
    <w:rsid w:val="004E2B0A"/>
    <w:rsid w:val="004E2F09"/>
    <w:rsid w:val="004E3374"/>
    <w:rsid w:val="004E607E"/>
    <w:rsid w:val="004E65DB"/>
    <w:rsid w:val="004E6AA7"/>
    <w:rsid w:val="004F0E57"/>
    <w:rsid w:val="004F2732"/>
    <w:rsid w:val="004F319C"/>
    <w:rsid w:val="004F4E9F"/>
    <w:rsid w:val="004F560F"/>
    <w:rsid w:val="004F5B0E"/>
    <w:rsid w:val="004F5DE8"/>
    <w:rsid w:val="004F5E2B"/>
    <w:rsid w:val="004F66CE"/>
    <w:rsid w:val="004F6808"/>
    <w:rsid w:val="004F68B5"/>
    <w:rsid w:val="005002CA"/>
    <w:rsid w:val="005008E7"/>
    <w:rsid w:val="00501991"/>
    <w:rsid w:val="00502543"/>
    <w:rsid w:val="00502B72"/>
    <w:rsid w:val="00504013"/>
    <w:rsid w:val="00506560"/>
    <w:rsid w:val="00506680"/>
    <w:rsid w:val="0050739C"/>
    <w:rsid w:val="00507AE4"/>
    <w:rsid w:val="005109C0"/>
    <w:rsid w:val="00512B22"/>
    <w:rsid w:val="00514587"/>
    <w:rsid w:val="0051560F"/>
    <w:rsid w:val="00515A2A"/>
    <w:rsid w:val="00516BB5"/>
    <w:rsid w:val="005206E0"/>
    <w:rsid w:val="00525986"/>
    <w:rsid w:val="005266B6"/>
    <w:rsid w:val="00527763"/>
    <w:rsid w:val="00533540"/>
    <w:rsid w:val="00533B6E"/>
    <w:rsid w:val="00533F73"/>
    <w:rsid w:val="00534EA6"/>
    <w:rsid w:val="0053513D"/>
    <w:rsid w:val="00535C26"/>
    <w:rsid w:val="00535FAF"/>
    <w:rsid w:val="0053616F"/>
    <w:rsid w:val="005428D7"/>
    <w:rsid w:val="00542E10"/>
    <w:rsid w:val="00543CBF"/>
    <w:rsid w:val="00544CAD"/>
    <w:rsid w:val="00546918"/>
    <w:rsid w:val="005470B1"/>
    <w:rsid w:val="00550184"/>
    <w:rsid w:val="00550DCA"/>
    <w:rsid w:val="00550F30"/>
    <w:rsid w:val="0055135E"/>
    <w:rsid w:val="00552CAE"/>
    <w:rsid w:val="005537A7"/>
    <w:rsid w:val="0055523B"/>
    <w:rsid w:val="00555BBA"/>
    <w:rsid w:val="005578E7"/>
    <w:rsid w:val="00560542"/>
    <w:rsid w:val="00561DCE"/>
    <w:rsid w:val="005628F3"/>
    <w:rsid w:val="005654B0"/>
    <w:rsid w:val="005673EE"/>
    <w:rsid w:val="00571299"/>
    <w:rsid w:val="005717CD"/>
    <w:rsid w:val="00572081"/>
    <w:rsid w:val="00572512"/>
    <w:rsid w:val="0057296B"/>
    <w:rsid w:val="00572BDD"/>
    <w:rsid w:val="0057323F"/>
    <w:rsid w:val="00573C0F"/>
    <w:rsid w:val="00574612"/>
    <w:rsid w:val="00574701"/>
    <w:rsid w:val="0057569C"/>
    <w:rsid w:val="00576CFE"/>
    <w:rsid w:val="00581775"/>
    <w:rsid w:val="00582636"/>
    <w:rsid w:val="0058426A"/>
    <w:rsid w:val="00584BA3"/>
    <w:rsid w:val="00586611"/>
    <w:rsid w:val="00590A60"/>
    <w:rsid w:val="0059481A"/>
    <w:rsid w:val="00594A6F"/>
    <w:rsid w:val="00594EF7"/>
    <w:rsid w:val="00595F60"/>
    <w:rsid w:val="00596D63"/>
    <w:rsid w:val="005973BA"/>
    <w:rsid w:val="00597F9D"/>
    <w:rsid w:val="005A0E8B"/>
    <w:rsid w:val="005A5831"/>
    <w:rsid w:val="005B03DE"/>
    <w:rsid w:val="005B1D95"/>
    <w:rsid w:val="005B2434"/>
    <w:rsid w:val="005B2A12"/>
    <w:rsid w:val="005B2ACF"/>
    <w:rsid w:val="005B65CB"/>
    <w:rsid w:val="005B6843"/>
    <w:rsid w:val="005B6C02"/>
    <w:rsid w:val="005B7D8E"/>
    <w:rsid w:val="005C0570"/>
    <w:rsid w:val="005C12E4"/>
    <w:rsid w:val="005C1B92"/>
    <w:rsid w:val="005C2A69"/>
    <w:rsid w:val="005C2DDB"/>
    <w:rsid w:val="005C31B6"/>
    <w:rsid w:val="005C5698"/>
    <w:rsid w:val="005C6C7B"/>
    <w:rsid w:val="005D17A6"/>
    <w:rsid w:val="005D2CD8"/>
    <w:rsid w:val="005D3928"/>
    <w:rsid w:val="005D43A8"/>
    <w:rsid w:val="005D663A"/>
    <w:rsid w:val="005D6BFC"/>
    <w:rsid w:val="005E001B"/>
    <w:rsid w:val="005E014D"/>
    <w:rsid w:val="005E239B"/>
    <w:rsid w:val="005E2576"/>
    <w:rsid w:val="005E4A51"/>
    <w:rsid w:val="005E5152"/>
    <w:rsid w:val="005E5791"/>
    <w:rsid w:val="005E6715"/>
    <w:rsid w:val="005E69EE"/>
    <w:rsid w:val="005E6C09"/>
    <w:rsid w:val="005E7A03"/>
    <w:rsid w:val="005E7D65"/>
    <w:rsid w:val="005F03DE"/>
    <w:rsid w:val="005F03F8"/>
    <w:rsid w:val="005F0C10"/>
    <w:rsid w:val="005F205B"/>
    <w:rsid w:val="005F3220"/>
    <w:rsid w:val="005F4E25"/>
    <w:rsid w:val="005F7168"/>
    <w:rsid w:val="0060032D"/>
    <w:rsid w:val="006005FB"/>
    <w:rsid w:val="00600698"/>
    <w:rsid w:val="006019EE"/>
    <w:rsid w:val="006022AE"/>
    <w:rsid w:val="006034C5"/>
    <w:rsid w:val="00604155"/>
    <w:rsid w:val="006052F9"/>
    <w:rsid w:val="00607919"/>
    <w:rsid w:val="00607E01"/>
    <w:rsid w:val="0061211C"/>
    <w:rsid w:val="006131F0"/>
    <w:rsid w:val="0061382E"/>
    <w:rsid w:val="00614922"/>
    <w:rsid w:val="00614E2C"/>
    <w:rsid w:val="00615524"/>
    <w:rsid w:val="00620BE4"/>
    <w:rsid w:val="006235F2"/>
    <w:rsid w:val="00624197"/>
    <w:rsid w:val="00626BBB"/>
    <w:rsid w:val="00626C6D"/>
    <w:rsid w:val="006271A8"/>
    <w:rsid w:val="006276AC"/>
    <w:rsid w:val="00627D10"/>
    <w:rsid w:val="00627E8C"/>
    <w:rsid w:val="0063252E"/>
    <w:rsid w:val="00633560"/>
    <w:rsid w:val="006335CE"/>
    <w:rsid w:val="00634DFD"/>
    <w:rsid w:val="0063661E"/>
    <w:rsid w:val="00636BB5"/>
    <w:rsid w:val="00636BC8"/>
    <w:rsid w:val="00640329"/>
    <w:rsid w:val="00640507"/>
    <w:rsid w:val="00641014"/>
    <w:rsid w:val="00641494"/>
    <w:rsid w:val="00641BC4"/>
    <w:rsid w:val="00642E09"/>
    <w:rsid w:val="00644B52"/>
    <w:rsid w:val="00645A3E"/>
    <w:rsid w:val="00651E3B"/>
    <w:rsid w:val="00651E5A"/>
    <w:rsid w:val="00652356"/>
    <w:rsid w:val="00654673"/>
    <w:rsid w:val="00657EBA"/>
    <w:rsid w:val="0066048D"/>
    <w:rsid w:val="00660BA4"/>
    <w:rsid w:val="00661111"/>
    <w:rsid w:val="00661FB6"/>
    <w:rsid w:val="006638C9"/>
    <w:rsid w:val="00663D0F"/>
    <w:rsid w:val="00664396"/>
    <w:rsid w:val="00667EC1"/>
    <w:rsid w:val="00672693"/>
    <w:rsid w:val="0068077B"/>
    <w:rsid w:val="0068221A"/>
    <w:rsid w:val="00683A64"/>
    <w:rsid w:val="006841A7"/>
    <w:rsid w:val="0068456A"/>
    <w:rsid w:val="0068598D"/>
    <w:rsid w:val="00686C32"/>
    <w:rsid w:val="00686D89"/>
    <w:rsid w:val="00687373"/>
    <w:rsid w:val="006874D1"/>
    <w:rsid w:val="00687EEF"/>
    <w:rsid w:val="00690B9D"/>
    <w:rsid w:val="0069296B"/>
    <w:rsid w:val="006931DD"/>
    <w:rsid w:val="00695880"/>
    <w:rsid w:val="006959BA"/>
    <w:rsid w:val="0069722D"/>
    <w:rsid w:val="006978D8"/>
    <w:rsid w:val="006A0BB1"/>
    <w:rsid w:val="006A0E54"/>
    <w:rsid w:val="006A1D7E"/>
    <w:rsid w:val="006A21B3"/>
    <w:rsid w:val="006A359B"/>
    <w:rsid w:val="006A3C85"/>
    <w:rsid w:val="006A51F2"/>
    <w:rsid w:val="006A5D74"/>
    <w:rsid w:val="006A61A5"/>
    <w:rsid w:val="006A76C3"/>
    <w:rsid w:val="006B0B89"/>
    <w:rsid w:val="006B139C"/>
    <w:rsid w:val="006B31BD"/>
    <w:rsid w:val="006B5902"/>
    <w:rsid w:val="006B5CB3"/>
    <w:rsid w:val="006B5FDB"/>
    <w:rsid w:val="006B650E"/>
    <w:rsid w:val="006B67B2"/>
    <w:rsid w:val="006C0811"/>
    <w:rsid w:val="006C1801"/>
    <w:rsid w:val="006C423D"/>
    <w:rsid w:val="006C5520"/>
    <w:rsid w:val="006C6213"/>
    <w:rsid w:val="006D2DC2"/>
    <w:rsid w:val="006D3A37"/>
    <w:rsid w:val="006D710E"/>
    <w:rsid w:val="006E123B"/>
    <w:rsid w:val="006E1363"/>
    <w:rsid w:val="006E1538"/>
    <w:rsid w:val="006E2CB3"/>
    <w:rsid w:val="006E471F"/>
    <w:rsid w:val="006E4E46"/>
    <w:rsid w:val="006E5942"/>
    <w:rsid w:val="006E5DD4"/>
    <w:rsid w:val="006E635E"/>
    <w:rsid w:val="006E6C43"/>
    <w:rsid w:val="006F07E8"/>
    <w:rsid w:val="006F2405"/>
    <w:rsid w:val="006F3160"/>
    <w:rsid w:val="006F46E9"/>
    <w:rsid w:val="00700454"/>
    <w:rsid w:val="007020F4"/>
    <w:rsid w:val="007036AB"/>
    <w:rsid w:val="00705CA6"/>
    <w:rsid w:val="00706243"/>
    <w:rsid w:val="00706977"/>
    <w:rsid w:val="00707339"/>
    <w:rsid w:val="007075DA"/>
    <w:rsid w:val="00707725"/>
    <w:rsid w:val="00707846"/>
    <w:rsid w:val="0071032F"/>
    <w:rsid w:val="0071053E"/>
    <w:rsid w:val="0071268D"/>
    <w:rsid w:val="00712B44"/>
    <w:rsid w:val="00713C9E"/>
    <w:rsid w:val="0071440A"/>
    <w:rsid w:val="00714952"/>
    <w:rsid w:val="00717026"/>
    <w:rsid w:val="00720390"/>
    <w:rsid w:val="00721EE1"/>
    <w:rsid w:val="00723161"/>
    <w:rsid w:val="00724A88"/>
    <w:rsid w:val="00725916"/>
    <w:rsid w:val="0072798B"/>
    <w:rsid w:val="0073125D"/>
    <w:rsid w:val="007313B1"/>
    <w:rsid w:val="00740C37"/>
    <w:rsid w:val="0074178F"/>
    <w:rsid w:val="0074321C"/>
    <w:rsid w:val="00744289"/>
    <w:rsid w:val="00746471"/>
    <w:rsid w:val="00746D53"/>
    <w:rsid w:val="00747C2D"/>
    <w:rsid w:val="00747FEA"/>
    <w:rsid w:val="007513E0"/>
    <w:rsid w:val="0075226D"/>
    <w:rsid w:val="007527FC"/>
    <w:rsid w:val="00753130"/>
    <w:rsid w:val="007539B3"/>
    <w:rsid w:val="00753CDD"/>
    <w:rsid w:val="00755171"/>
    <w:rsid w:val="00755CFD"/>
    <w:rsid w:val="00760487"/>
    <w:rsid w:val="00763B37"/>
    <w:rsid w:val="007640E2"/>
    <w:rsid w:val="007647DA"/>
    <w:rsid w:val="00766F21"/>
    <w:rsid w:val="00767629"/>
    <w:rsid w:val="00770137"/>
    <w:rsid w:val="007709A7"/>
    <w:rsid w:val="00770D5D"/>
    <w:rsid w:val="00772650"/>
    <w:rsid w:val="00773588"/>
    <w:rsid w:val="00773935"/>
    <w:rsid w:val="00774B8E"/>
    <w:rsid w:val="00774D59"/>
    <w:rsid w:val="00775BC6"/>
    <w:rsid w:val="007768B2"/>
    <w:rsid w:val="00780B0A"/>
    <w:rsid w:val="007817B5"/>
    <w:rsid w:val="00782142"/>
    <w:rsid w:val="0078464F"/>
    <w:rsid w:val="00784A3A"/>
    <w:rsid w:val="00790370"/>
    <w:rsid w:val="007937EB"/>
    <w:rsid w:val="00794932"/>
    <w:rsid w:val="00794C3C"/>
    <w:rsid w:val="007956AF"/>
    <w:rsid w:val="007A0A3A"/>
    <w:rsid w:val="007A4A43"/>
    <w:rsid w:val="007A54B2"/>
    <w:rsid w:val="007A68B6"/>
    <w:rsid w:val="007A6D58"/>
    <w:rsid w:val="007B0011"/>
    <w:rsid w:val="007B126F"/>
    <w:rsid w:val="007B14CD"/>
    <w:rsid w:val="007B201F"/>
    <w:rsid w:val="007B4E91"/>
    <w:rsid w:val="007C070B"/>
    <w:rsid w:val="007C19BB"/>
    <w:rsid w:val="007C2A5C"/>
    <w:rsid w:val="007C3510"/>
    <w:rsid w:val="007C40B6"/>
    <w:rsid w:val="007C6126"/>
    <w:rsid w:val="007D0082"/>
    <w:rsid w:val="007D080B"/>
    <w:rsid w:val="007D0C25"/>
    <w:rsid w:val="007D390C"/>
    <w:rsid w:val="007D4C91"/>
    <w:rsid w:val="007D4F43"/>
    <w:rsid w:val="007D6C30"/>
    <w:rsid w:val="007D6FD0"/>
    <w:rsid w:val="007D7EAF"/>
    <w:rsid w:val="007E076B"/>
    <w:rsid w:val="007E17D6"/>
    <w:rsid w:val="007E459E"/>
    <w:rsid w:val="007E59D1"/>
    <w:rsid w:val="007E785A"/>
    <w:rsid w:val="007F01BD"/>
    <w:rsid w:val="007F0885"/>
    <w:rsid w:val="007F1408"/>
    <w:rsid w:val="007F17A8"/>
    <w:rsid w:val="007F20DB"/>
    <w:rsid w:val="007F44F7"/>
    <w:rsid w:val="007F6DF9"/>
    <w:rsid w:val="007F6EED"/>
    <w:rsid w:val="008005E9"/>
    <w:rsid w:val="00800A41"/>
    <w:rsid w:val="00800C73"/>
    <w:rsid w:val="0080212F"/>
    <w:rsid w:val="00802D17"/>
    <w:rsid w:val="0080403D"/>
    <w:rsid w:val="00806AE8"/>
    <w:rsid w:val="00807D9B"/>
    <w:rsid w:val="00812150"/>
    <w:rsid w:val="00812B51"/>
    <w:rsid w:val="00812D64"/>
    <w:rsid w:val="00813D28"/>
    <w:rsid w:val="0081609E"/>
    <w:rsid w:val="00822526"/>
    <w:rsid w:val="008237A7"/>
    <w:rsid w:val="00823D5D"/>
    <w:rsid w:val="00824397"/>
    <w:rsid w:val="00824A91"/>
    <w:rsid w:val="008250FF"/>
    <w:rsid w:val="00825B29"/>
    <w:rsid w:val="00825E14"/>
    <w:rsid w:val="0082636B"/>
    <w:rsid w:val="00826CFE"/>
    <w:rsid w:val="00827D6C"/>
    <w:rsid w:val="008327EA"/>
    <w:rsid w:val="00833644"/>
    <w:rsid w:val="00833A6B"/>
    <w:rsid w:val="00834DD8"/>
    <w:rsid w:val="008352E2"/>
    <w:rsid w:val="00835306"/>
    <w:rsid w:val="008353CE"/>
    <w:rsid w:val="0083570B"/>
    <w:rsid w:val="00836223"/>
    <w:rsid w:val="008373A9"/>
    <w:rsid w:val="008413DD"/>
    <w:rsid w:val="00841437"/>
    <w:rsid w:val="008419A9"/>
    <w:rsid w:val="00841BD5"/>
    <w:rsid w:val="00841ED2"/>
    <w:rsid w:val="0084304E"/>
    <w:rsid w:val="00843445"/>
    <w:rsid w:val="008444B9"/>
    <w:rsid w:val="00846812"/>
    <w:rsid w:val="0085084D"/>
    <w:rsid w:val="00851ABE"/>
    <w:rsid w:val="008527A0"/>
    <w:rsid w:val="008535B5"/>
    <w:rsid w:val="008545A2"/>
    <w:rsid w:val="00856566"/>
    <w:rsid w:val="0085672A"/>
    <w:rsid w:val="00857194"/>
    <w:rsid w:val="00857D96"/>
    <w:rsid w:val="00860FC2"/>
    <w:rsid w:val="008618D4"/>
    <w:rsid w:val="00862717"/>
    <w:rsid w:val="008644B8"/>
    <w:rsid w:val="008668EC"/>
    <w:rsid w:val="00867211"/>
    <w:rsid w:val="00867D50"/>
    <w:rsid w:val="00867D6B"/>
    <w:rsid w:val="00875E49"/>
    <w:rsid w:val="00876D5D"/>
    <w:rsid w:val="00877704"/>
    <w:rsid w:val="00880652"/>
    <w:rsid w:val="00881D38"/>
    <w:rsid w:val="00881DC5"/>
    <w:rsid w:val="00882B1D"/>
    <w:rsid w:val="00882DEF"/>
    <w:rsid w:val="00883348"/>
    <w:rsid w:val="00884DB2"/>
    <w:rsid w:val="0088589F"/>
    <w:rsid w:val="00890631"/>
    <w:rsid w:val="008924D5"/>
    <w:rsid w:val="00894BA6"/>
    <w:rsid w:val="008A09CC"/>
    <w:rsid w:val="008A115F"/>
    <w:rsid w:val="008A2457"/>
    <w:rsid w:val="008A2FDC"/>
    <w:rsid w:val="008A3670"/>
    <w:rsid w:val="008A36EC"/>
    <w:rsid w:val="008B0D8F"/>
    <w:rsid w:val="008B1AB8"/>
    <w:rsid w:val="008B1AE5"/>
    <w:rsid w:val="008B244E"/>
    <w:rsid w:val="008B35EB"/>
    <w:rsid w:val="008B4E5D"/>
    <w:rsid w:val="008B5068"/>
    <w:rsid w:val="008B77A4"/>
    <w:rsid w:val="008B7824"/>
    <w:rsid w:val="008C0FA2"/>
    <w:rsid w:val="008C3E07"/>
    <w:rsid w:val="008C3F37"/>
    <w:rsid w:val="008C623A"/>
    <w:rsid w:val="008C7DF3"/>
    <w:rsid w:val="008C7FA2"/>
    <w:rsid w:val="008D0020"/>
    <w:rsid w:val="008D3702"/>
    <w:rsid w:val="008D593D"/>
    <w:rsid w:val="008E2605"/>
    <w:rsid w:val="008E3186"/>
    <w:rsid w:val="008E364C"/>
    <w:rsid w:val="008E43BE"/>
    <w:rsid w:val="008E49E0"/>
    <w:rsid w:val="008E51AB"/>
    <w:rsid w:val="008E7112"/>
    <w:rsid w:val="008F095B"/>
    <w:rsid w:val="008F146C"/>
    <w:rsid w:val="008F16BF"/>
    <w:rsid w:val="008F292F"/>
    <w:rsid w:val="008F2FAA"/>
    <w:rsid w:val="008F3D94"/>
    <w:rsid w:val="008F609D"/>
    <w:rsid w:val="008F6472"/>
    <w:rsid w:val="008F7619"/>
    <w:rsid w:val="0090423D"/>
    <w:rsid w:val="00906217"/>
    <w:rsid w:val="009062B9"/>
    <w:rsid w:val="0090644C"/>
    <w:rsid w:val="00906DEE"/>
    <w:rsid w:val="0091158E"/>
    <w:rsid w:val="009120C0"/>
    <w:rsid w:val="009121B4"/>
    <w:rsid w:val="0091244F"/>
    <w:rsid w:val="00913099"/>
    <w:rsid w:val="009137E8"/>
    <w:rsid w:val="00913E58"/>
    <w:rsid w:val="00914E1E"/>
    <w:rsid w:val="00917315"/>
    <w:rsid w:val="009202C0"/>
    <w:rsid w:val="009205AC"/>
    <w:rsid w:val="0092073C"/>
    <w:rsid w:val="0092144A"/>
    <w:rsid w:val="00921678"/>
    <w:rsid w:val="00921AA2"/>
    <w:rsid w:val="009226CE"/>
    <w:rsid w:val="00922A13"/>
    <w:rsid w:val="00922D4E"/>
    <w:rsid w:val="00925FBD"/>
    <w:rsid w:val="00926104"/>
    <w:rsid w:val="00926138"/>
    <w:rsid w:val="0093320D"/>
    <w:rsid w:val="00935C4E"/>
    <w:rsid w:val="009360AE"/>
    <w:rsid w:val="00940039"/>
    <w:rsid w:val="00940FEF"/>
    <w:rsid w:val="0094225A"/>
    <w:rsid w:val="00942403"/>
    <w:rsid w:val="00942645"/>
    <w:rsid w:val="00942D7A"/>
    <w:rsid w:val="00943875"/>
    <w:rsid w:val="009451AF"/>
    <w:rsid w:val="00945496"/>
    <w:rsid w:val="009459BC"/>
    <w:rsid w:val="00945FD9"/>
    <w:rsid w:val="00946E84"/>
    <w:rsid w:val="00947606"/>
    <w:rsid w:val="00950E5B"/>
    <w:rsid w:val="00951BCC"/>
    <w:rsid w:val="00951FBE"/>
    <w:rsid w:val="009526B2"/>
    <w:rsid w:val="009531AB"/>
    <w:rsid w:val="009531C4"/>
    <w:rsid w:val="0095430E"/>
    <w:rsid w:val="0095501F"/>
    <w:rsid w:val="00955506"/>
    <w:rsid w:val="009614AB"/>
    <w:rsid w:val="00961A6A"/>
    <w:rsid w:val="00963ACA"/>
    <w:rsid w:val="00963C56"/>
    <w:rsid w:val="00966D19"/>
    <w:rsid w:val="0097211A"/>
    <w:rsid w:val="00972383"/>
    <w:rsid w:val="009730AD"/>
    <w:rsid w:val="009743AD"/>
    <w:rsid w:val="009747BC"/>
    <w:rsid w:val="00974B83"/>
    <w:rsid w:val="00974E61"/>
    <w:rsid w:val="00975DD4"/>
    <w:rsid w:val="00980673"/>
    <w:rsid w:val="009807B2"/>
    <w:rsid w:val="0098204F"/>
    <w:rsid w:val="0098206C"/>
    <w:rsid w:val="009820E7"/>
    <w:rsid w:val="009827B7"/>
    <w:rsid w:val="00984A99"/>
    <w:rsid w:val="00984FA3"/>
    <w:rsid w:val="00985198"/>
    <w:rsid w:val="0098611E"/>
    <w:rsid w:val="0098689B"/>
    <w:rsid w:val="00986FC7"/>
    <w:rsid w:val="00990837"/>
    <w:rsid w:val="00992301"/>
    <w:rsid w:val="00994AC0"/>
    <w:rsid w:val="00995C7F"/>
    <w:rsid w:val="0099781C"/>
    <w:rsid w:val="00997C27"/>
    <w:rsid w:val="009A014A"/>
    <w:rsid w:val="009A11E4"/>
    <w:rsid w:val="009A1967"/>
    <w:rsid w:val="009A3C3F"/>
    <w:rsid w:val="009A3C67"/>
    <w:rsid w:val="009A462F"/>
    <w:rsid w:val="009A4E74"/>
    <w:rsid w:val="009A5438"/>
    <w:rsid w:val="009A5F0F"/>
    <w:rsid w:val="009A6A2F"/>
    <w:rsid w:val="009B0439"/>
    <w:rsid w:val="009B09FA"/>
    <w:rsid w:val="009B1A9A"/>
    <w:rsid w:val="009B28A9"/>
    <w:rsid w:val="009B3303"/>
    <w:rsid w:val="009C133D"/>
    <w:rsid w:val="009C38F3"/>
    <w:rsid w:val="009C545E"/>
    <w:rsid w:val="009C6886"/>
    <w:rsid w:val="009C6927"/>
    <w:rsid w:val="009C7E29"/>
    <w:rsid w:val="009D0216"/>
    <w:rsid w:val="009D0D95"/>
    <w:rsid w:val="009D33F8"/>
    <w:rsid w:val="009D397A"/>
    <w:rsid w:val="009D3D2D"/>
    <w:rsid w:val="009D3F67"/>
    <w:rsid w:val="009D4057"/>
    <w:rsid w:val="009D4A46"/>
    <w:rsid w:val="009D780C"/>
    <w:rsid w:val="009D793E"/>
    <w:rsid w:val="009E0689"/>
    <w:rsid w:val="009E4359"/>
    <w:rsid w:val="009E6E15"/>
    <w:rsid w:val="009F03D1"/>
    <w:rsid w:val="009F06D9"/>
    <w:rsid w:val="009F151D"/>
    <w:rsid w:val="009F2B5B"/>
    <w:rsid w:val="009F59D6"/>
    <w:rsid w:val="00A00FAE"/>
    <w:rsid w:val="00A01A1F"/>
    <w:rsid w:val="00A01CA7"/>
    <w:rsid w:val="00A02A73"/>
    <w:rsid w:val="00A02CB1"/>
    <w:rsid w:val="00A03B3A"/>
    <w:rsid w:val="00A04079"/>
    <w:rsid w:val="00A045F6"/>
    <w:rsid w:val="00A04CC4"/>
    <w:rsid w:val="00A0678B"/>
    <w:rsid w:val="00A0683D"/>
    <w:rsid w:val="00A07F04"/>
    <w:rsid w:val="00A11CC5"/>
    <w:rsid w:val="00A15B54"/>
    <w:rsid w:val="00A17A00"/>
    <w:rsid w:val="00A204D3"/>
    <w:rsid w:val="00A20FE5"/>
    <w:rsid w:val="00A225DC"/>
    <w:rsid w:val="00A23E0F"/>
    <w:rsid w:val="00A23F71"/>
    <w:rsid w:val="00A25108"/>
    <w:rsid w:val="00A268FC"/>
    <w:rsid w:val="00A32801"/>
    <w:rsid w:val="00A32903"/>
    <w:rsid w:val="00A33284"/>
    <w:rsid w:val="00A33346"/>
    <w:rsid w:val="00A33A40"/>
    <w:rsid w:val="00A34586"/>
    <w:rsid w:val="00A3719A"/>
    <w:rsid w:val="00A400D1"/>
    <w:rsid w:val="00A40C86"/>
    <w:rsid w:val="00A4149C"/>
    <w:rsid w:val="00A425AD"/>
    <w:rsid w:val="00A42EF0"/>
    <w:rsid w:val="00A43D35"/>
    <w:rsid w:val="00A44C87"/>
    <w:rsid w:val="00A46107"/>
    <w:rsid w:val="00A4701D"/>
    <w:rsid w:val="00A47924"/>
    <w:rsid w:val="00A523B4"/>
    <w:rsid w:val="00A53404"/>
    <w:rsid w:val="00A541A0"/>
    <w:rsid w:val="00A544A7"/>
    <w:rsid w:val="00A54F16"/>
    <w:rsid w:val="00A552DA"/>
    <w:rsid w:val="00A55E12"/>
    <w:rsid w:val="00A56360"/>
    <w:rsid w:val="00A56A22"/>
    <w:rsid w:val="00A56DFD"/>
    <w:rsid w:val="00A571FB"/>
    <w:rsid w:val="00A57A3E"/>
    <w:rsid w:val="00A57DC9"/>
    <w:rsid w:val="00A60DB6"/>
    <w:rsid w:val="00A60F15"/>
    <w:rsid w:val="00A62455"/>
    <w:rsid w:val="00A6519A"/>
    <w:rsid w:val="00A657AE"/>
    <w:rsid w:val="00A66904"/>
    <w:rsid w:val="00A67599"/>
    <w:rsid w:val="00A6770A"/>
    <w:rsid w:val="00A67A43"/>
    <w:rsid w:val="00A71F7E"/>
    <w:rsid w:val="00A734E4"/>
    <w:rsid w:val="00A7468F"/>
    <w:rsid w:val="00A74A3B"/>
    <w:rsid w:val="00A8180A"/>
    <w:rsid w:val="00A82EF8"/>
    <w:rsid w:val="00A83F3A"/>
    <w:rsid w:val="00A840D7"/>
    <w:rsid w:val="00A85A33"/>
    <w:rsid w:val="00A860BC"/>
    <w:rsid w:val="00A86BD7"/>
    <w:rsid w:val="00A87A9D"/>
    <w:rsid w:val="00A95FF5"/>
    <w:rsid w:val="00AA095F"/>
    <w:rsid w:val="00AA1202"/>
    <w:rsid w:val="00AA22F9"/>
    <w:rsid w:val="00AA2640"/>
    <w:rsid w:val="00AA5D6A"/>
    <w:rsid w:val="00AA5DA0"/>
    <w:rsid w:val="00AA7B8A"/>
    <w:rsid w:val="00AA7BB2"/>
    <w:rsid w:val="00AA7E59"/>
    <w:rsid w:val="00AB0652"/>
    <w:rsid w:val="00AB0CDA"/>
    <w:rsid w:val="00AB0D36"/>
    <w:rsid w:val="00AB62C5"/>
    <w:rsid w:val="00AB7292"/>
    <w:rsid w:val="00AB7B07"/>
    <w:rsid w:val="00AC32A0"/>
    <w:rsid w:val="00AC6E7C"/>
    <w:rsid w:val="00AC763B"/>
    <w:rsid w:val="00AC7E29"/>
    <w:rsid w:val="00AD12A4"/>
    <w:rsid w:val="00AD2AFA"/>
    <w:rsid w:val="00AD3812"/>
    <w:rsid w:val="00AD5A32"/>
    <w:rsid w:val="00AD613F"/>
    <w:rsid w:val="00AD6474"/>
    <w:rsid w:val="00AD6EC9"/>
    <w:rsid w:val="00AD77F7"/>
    <w:rsid w:val="00AD7BF5"/>
    <w:rsid w:val="00AE27E0"/>
    <w:rsid w:val="00AE2E91"/>
    <w:rsid w:val="00AE31AC"/>
    <w:rsid w:val="00AE4DA8"/>
    <w:rsid w:val="00AE5D3F"/>
    <w:rsid w:val="00AE6F7D"/>
    <w:rsid w:val="00AF0AE2"/>
    <w:rsid w:val="00AF0FDD"/>
    <w:rsid w:val="00AF1041"/>
    <w:rsid w:val="00AF1059"/>
    <w:rsid w:val="00AF3155"/>
    <w:rsid w:val="00AF37DC"/>
    <w:rsid w:val="00AF5377"/>
    <w:rsid w:val="00AF598D"/>
    <w:rsid w:val="00AF60B3"/>
    <w:rsid w:val="00AF6A55"/>
    <w:rsid w:val="00AF6C54"/>
    <w:rsid w:val="00AF759C"/>
    <w:rsid w:val="00B01A84"/>
    <w:rsid w:val="00B02CD2"/>
    <w:rsid w:val="00B0370C"/>
    <w:rsid w:val="00B05740"/>
    <w:rsid w:val="00B06C15"/>
    <w:rsid w:val="00B114B0"/>
    <w:rsid w:val="00B117C4"/>
    <w:rsid w:val="00B13037"/>
    <w:rsid w:val="00B13228"/>
    <w:rsid w:val="00B1536E"/>
    <w:rsid w:val="00B1559A"/>
    <w:rsid w:val="00B157E2"/>
    <w:rsid w:val="00B17281"/>
    <w:rsid w:val="00B20239"/>
    <w:rsid w:val="00B224A8"/>
    <w:rsid w:val="00B22D44"/>
    <w:rsid w:val="00B23125"/>
    <w:rsid w:val="00B23D74"/>
    <w:rsid w:val="00B273CF"/>
    <w:rsid w:val="00B31184"/>
    <w:rsid w:val="00B31C91"/>
    <w:rsid w:val="00B3287F"/>
    <w:rsid w:val="00B33084"/>
    <w:rsid w:val="00B34B94"/>
    <w:rsid w:val="00B34FC1"/>
    <w:rsid w:val="00B34FE5"/>
    <w:rsid w:val="00B35622"/>
    <w:rsid w:val="00B361EF"/>
    <w:rsid w:val="00B379E1"/>
    <w:rsid w:val="00B37FC9"/>
    <w:rsid w:val="00B40287"/>
    <w:rsid w:val="00B40D64"/>
    <w:rsid w:val="00B422AC"/>
    <w:rsid w:val="00B4340A"/>
    <w:rsid w:val="00B4689F"/>
    <w:rsid w:val="00B47BE7"/>
    <w:rsid w:val="00B50AA9"/>
    <w:rsid w:val="00B51B4C"/>
    <w:rsid w:val="00B51EF7"/>
    <w:rsid w:val="00B5270C"/>
    <w:rsid w:val="00B5442E"/>
    <w:rsid w:val="00B54DC6"/>
    <w:rsid w:val="00B558FE"/>
    <w:rsid w:val="00B5633C"/>
    <w:rsid w:val="00B57588"/>
    <w:rsid w:val="00B60ABE"/>
    <w:rsid w:val="00B60FFE"/>
    <w:rsid w:val="00B62142"/>
    <w:rsid w:val="00B622AA"/>
    <w:rsid w:val="00B62C5F"/>
    <w:rsid w:val="00B62D1E"/>
    <w:rsid w:val="00B62FA0"/>
    <w:rsid w:val="00B672C8"/>
    <w:rsid w:val="00B677A0"/>
    <w:rsid w:val="00B67E92"/>
    <w:rsid w:val="00B712A9"/>
    <w:rsid w:val="00B723A6"/>
    <w:rsid w:val="00B7346E"/>
    <w:rsid w:val="00B74E1A"/>
    <w:rsid w:val="00B750F9"/>
    <w:rsid w:val="00B765F3"/>
    <w:rsid w:val="00B81C10"/>
    <w:rsid w:val="00B83B57"/>
    <w:rsid w:val="00B85D70"/>
    <w:rsid w:val="00B85E1E"/>
    <w:rsid w:val="00B860B2"/>
    <w:rsid w:val="00B865B2"/>
    <w:rsid w:val="00B87285"/>
    <w:rsid w:val="00B877D6"/>
    <w:rsid w:val="00B87C0C"/>
    <w:rsid w:val="00B910BC"/>
    <w:rsid w:val="00B92375"/>
    <w:rsid w:val="00B9518C"/>
    <w:rsid w:val="00B96BE4"/>
    <w:rsid w:val="00BA0289"/>
    <w:rsid w:val="00BA2447"/>
    <w:rsid w:val="00BA3642"/>
    <w:rsid w:val="00BA3A58"/>
    <w:rsid w:val="00BA4AB3"/>
    <w:rsid w:val="00BA4C00"/>
    <w:rsid w:val="00BA56BC"/>
    <w:rsid w:val="00BA6E33"/>
    <w:rsid w:val="00BA76DF"/>
    <w:rsid w:val="00BB0185"/>
    <w:rsid w:val="00BB2128"/>
    <w:rsid w:val="00BB3E18"/>
    <w:rsid w:val="00BB4700"/>
    <w:rsid w:val="00BB4AE1"/>
    <w:rsid w:val="00BB6623"/>
    <w:rsid w:val="00BB7203"/>
    <w:rsid w:val="00BB7385"/>
    <w:rsid w:val="00BB7B31"/>
    <w:rsid w:val="00BC0176"/>
    <w:rsid w:val="00BC09AF"/>
    <w:rsid w:val="00BC41CD"/>
    <w:rsid w:val="00BC44BC"/>
    <w:rsid w:val="00BC4550"/>
    <w:rsid w:val="00BC468A"/>
    <w:rsid w:val="00BC4C05"/>
    <w:rsid w:val="00BC795D"/>
    <w:rsid w:val="00BC7BD2"/>
    <w:rsid w:val="00BC7CE2"/>
    <w:rsid w:val="00BD1E0C"/>
    <w:rsid w:val="00BD20BB"/>
    <w:rsid w:val="00BD228D"/>
    <w:rsid w:val="00BD259A"/>
    <w:rsid w:val="00BD374E"/>
    <w:rsid w:val="00BD3E41"/>
    <w:rsid w:val="00BD5CB2"/>
    <w:rsid w:val="00BD6470"/>
    <w:rsid w:val="00BD6859"/>
    <w:rsid w:val="00BD71CC"/>
    <w:rsid w:val="00BE0698"/>
    <w:rsid w:val="00BE0723"/>
    <w:rsid w:val="00BE2E35"/>
    <w:rsid w:val="00BE5886"/>
    <w:rsid w:val="00BE6493"/>
    <w:rsid w:val="00BE7871"/>
    <w:rsid w:val="00BE790E"/>
    <w:rsid w:val="00BF25B5"/>
    <w:rsid w:val="00BF537F"/>
    <w:rsid w:val="00BF6338"/>
    <w:rsid w:val="00BF7B50"/>
    <w:rsid w:val="00C00167"/>
    <w:rsid w:val="00C009DA"/>
    <w:rsid w:val="00C026C3"/>
    <w:rsid w:val="00C028A5"/>
    <w:rsid w:val="00C05C64"/>
    <w:rsid w:val="00C06927"/>
    <w:rsid w:val="00C10701"/>
    <w:rsid w:val="00C1115A"/>
    <w:rsid w:val="00C11942"/>
    <w:rsid w:val="00C1214A"/>
    <w:rsid w:val="00C148CC"/>
    <w:rsid w:val="00C15713"/>
    <w:rsid w:val="00C168BD"/>
    <w:rsid w:val="00C16F58"/>
    <w:rsid w:val="00C20B48"/>
    <w:rsid w:val="00C21117"/>
    <w:rsid w:val="00C22534"/>
    <w:rsid w:val="00C24159"/>
    <w:rsid w:val="00C24C50"/>
    <w:rsid w:val="00C25B68"/>
    <w:rsid w:val="00C25E40"/>
    <w:rsid w:val="00C26186"/>
    <w:rsid w:val="00C265E5"/>
    <w:rsid w:val="00C26746"/>
    <w:rsid w:val="00C26A4D"/>
    <w:rsid w:val="00C34073"/>
    <w:rsid w:val="00C36B9E"/>
    <w:rsid w:val="00C36F49"/>
    <w:rsid w:val="00C374C4"/>
    <w:rsid w:val="00C40B5B"/>
    <w:rsid w:val="00C40F4F"/>
    <w:rsid w:val="00C41948"/>
    <w:rsid w:val="00C42BFA"/>
    <w:rsid w:val="00C43062"/>
    <w:rsid w:val="00C44928"/>
    <w:rsid w:val="00C44D19"/>
    <w:rsid w:val="00C45E32"/>
    <w:rsid w:val="00C46D3D"/>
    <w:rsid w:val="00C531FE"/>
    <w:rsid w:val="00C55260"/>
    <w:rsid w:val="00C566DA"/>
    <w:rsid w:val="00C57539"/>
    <w:rsid w:val="00C57E3F"/>
    <w:rsid w:val="00C61702"/>
    <w:rsid w:val="00C62FD1"/>
    <w:rsid w:val="00C667EC"/>
    <w:rsid w:val="00C67B4D"/>
    <w:rsid w:val="00C71CCC"/>
    <w:rsid w:val="00C73F87"/>
    <w:rsid w:val="00C764DE"/>
    <w:rsid w:val="00C7680B"/>
    <w:rsid w:val="00C77EA1"/>
    <w:rsid w:val="00C82F87"/>
    <w:rsid w:val="00C8392A"/>
    <w:rsid w:val="00C8546F"/>
    <w:rsid w:val="00C85F60"/>
    <w:rsid w:val="00C860A2"/>
    <w:rsid w:val="00C872D2"/>
    <w:rsid w:val="00C87528"/>
    <w:rsid w:val="00C87CA2"/>
    <w:rsid w:val="00C91EDD"/>
    <w:rsid w:val="00C93F51"/>
    <w:rsid w:val="00C946BF"/>
    <w:rsid w:val="00C96DA7"/>
    <w:rsid w:val="00C96E44"/>
    <w:rsid w:val="00C97AA3"/>
    <w:rsid w:val="00CA3837"/>
    <w:rsid w:val="00CA4EDA"/>
    <w:rsid w:val="00CA54B9"/>
    <w:rsid w:val="00CA5731"/>
    <w:rsid w:val="00CA5F03"/>
    <w:rsid w:val="00CA5F17"/>
    <w:rsid w:val="00CA6F0B"/>
    <w:rsid w:val="00CB019F"/>
    <w:rsid w:val="00CB1EDD"/>
    <w:rsid w:val="00CB2B49"/>
    <w:rsid w:val="00CB34E6"/>
    <w:rsid w:val="00CB5971"/>
    <w:rsid w:val="00CC005A"/>
    <w:rsid w:val="00CC2293"/>
    <w:rsid w:val="00CC2ACA"/>
    <w:rsid w:val="00CC30AF"/>
    <w:rsid w:val="00CC348C"/>
    <w:rsid w:val="00CC387A"/>
    <w:rsid w:val="00CC4620"/>
    <w:rsid w:val="00CC4FD0"/>
    <w:rsid w:val="00CD08AE"/>
    <w:rsid w:val="00CD1154"/>
    <w:rsid w:val="00CD34DD"/>
    <w:rsid w:val="00CD4E99"/>
    <w:rsid w:val="00CD54D2"/>
    <w:rsid w:val="00CD67EB"/>
    <w:rsid w:val="00CD7605"/>
    <w:rsid w:val="00CD7CB9"/>
    <w:rsid w:val="00CD7F1A"/>
    <w:rsid w:val="00CE1650"/>
    <w:rsid w:val="00CE1F63"/>
    <w:rsid w:val="00CE252B"/>
    <w:rsid w:val="00CE48B6"/>
    <w:rsid w:val="00CE4D8F"/>
    <w:rsid w:val="00CE594E"/>
    <w:rsid w:val="00CF14CD"/>
    <w:rsid w:val="00CF2EE4"/>
    <w:rsid w:val="00CF438D"/>
    <w:rsid w:val="00CF6AB9"/>
    <w:rsid w:val="00CF6D16"/>
    <w:rsid w:val="00D013B2"/>
    <w:rsid w:val="00D0399B"/>
    <w:rsid w:val="00D03C27"/>
    <w:rsid w:val="00D053D6"/>
    <w:rsid w:val="00D06C61"/>
    <w:rsid w:val="00D12C2F"/>
    <w:rsid w:val="00D14C14"/>
    <w:rsid w:val="00D14F69"/>
    <w:rsid w:val="00D17F7A"/>
    <w:rsid w:val="00D21DA4"/>
    <w:rsid w:val="00D21FA3"/>
    <w:rsid w:val="00D26C39"/>
    <w:rsid w:val="00D306BD"/>
    <w:rsid w:val="00D31A25"/>
    <w:rsid w:val="00D32781"/>
    <w:rsid w:val="00D32911"/>
    <w:rsid w:val="00D36E85"/>
    <w:rsid w:val="00D37789"/>
    <w:rsid w:val="00D379AA"/>
    <w:rsid w:val="00D442A8"/>
    <w:rsid w:val="00D46C4D"/>
    <w:rsid w:val="00D5153C"/>
    <w:rsid w:val="00D51AD3"/>
    <w:rsid w:val="00D52BE1"/>
    <w:rsid w:val="00D52F79"/>
    <w:rsid w:val="00D53EC4"/>
    <w:rsid w:val="00D54EAC"/>
    <w:rsid w:val="00D566B7"/>
    <w:rsid w:val="00D57978"/>
    <w:rsid w:val="00D63952"/>
    <w:rsid w:val="00D64BD8"/>
    <w:rsid w:val="00D65246"/>
    <w:rsid w:val="00D65EE8"/>
    <w:rsid w:val="00D6747C"/>
    <w:rsid w:val="00D71706"/>
    <w:rsid w:val="00D71A76"/>
    <w:rsid w:val="00D73054"/>
    <w:rsid w:val="00D75F03"/>
    <w:rsid w:val="00D76C20"/>
    <w:rsid w:val="00D77490"/>
    <w:rsid w:val="00D8143D"/>
    <w:rsid w:val="00D82B9C"/>
    <w:rsid w:val="00D839E5"/>
    <w:rsid w:val="00D83B59"/>
    <w:rsid w:val="00D83F65"/>
    <w:rsid w:val="00D84ECD"/>
    <w:rsid w:val="00D87C37"/>
    <w:rsid w:val="00D90A19"/>
    <w:rsid w:val="00D91C9E"/>
    <w:rsid w:val="00D92AEC"/>
    <w:rsid w:val="00D95C53"/>
    <w:rsid w:val="00DA18FD"/>
    <w:rsid w:val="00DA2481"/>
    <w:rsid w:val="00DA442A"/>
    <w:rsid w:val="00DA5AF3"/>
    <w:rsid w:val="00DA604A"/>
    <w:rsid w:val="00DB0094"/>
    <w:rsid w:val="00DB053C"/>
    <w:rsid w:val="00DB18BA"/>
    <w:rsid w:val="00DB229F"/>
    <w:rsid w:val="00DB243A"/>
    <w:rsid w:val="00DB497B"/>
    <w:rsid w:val="00DB5239"/>
    <w:rsid w:val="00DB66D3"/>
    <w:rsid w:val="00DC189E"/>
    <w:rsid w:val="00DD49AE"/>
    <w:rsid w:val="00DD6FAC"/>
    <w:rsid w:val="00DE0A28"/>
    <w:rsid w:val="00DE100A"/>
    <w:rsid w:val="00DE4D41"/>
    <w:rsid w:val="00DE56F8"/>
    <w:rsid w:val="00DE56FD"/>
    <w:rsid w:val="00DE669D"/>
    <w:rsid w:val="00DE6B8D"/>
    <w:rsid w:val="00DE7062"/>
    <w:rsid w:val="00DE7665"/>
    <w:rsid w:val="00DF0256"/>
    <w:rsid w:val="00DF0AF4"/>
    <w:rsid w:val="00DF216A"/>
    <w:rsid w:val="00DF2917"/>
    <w:rsid w:val="00DF349F"/>
    <w:rsid w:val="00DF7373"/>
    <w:rsid w:val="00E00ED1"/>
    <w:rsid w:val="00E0176B"/>
    <w:rsid w:val="00E01C99"/>
    <w:rsid w:val="00E01FF7"/>
    <w:rsid w:val="00E033B0"/>
    <w:rsid w:val="00E04EA1"/>
    <w:rsid w:val="00E04FC6"/>
    <w:rsid w:val="00E0612D"/>
    <w:rsid w:val="00E07296"/>
    <w:rsid w:val="00E075E2"/>
    <w:rsid w:val="00E07F04"/>
    <w:rsid w:val="00E10046"/>
    <w:rsid w:val="00E12C59"/>
    <w:rsid w:val="00E1317A"/>
    <w:rsid w:val="00E175E4"/>
    <w:rsid w:val="00E21994"/>
    <w:rsid w:val="00E219FE"/>
    <w:rsid w:val="00E22ABD"/>
    <w:rsid w:val="00E25712"/>
    <w:rsid w:val="00E31F52"/>
    <w:rsid w:val="00E3309A"/>
    <w:rsid w:val="00E3362C"/>
    <w:rsid w:val="00E33E9D"/>
    <w:rsid w:val="00E34006"/>
    <w:rsid w:val="00E34B55"/>
    <w:rsid w:val="00E35B75"/>
    <w:rsid w:val="00E35D9E"/>
    <w:rsid w:val="00E36B93"/>
    <w:rsid w:val="00E36C7C"/>
    <w:rsid w:val="00E42619"/>
    <w:rsid w:val="00E43867"/>
    <w:rsid w:val="00E45019"/>
    <w:rsid w:val="00E46A38"/>
    <w:rsid w:val="00E5128B"/>
    <w:rsid w:val="00E51AF7"/>
    <w:rsid w:val="00E5278E"/>
    <w:rsid w:val="00E53CC3"/>
    <w:rsid w:val="00E5435D"/>
    <w:rsid w:val="00E55A0F"/>
    <w:rsid w:val="00E55D87"/>
    <w:rsid w:val="00E56145"/>
    <w:rsid w:val="00E575ED"/>
    <w:rsid w:val="00E57CE5"/>
    <w:rsid w:val="00E57EA9"/>
    <w:rsid w:val="00E6067A"/>
    <w:rsid w:val="00E6245F"/>
    <w:rsid w:val="00E65179"/>
    <w:rsid w:val="00E654B9"/>
    <w:rsid w:val="00E65B39"/>
    <w:rsid w:val="00E662F8"/>
    <w:rsid w:val="00E67B2D"/>
    <w:rsid w:val="00E67DFF"/>
    <w:rsid w:val="00E716C1"/>
    <w:rsid w:val="00E71A40"/>
    <w:rsid w:val="00E72ADE"/>
    <w:rsid w:val="00E7561F"/>
    <w:rsid w:val="00E77B6B"/>
    <w:rsid w:val="00E77C84"/>
    <w:rsid w:val="00E77DA4"/>
    <w:rsid w:val="00E8036D"/>
    <w:rsid w:val="00E81B7C"/>
    <w:rsid w:val="00E82B7F"/>
    <w:rsid w:val="00E87D3E"/>
    <w:rsid w:val="00E90138"/>
    <w:rsid w:val="00E91F08"/>
    <w:rsid w:val="00E924D2"/>
    <w:rsid w:val="00E956CA"/>
    <w:rsid w:val="00E9659F"/>
    <w:rsid w:val="00E96686"/>
    <w:rsid w:val="00EA03DC"/>
    <w:rsid w:val="00EA05AC"/>
    <w:rsid w:val="00EA0BE5"/>
    <w:rsid w:val="00EA2AD0"/>
    <w:rsid w:val="00EA546F"/>
    <w:rsid w:val="00EA7666"/>
    <w:rsid w:val="00EB15F5"/>
    <w:rsid w:val="00EB355A"/>
    <w:rsid w:val="00EB3797"/>
    <w:rsid w:val="00EB41A5"/>
    <w:rsid w:val="00EB4688"/>
    <w:rsid w:val="00EB5143"/>
    <w:rsid w:val="00EB55D3"/>
    <w:rsid w:val="00EB5625"/>
    <w:rsid w:val="00EB76D3"/>
    <w:rsid w:val="00EC1290"/>
    <w:rsid w:val="00EC18D6"/>
    <w:rsid w:val="00EC2C0E"/>
    <w:rsid w:val="00EC2D03"/>
    <w:rsid w:val="00EC3C1D"/>
    <w:rsid w:val="00EC587E"/>
    <w:rsid w:val="00ED0478"/>
    <w:rsid w:val="00ED236D"/>
    <w:rsid w:val="00ED2934"/>
    <w:rsid w:val="00ED2CD6"/>
    <w:rsid w:val="00ED316F"/>
    <w:rsid w:val="00ED4252"/>
    <w:rsid w:val="00ED4B72"/>
    <w:rsid w:val="00ED6450"/>
    <w:rsid w:val="00EE1DF3"/>
    <w:rsid w:val="00EE1E16"/>
    <w:rsid w:val="00EE3937"/>
    <w:rsid w:val="00EE3CB4"/>
    <w:rsid w:val="00EE7124"/>
    <w:rsid w:val="00EF0988"/>
    <w:rsid w:val="00EF0DFC"/>
    <w:rsid w:val="00EF2A7B"/>
    <w:rsid w:val="00EF337D"/>
    <w:rsid w:val="00EF3538"/>
    <w:rsid w:val="00EF460C"/>
    <w:rsid w:val="00EF55C4"/>
    <w:rsid w:val="00EF660F"/>
    <w:rsid w:val="00EF7304"/>
    <w:rsid w:val="00EF7C7F"/>
    <w:rsid w:val="00F0065C"/>
    <w:rsid w:val="00F036F1"/>
    <w:rsid w:val="00F03A24"/>
    <w:rsid w:val="00F0497C"/>
    <w:rsid w:val="00F0544C"/>
    <w:rsid w:val="00F107ED"/>
    <w:rsid w:val="00F13D25"/>
    <w:rsid w:val="00F14EC2"/>
    <w:rsid w:val="00F1548D"/>
    <w:rsid w:val="00F168B4"/>
    <w:rsid w:val="00F168FF"/>
    <w:rsid w:val="00F234ED"/>
    <w:rsid w:val="00F23ECF"/>
    <w:rsid w:val="00F243D3"/>
    <w:rsid w:val="00F24656"/>
    <w:rsid w:val="00F261B8"/>
    <w:rsid w:val="00F27A3D"/>
    <w:rsid w:val="00F30A95"/>
    <w:rsid w:val="00F311FB"/>
    <w:rsid w:val="00F31354"/>
    <w:rsid w:val="00F327E8"/>
    <w:rsid w:val="00F32F7E"/>
    <w:rsid w:val="00F33E1E"/>
    <w:rsid w:val="00F37D18"/>
    <w:rsid w:val="00F40B9D"/>
    <w:rsid w:val="00F40D8C"/>
    <w:rsid w:val="00F42C2A"/>
    <w:rsid w:val="00F445FB"/>
    <w:rsid w:val="00F47AA2"/>
    <w:rsid w:val="00F509DD"/>
    <w:rsid w:val="00F50EDE"/>
    <w:rsid w:val="00F516F2"/>
    <w:rsid w:val="00F522AB"/>
    <w:rsid w:val="00F54FC1"/>
    <w:rsid w:val="00F55585"/>
    <w:rsid w:val="00F56A2F"/>
    <w:rsid w:val="00F56C96"/>
    <w:rsid w:val="00F577A6"/>
    <w:rsid w:val="00F60D41"/>
    <w:rsid w:val="00F61091"/>
    <w:rsid w:val="00F61CD7"/>
    <w:rsid w:val="00F63A10"/>
    <w:rsid w:val="00F63D6D"/>
    <w:rsid w:val="00F640C4"/>
    <w:rsid w:val="00F64D0B"/>
    <w:rsid w:val="00F64E6A"/>
    <w:rsid w:val="00F65DED"/>
    <w:rsid w:val="00F664F9"/>
    <w:rsid w:val="00F70480"/>
    <w:rsid w:val="00F70FDD"/>
    <w:rsid w:val="00F73824"/>
    <w:rsid w:val="00F764AF"/>
    <w:rsid w:val="00F76F99"/>
    <w:rsid w:val="00F77514"/>
    <w:rsid w:val="00F821E9"/>
    <w:rsid w:val="00F84172"/>
    <w:rsid w:val="00F85154"/>
    <w:rsid w:val="00F862BE"/>
    <w:rsid w:val="00F9011A"/>
    <w:rsid w:val="00F90252"/>
    <w:rsid w:val="00F93ED0"/>
    <w:rsid w:val="00F94D93"/>
    <w:rsid w:val="00F958C3"/>
    <w:rsid w:val="00F9686D"/>
    <w:rsid w:val="00F96E72"/>
    <w:rsid w:val="00F96F47"/>
    <w:rsid w:val="00F97708"/>
    <w:rsid w:val="00F979C5"/>
    <w:rsid w:val="00FA086B"/>
    <w:rsid w:val="00FA0FDC"/>
    <w:rsid w:val="00FA36ED"/>
    <w:rsid w:val="00FA4347"/>
    <w:rsid w:val="00FA6578"/>
    <w:rsid w:val="00FA6D0C"/>
    <w:rsid w:val="00FB2969"/>
    <w:rsid w:val="00FB2BF3"/>
    <w:rsid w:val="00FB3A58"/>
    <w:rsid w:val="00FB41C2"/>
    <w:rsid w:val="00FB688D"/>
    <w:rsid w:val="00FB7090"/>
    <w:rsid w:val="00FB75C2"/>
    <w:rsid w:val="00FC0821"/>
    <w:rsid w:val="00FC08D3"/>
    <w:rsid w:val="00FC2495"/>
    <w:rsid w:val="00FC26AC"/>
    <w:rsid w:val="00FC2D55"/>
    <w:rsid w:val="00FC73F7"/>
    <w:rsid w:val="00FC766D"/>
    <w:rsid w:val="00FD2365"/>
    <w:rsid w:val="00FD6913"/>
    <w:rsid w:val="00FD7305"/>
    <w:rsid w:val="00FE0AFC"/>
    <w:rsid w:val="00FE3B20"/>
    <w:rsid w:val="00FE5C20"/>
    <w:rsid w:val="00FE6B57"/>
    <w:rsid w:val="00FE6B99"/>
    <w:rsid w:val="00FF04CC"/>
    <w:rsid w:val="00FF1487"/>
    <w:rsid w:val="00FF1869"/>
    <w:rsid w:val="00FF22BA"/>
    <w:rsid w:val="00FF490B"/>
    <w:rsid w:val="00FF6065"/>
    <w:rsid w:val="00FF64BB"/>
    <w:rsid w:val="00FF6CD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uiPriority="35"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361416"/>
    <w:pPr>
      <w:jc w:val="both"/>
    </w:pPr>
    <w:rPr>
      <w:sz w:val="24"/>
      <w:szCs w:val="24"/>
      <w:lang w:eastAsia="nl-NL"/>
    </w:rPr>
  </w:style>
  <w:style w:type="paragraph" w:styleId="Heading1">
    <w:name w:val="heading 1"/>
    <w:basedOn w:val="Normal"/>
    <w:next w:val="Randnummer"/>
    <w:link w:val="Heading1Char"/>
    <w:uiPriority w:val="99"/>
    <w:qFormat/>
    <w:rsid w:val="00361416"/>
    <w:pPr>
      <w:keepNext/>
      <w:keepLines/>
      <w:jc w:val="left"/>
      <w:outlineLvl w:val="0"/>
    </w:pPr>
    <w:rPr>
      <w:b/>
      <w:bCs/>
      <w:caps/>
      <w:sz w:val="36"/>
      <w:szCs w:val="36"/>
    </w:rPr>
  </w:style>
  <w:style w:type="paragraph" w:styleId="Heading2">
    <w:name w:val="heading 2"/>
    <w:basedOn w:val="Normal"/>
    <w:next w:val="Randnummer"/>
    <w:link w:val="Heading2Char"/>
    <w:uiPriority w:val="99"/>
    <w:qFormat/>
    <w:rsid w:val="00361416"/>
    <w:pPr>
      <w:keepNext/>
      <w:keepLines/>
      <w:spacing w:before="240"/>
      <w:jc w:val="left"/>
      <w:outlineLvl w:val="1"/>
    </w:pPr>
    <w:rPr>
      <w:b/>
      <w:bCs/>
      <w:caps/>
    </w:rPr>
  </w:style>
  <w:style w:type="paragraph" w:styleId="Heading3">
    <w:name w:val="heading 3"/>
    <w:basedOn w:val="Normal"/>
    <w:next w:val="Randnummer"/>
    <w:link w:val="Heading3Char"/>
    <w:uiPriority w:val="99"/>
    <w:qFormat/>
    <w:rsid w:val="00361416"/>
    <w:pPr>
      <w:keepNext/>
      <w:keepLines/>
      <w:spacing w:before="240"/>
      <w:jc w:val="left"/>
      <w:outlineLvl w:val="2"/>
    </w:pPr>
    <w:rPr>
      <w:caps/>
    </w:rPr>
  </w:style>
  <w:style w:type="paragraph" w:styleId="Heading4">
    <w:name w:val="heading 4"/>
    <w:basedOn w:val="Normal"/>
    <w:next w:val="Randnummer"/>
    <w:link w:val="Heading4Char"/>
    <w:uiPriority w:val="99"/>
    <w:qFormat/>
    <w:rsid w:val="00361416"/>
    <w:pPr>
      <w:keepNext/>
      <w:keepLines/>
      <w:spacing w:before="240"/>
      <w:jc w:val="left"/>
      <w:outlineLvl w:val="3"/>
    </w:pPr>
    <w:rPr>
      <w:b/>
      <w:bCs/>
    </w:rPr>
  </w:style>
  <w:style w:type="paragraph" w:styleId="Heading5">
    <w:name w:val="heading 5"/>
    <w:basedOn w:val="Normal"/>
    <w:next w:val="Randnummer"/>
    <w:link w:val="Heading5Char"/>
    <w:uiPriority w:val="99"/>
    <w:qFormat/>
    <w:rsid w:val="00361416"/>
    <w:pPr>
      <w:keepNext/>
      <w:keepLines/>
      <w:spacing w:before="240"/>
      <w:jc w:val="left"/>
      <w:outlineLvl w:val="4"/>
    </w:pPr>
    <w:rPr>
      <w:b/>
      <w:bCs/>
      <w:i/>
      <w:iCs/>
    </w:rPr>
  </w:style>
  <w:style w:type="paragraph" w:styleId="Heading6">
    <w:name w:val="heading 6"/>
    <w:basedOn w:val="Normal"/>
    <w:next w:val="Randnummer"/>
    <w:link w:val="Heading6Char"/>
    <w:uiPriority w:val="99"/>
    <w:qFormat/>
    <w:rsid w:val="00361416"/>
    <w:pPr>
      <w:keepNext/>
      <w:keepLines/>
      <w:spacing w:before="240"/>
      <w:jc w:val="left"/>
      <w:outlineLvl w:val="5"/>
    </w:pPr>
    <w:rPr>
      <w:i/>
      <w:iCs/>
    </w:rPr>
  </w:style>
  <w:style w:type="paragraph" w:styleId="Heading7">
    <w:name w:val="heading 7"/>
    <w:basedOn w:val="Normal"/>
    <w:next w:val="Randnummer"/>
    <w:link w:val="Heading7Char"/>
    <w:uiPriority w:val="99"/>
    <w:qFormat/>
    <w:rsid w:val="00361416"/>
    <w:pPr>
      <w:keepNext/>
      <w:keepLines/>
      <w:spacing w:before="240"/>
      <w:jc w:val="left"/>
      <w:outlineLvl w:val="6"/>
    </w:pPr>
    <w:rPr>
      <w:i/>
      <w:iCs/>
    </w:rPr>
  </w:style>
  <w:style w:type="paragraph" w:styleId="Heading8">
    <w:name w:val="heading 8"/>
    <w:basedOn w:val="Normal"/>
    <w:next w:val="Randnummer"/>
    <w:link w:val="Heading8Char"/>
    <w:uiPriority w:val="99"/>
    <w:qFormat/>
    <w:rsid w:val="00361416"/>
    <w:pPr>
      <w:keepNext/>
      <w:keepLines/>
      <w:spacing w:before="240"/>
      <w:ind w:firstLine="709"/>
      <w:jc w:val="left"/>
      <w:outlineLvl w:val="7"/>
    </w:pPr>
  </w:style>
  <w:style w:type="paragraph" w:styleId="Heading9">
    <w:name w:val="heading 9"/>
    <w:basedOn w:val="Normal"/>
    <w:next w:val="Randnummer"/>
    <w:link w:val="Heading9Char"/>
    <w:uiPriority w:val="99"/>
    <w:qFormat/>
    <w:rsid w:val="00361416"/>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60F86"/>
    <w:rPr>
      <w:b/>
      <w:bCs/>
      <w:caps/>
      <w:sz w:val="36"/>
      <w:szCs w:val="36"/>
      <w:lang w:val="nl-NL" w:eastAsia="nl-NL"/>
    </w:rPr>
  </w:style>
  <w:style w:type="character" w:customStyle="1" w:styleId="Heading2Char">
    <w:name w:val="Heading 2 Char"/>
    <w:basedOn w:val="DefaultParagraphFont"/>
    <w:link w:val="Heading2"/>
    <w:uiPriority w:val="99"/>
    <w:rsid w:val="00360F86"/>
    <w:rPr>
      <w:b/>
      <w:bCs/>
      <w:caps/>
      <w:sz w:val="24"/>
      <w:szCs w:val="24"/>
      <w:lang w:val="nl-NL" w:eastAsia="nl-NL"/>
    </w:rPr>
  </w:style>
  <w:style w:type="character" w:customStyle="1" w:styleId="Heading3Char">
    <w:name w:val="Heading 3 Char"/>
    <w:basedOn w:val="DefaultParagraphFont"/>
    <w:link w:val="Heading3"/>
    <w:uiPriority w:val="99"/>
    <w:rsid w:val="00360F86"/>
    <w:rPr>
      <w:caps/>
      <w:sz w:val="24"/>
      <w:szCs w:val="24"/>
      <w:lang w:val="nl-NL" w:eastAsia="nl-NL"/>
    </w:rPr>
  </w:style>
  <w:style w:type="character" w:customStyle="1" w:styleId="Heading4Char">
    <w:name w:val="Heading 4 Char"/>
    <w:basedOn w:val="DefaultParagraphFont"/>
    <w:link w:val="Heading4"/>
    <w:uiPriority w:val="99"/>
    <w:rsid w:val="00A8180A"/>
    <w:rPr>
      <w:b/>
      <w:bCs/>
      <w:sz w:val="24"/>
      <w:szCs w:val="24"/>
      <w:lang w:val="nl-NL" w:eastAsia="nl-NL"/>
    </w:rPr>
  </w:style>
  <w:style w:type="character" w:customStyle="1" w:styleId="Heading5Char">
    <w:name w:val="Heading 5 Char"/>
    <w:basedOn w:val="DefaultParagraphFont"/>
    <w:link w:val="Heading5"/>
    <w:uiPriority w:val="99"/>
    <w:rsid w:val="004D06E0"/>
    <w:rPr>
      <w:b/>
      <w:bCs/>
      <w:i/>
      <w:iCs/>
      <w:sz w:val="24"/>
      <w:szCs w:val="24"/>
      <w:lang w:val="nl-NL" w:eastAsia="nl-NL"/>
    </w:rPr>
  </w:style>
  <w:style w:type="character" w:customStyle="1" w:styleId="Heading6Char">
    <w:name w:val="Heading 6 Char"/>
    <w:basedOn w:val="DefaultParagraphFont"/>
    <w:link w:val="Heading6"/>
    <w:uiPriority w:val="99"/>
    <w:rsid w:val="00A8180A"/>
    <w:rPr>
      <w:i/>
      <w:iCs/>
      <w:sz w:val="24"/>
      <w:szCs w:val="24"/>
      <w:lang w:val="nl-NL" w:eastAsia="nl-NL"/>
    </w:rPr>
  </w:style>
  <w:style w:type="character" w:customStyle="1" w:styleId="Heading7Char">
    <w:name w:val="Heading 7 Char"/>
    <w:basedOn w:val="DefaultParagraphFont"/>
    <w:link w:val="Heading7"/>
    <w:uiPriority w:val="99"/>
    <w:rsid w:val="00360F86"/>
    <w:rPr>
      <w:i/>
      <w:iCs/>
      <w:sz w:val="24"/>
      <w:szCs w:val="24"/>
      <w:lang w:val="nl-NL" w:eastAsia="nl-NL"/>
    </w:rPr>
  </w:style>
  <w:style w:type="character" w:customStyle="1" w:styleId="Heading8Char">
    <w:name w:val="Heading 8 Char"/>
    <w:basedOn w:val="DefaultParagraphFont"/>
    <w:link w:val="Heading8"/>
    <w:uiPriority w:val="99"/>
    <w:rsid w:val="00360F86"/>
    <w:rPr>
      <w:sz w:val="24"/>
      <w:szCs w:val="24"/>
      <w:lang w:val="nl-NL" w:eastAsia="nl-NL"/>
    </w:rPr>
  </w:style>
  <w:style w:type="character" w:customStyle="1" w:styleId="Heading9Char">
    <w:name w:val="Heading 9 Char"/>
    <w:basedOn w:val="DefaultParagraphFont"/>
    <w:link w:val="Heading9"/>
    <w:uiPriority w:val="99"/>
    <w:rsid w:val="00360F86"/>
    <w:rPr>
      <w:sz w:val="24"/>
      <w:szCs w:val="24"/>
      <w:lang w:val="nl-NL" w:eastAsia="nl-NL"/>
    </w:rPr>
  </w:style>
  <w:style w:type="paragraph" w:styleId="Header">
    <w:name w:val="header"/>
    <w:basedOn w:val="Normal"/>
    <w:link w:val="HeaderChar"/>
    <w:uiPriority w:val="99"/>
    <w:rsid w:val="00361416"/>
    <w:pPr>
      <w:tabs>
        <w:tab w:val="center" w:pos="4536"/>
        <w:tab w:val="right" w:pos="9072"/>
      </w:tabs>
    </w:pPr>
  </w:style>
  <w:style w:type="character" w:customStyle="1" w:styleId="HeaderChar">
    <w:name w:val="Header Char"/>
    <w:basedOn w:val="DefaultParagraphFont"/>
    <w:link w:val="Header"/>
    <w:uiPriority w:val="99"/>
    <w:semiHidden/>
    <w:rsid w:val="00360F86"/>
    <w:rPr>
      <w:sz w:val="24"/>
      <w:szCs w:val="24"/>
      <w:lang w:val="nl-NL" w:eastAsia="nl-NL"/>
    </w:rPr>
  </w:style>
  <w:style w:type="paragraph" w:styleId="Footer">
    <w:name w:val="footer"/>
    <w:basedOn w:val="Normal"/>
    <w:link w:val="FooterChar"/>
    <w:uiPriority w:val="99"/>
    <w:rsid w:val="00361416"/>
    <w:pPr>
      <w:tabs>
        <w:tab w:val="center" w:pos="4536"/>
        <w:tab w:val="right" w:pos="9072"/>
      </w:tabs>
    </w:pPr>
  </w:style>
  <w:style w:type="character" w:customStyle="1" w:styleId="FooterChar">
    <w:name w:val="Footer Char"/>
    <w:basedOn w:val="DefaultParagraphFont"/>
    <w:link w:val="Footer"/>
    <w:uiPriority w:val="99"/>
    <w:rsid w:val="00361416"/>
    <w:rPr>
      <w:sz w:val="24"/>
      <w:szCs w:val="24"/>
    </w:rPr>
  </w:style>
  <w:style w:type="character" w:styleId="PageNumber">
    <w:name w:val="page number"/>
    <w:basedOn w:val="DefaultParagraphFont"/>
    <w:uiPriority w:val="99"/>
    <w:rsid w:val="00361416"/>
  </w:style>
  <w:style w:type="paragraph" w:styleId="FootnoteText">
    <w:name w:val="footnote text"/>
    <w:basedOn w:val="Normal"/>
    <w:link w:val="FootnoteTextChar"/>
    <w:uiPriority w:val="99"/>
    <w:rsid w:val="00361416"/>
    <w:rPr>
      <w:sz w:val="20"/>
      <w:szCs w:val="20"/>
    </w:rPr>
  </w:style>
  <w:style w:type="character" w:customStyle="1" w:styleId="FootnoteTextChar">
    <w:name w:val="Footnote Text Char"/>
    <w:basedOn w:val="DefaultParagraphFont"/>
    <w:link w:val="FootnoteText"/>
    <w:uiPriority w:val="99"/>
    <w:rsid w:val="00020911"/>
  </w:style>
  <w:style w:type="paragraph" w:customStyle="1" w:styleId="12ptvoor">
    <w:name w:val="_12pt voor"/>
    <w:basedOn w:val="Normal"/>
    <w:uiPriority w:val="99"/>
    <w:rsid w:val="00361416"/>
    <w:pPr>
      <w:spacing w:before="240"/>
    </w:pPr>
  </w:style>
  <w:style w:type="paragraph" w:customStyle="1" w:styleId="Insprong125cm">
    <w:name w:val="_Insprong 1.25cm"/>
    <w:basedOn w:val="Normal"/>
    <w:uiPriority w:val="99"/>
    <w:rsid w:val="00361416"/>
    <w:pPr>
      <w:ind w:firstLine="709"/>
    </w:pPr>
  </w:style>
  <w:style w:type="paragraph" w:customStyle="1" w:styleId="12ptvoorinsprong125cm">
    <w:name w:val="_12pt voor+insprong 1.25cm"/>
    <w:basedOn w:val="12ptvoor"/>
    <w:uiPriority w:val="99"/>
    <w:rsid w:val="00361416"/>
    <w:pPr>
      <w:ind w:firstLine="709"/>
    </w:pPr>
  </w:style>
  <w:style w:type="character" w:customStyle="1" w:styleId="Vet">
    <w:name w:val="_Vet"/>
    <w:uiPriority w:val="99"/>
    <w:rsid w:val="00361416"/>
    <w:rPr>
      <w:b/>
      <w:bCs/>
      <w:lang w:val="nl-NL"/>
    </w:rPr>
  </w:style>
  <w:style w:type="character" w:customStyle="1" w:styleId="KleinKapitaalAuteursCtrlAltK">
    <w:name w:val="_KleinKapitaalAuteurs (Ctrl+Alt+K)"/>
    <w:uiPriority w:val="99"/>
    <w:rsid w:val="00361416"/>
    <w:rPr>
      <w:smallCaps/>
      <w:lang w:val="nl-NL"/>
    </w:rPr>
  </w:style>
  <w:style w:type="paragraph" w:styleId="TOC1">
    <w:name w:val="toc 1"/>
    <w:basedOn w:val="Normal"/>
    <w:next w:val="Normal"/>
    <w:autoRedefine/>
    <w:uiPriority w:val="39"/>
    <w:rsid w:val="00361416"/>
    <w:pPr>
      <w:tabs>
        <w:tab w:val="right" w:leader="dot" w:pos="9061"/>
      </w:tabs>
      <w:spacing w:before="480"/>
      <w:jc w:val="left"/>
    </w:pPr>
    <w:rPr>
      <w:b/>
      <w:bCs/>
      <w:caps/>
      <w:noProof/>
    </w:rPr>
  </w:style>
  <w:style w:type="paragraph" w:styleId="TOC2">
    <w:name w:val="toc 2"/>
    <w:basedOn w:val="Normal"/>
    <w:next w:val="Normal"/>
    <w:autoRedefine/>
    <w:uiPriority w:val="39"/>
    <w:rsid w:val="00361416"/>
    <w:pPr>
      <w:tabs>
        <w:tab w:val="right" w:leader="dot" w:pos="9061"/>
      </w:tabs>
      <w:spacing w:before="240"/>
      <w:jc w:val="left"/>
    </w:pPr>
    <w:rPr>
      <w:b/>
      <w:bCs/>
      <w:caps/>
      <w:noProof/>
    </w:rPr>
  </w:style>
  <w:style w:type="paragraph" w:styleId="TOC3">
    <w:name w:val="toc 3"/>
    <w:basedOn w:val="Normal"/>
    <w:next w:val="Normal"/>
    <w:autoRedefine/>
    <w:uiPriority w:val="39"/>
    <w:rsid w:val="00361416"/>
    <w:pPr>
      <w:tabs>
        <w:tab w:val="right" w:leader="dot" w:pos="9061"/>
      </w:tabs>
      <w:spacing w:before="240"/>
      <w:jc w:val="left"/>
    </w:pPr>
    <w:rPr>
      <w:smallCaps/>
      <w:noProof/>
    </w:rPr>
  </w:style>
  <w:style w:type="paragraph" w:styleId="TOC4">
    <w:name w:val="toc 4"/>
    <w:basedOn w:val="Normal"/>
    <w:next w:val="Normal"/>
    <w:autoRedefine/>
    <w:uiPriority w:val="39"/>
    <w:rsid w:val="00361416"/>
    <w:pPr>
      <w:tabs>
        <w:tab w:val="right" w:leader="dot" w:pos="9061"/>
      </w:tabs>
      <w:ind w:left="284"/>
      <w:jc w:val="left"/>
    </w:pPr>
    <w:rPr>
      <w:i/>
      <w:iCs/>
      <w:noProof/>
    </w:rPr>
  </w:style>
  <w:style w:type="paragraph" w:styleId="TOC5">
    <w:name w:val="toc 5"/>
    <w:basedOn w:val="Normal"/>
    <w:next w:val="Normal"/>
    <w:autoRedefine/>
    <w:uiPriority w:val="39"/>
    <w:rsid w:val="00361416"/>
    <w:pPr>
      <w:tabs>
        <w:tab w:val="right" w:leader="dot" w:pos="9061"/>
      </w:tabs>
      <w:ind w:left="567"/>
      <w:jc w:val="left"/>
    </w:pPr>
    <w:rPr>
      <w:noProof/>
    </w:rPr>
  </w:style>
  <w:style w:type="paragraph" w:styleId="TOC6">
    <w:name w:val="toc 6"/>
    <w:basedOn w:val="Normal"/>
    <w:next w:val="Normal"/>
    <w:autoRedefine/>
    <w:uiPriority w:val="39"/>
    <w:rsid w:val="00361416"/>
    <w:pPr>
      <w:tabs>
        <w:tab w:val="right" w:leader="dot" w:pos="9061"/>
      </w:tabs>
      <w:ind w:left="851"/>
      <w:jc w:val="left"/>
    </w:pPr>
    <w:rPr>
      <w:noProof/>
    </w:rPr>
  </w:style>
  <w:style w:type="paragraph" w:styleId="TOC7">
    <w:name w:val="toc 7"/>
    <w:basedOn w:val="Normal"/>
    <w:next w:val="Normal"/>
    <w:autoRedefine/>
    <w:uiPriority w:val="39"/>
    <w:rsid w:val="00361416"/>
    <w:pPr>
      <w:tabs>
        <w:tab w:val="right" w:leader="dot" w:pos="9061"/>
      </w:tabs>
      <w:ind w:left="1134"/>
      <w:jc w:val="left"/>
    </w:pPr>
    <w:rPr>
      <w:noProof/>
    </w:rPr>
  </w:style>
  <w:style w:type="paragraph" w:styleId="TOC8">
    <w:name w:val="toc 8"/>
    <w:basedOn w:val="Normal"/>
    <w:next w:val="Normal"/>
    <w:autoRedefine/>
    <w:uiPriority w:val="39"/>
    <w:rsid w:val="00361416"/>
    <w:pPr>
      <w:tabs>
        <w:tab w:val="right" w:leader="dot" w:pos="9061"/>
      </w:tabs>
      <w:ind w:left="1440"/>
      <w:jc w:val="left"/>
    </w:pPr>
    <w:rPr>
      <w:noProof/>
    </w:rPr>
  </w:style>
  <w:style w:type="paragraph" w:styleId="TOC9">
    <w:name w:val="toc 9"/>
    <w:basedOn w:val="Normal"/>
    <w:next w:val="Normal"/>
    <w:autoRedefine/>
    <w:uiPriority w:val="99"/>
    <w:semiHidden/>
    <w:rsid w:val="00361416"/>
    <w:pPr>
      <w:ind w:left="1760"/>
    </w:pPr>
  </w:style>
  <w:style w:type="character" w:styleId="Hyperlink">
    <w:name w:val="Hyperlink"/>
    <w:basedOn w:val="DefaultParagraphFont"/>
    <w:uiPriority w:val="99"/>
    <w:rsid w:val="00361416"/>
    <w:rPr>
      <w:i/>
      <w:iCs/>
      <w:color w:val="auto"/>
      <w:u w:val="none"/>
    </w:rPr>
  </w:style>
  <w:style w:type="paragraph" w:customStyle="1" w:styleId="Nummer">
    <w:name w:val="_Nummer"/>
    <w:basedOn w:val="12ptvoor"/>
    <w:uiPriority w:val="99"/>
    <w:rsid w:val="00361416"/>
    <w:pPr>
      <w:numPr>
        <w:numId w:val="1"/>
      </w:numPr>
    </w:pPr>
  </w:style>
  <w:style w:type="character" w:styleId="FollowedHyperlink">
    <w:name w:val="FollowedHyperlink"/>
    <w:basedOn w:val="DefaultParagraphFont"/>
    <w:uiPriority w:val="99"/>
    <w:rsid w:val="00361416"/>
    <w:rPr>
      <w:i/>
      <w:iCs/>
      <w:color w:val="auto"/>
      <w:u w:val="none"/>
    </w:rPr>
  </w:style>
  <w:style w:type="paragraph" w:styleId="BalloonText">
    <w:name w:val="Balloon Text"/>
    <w:basedOn w:val="Normal"/>
    <w:link w:val="BalloonTextChar"/>
    <w:uiPriority w:val="99"/>
    <w:semiHidden/>
    <w:rsid w:val="00361416"/>
    <w:rPr>
      <w:rFonts w:ascii="Tahoma" w:hAnsi="Tahoma" w:cs="Tahoma"/>
      <w:sz w:val="16"/>
      <w:szCs w:val="16"/>
    </w:rPr>
  </w:style>
  <w:style w:type="character" w:customStyle="1" w:styleId="BalloonTextChar">
    <w:name w:val="Balloon Text Char"/>
    <w:basedOn w:val="DefaultParagraphFont"/>
    <w:link w:val="BalloonText"/>
    <w:uiPriority w:val="99"/>
    <w:semiHidden/>
    <w:rsid w:val="00A8180A"/>
    <w:rPr>
      <w:rFonts w:ascii="Tahoma" w:hAnsi="Tahoma" w:cs="Tahoma"/>
      <w:sz w:val="16"/>
      <w:szCs w:val="16"/>
    </w:rPr>
  </w:style>
  <w:style w:type="table" w:styleId="Table3Deffects1">
    <w:name w:val="Table 3D effects 1"/>
    <w:basedOn w:val="TableNormal"/>
    <w:uiPriority w:val="99"/>
    <w:semiHidden/>
    <w:rsid w:val="00361416"/>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61416"/>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61416"/>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rsid w:val="00361416"/>
  </w:style>
  <w:style w:type="character" w:customStyle="1" w:styleId="SalutationChar">
    <w:name w:val="Salutation Char"/>
    <w:basedOn w:val="DefaultParagraphFont"/>
    <w:link w:val="Salutation"/>
    <w:uiPriority w:val="99"/>
    <w:semiHidden/>
    <w:rsid w:val="00360F86"/>
    <w:rPr>
      <w:sz w:val="24"/>
      <w:szCs w:val="24"/>
      <w:lang w:val="nl-NL" w:eastAsia="nl-NL"/>
    </w:rPr>
  </w:style>
  <w:style w:type="paragraph" w:styleId="EnvelopeAddress">
    <w:name w:val="envelope address"/>
    <w:basedOn w:val="Normal"/>
    <w:uiPriority w:val="99"/>
    <w:semiHidden/>
    <w:rsid w:val="00361416"/>
    <w:pPr>
      <w:framePr w:w="7920" w:h="1980" w:hRule="exact" w:hSpace="141" w:wrap="auto" w:hAnchor="page" w:xAlign="center" w:yAlign="bottom"/>
      <w:ind w:left="2880"/>
    </w:pPr>
    <w:rPr>
      <w:rFonts w:ascii="Arial" w:hAnsi="Arial" w:cs="Arial"/>
    </w:rPr>
  </w:style>
  <w:style w:type="paragraph" w:styleId="Closing">
    <w:name w:val="Closing"/>
    <w:basedOn w:val="Normal"/>
    <w:link w:val="ClosingChar"/>
    <w:uiPriority w:val="99"/>
    <w:semiHidden/>
    <w:rsid w:val="00361416"/>
    <w:pPr>
      <w:ind w:left="4252"/>
    </w:pPr>
  </w:style>
  <w:style w:type="character" w:customStyle="1" w:styleId="ClosingChar">
    <w:name w:val="Closing Char"/>
    <w:basedOn w:val="DefaultParagraphFont"/>
    <w:link w:val="Closing"/>
    <w:uiPriority w:val="99"/>
    <w:semiHidden/>
    <w:rsid w:val="00360F86"/>
    <w:rPr>
      <w:sz w:val="24"/>
      <w:szCs w:val="24"/>
      <w:lang w:val="nl-NL" w:eastAsia="nl-NL"/>
    </w:rPr>
  </w:style>
  <w:style w:type="paragraph" w:styleId="EnvelopeReturn">
    <w:name w:val="envelope return"/>
    <w:basedOn w:val="Normal"/>
    <w:uiPriority w:val="99"/>
    <w:semiHidden/>
    <w:rsid w:val="00361416"/>
    <w:rPr>
      <w:rFonts w:ascii="Arial" w:hAnsi="Arial" w:cs="Arial"/>
      <w:sz w:val="20"/>
      <w:szCs w:val="20"/>
    </w:rPr>
  </w:style>
  <w:style w:type="paragraph" w:styleId="MessageHeader">
    <w:name w:val="Message Header"/>
    <w:basedOn w:val="Normal"/>
    <w:link w:val="MessageHeaderChar"/>
    <w:uiPriority w:val="99"/>
    <w:semiHidden/>
    <w:rsid w:val="003614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360F86"/>
    <w:rPr>
      <w:rFonts w:asciiTheme="majorHAnsi" w:eastAsiaTheme="majorEastAsia" w:hAnsiTheme="majorHAnsi" w:cstheme="majorBidi"/>
      <w:sz w:val="24"/>
      <w:szCs w:val="24"/>
      <w:shd w:val="pct20" w:color="auto" w:fill="auto"/>
      <w:lang w:val="nl-NL" w:eastAsia="nl-NL"/>
    </w:rPr>
  </w:style>
  <w:style w:type="paragraph" w:styleId="BlockText">
    <w:name w:val="Block Text"/>
    <w:basedOn w:val="Normal"/>
    <w:uiPriority w:val="99"/>
    <w:semiHidden/>
    <w:rsid w:val="00361416"/>
    <w:pPr>
      <w:spacing w:after="120"/>
      <w:ind w:left="1440" w:right="1440"/>
    </w:pPr>
  </w:style>
  <w:style w:type="paragraph" w:styleId="Date">
    <w:name w:val="Date"/>
    <w:basedOn w:val="Normal"/>
    <w:next w:val="Normal"/>
    <w:link w:val="DateChar"/>
    <w:uiPriority w:val="99"/>
    <w:semiHidden/>
    <w:rsid w:val="00361416"/>
  </w:style>
  <w:style w:type="character" w:customStyle="1" w:styleId="DateChar">
    <w:name w:val="Date Char"/>
    <w:basedOn w:val="DefaultParagraphFont"/>
    <w:link w:val="Date"/>
    <w:uiPriority w:val="99"/>
    <w:semiHidden/>
    <w:rsid w:val="00360F86"/>
    <w:rPr>
      <w:sz w:val="24"/>
      <w:szCs w:val="24"/>
      <w:lang w:val="nl-NL" w:eastAsia="nl-NL"/>
    </w:rPr>
  </w:style>
  <w:style w:type="table" w:styleId="TableSimple1">
    <w:name w:val="Table Simple 1"/>
    <w:basedOn w:val="TableNormal"/>
    <w:uiPriority w:val="99"/>
    <w:semiHidden/>
    <w:rsid w:val="00361416"/>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361416"/>
    <w:pPr>
      <w:jc w:val="both"/>
    </w:pPr>
    <w:rPr>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361416"/>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rsid w:val="00361416"/>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61416"/>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361416"/>
  </w:style>
  <w:style w:type="character" w:customStyle="1" w:styleId="E-mailSignatureChar">
    <w:name w:val="E-mail Signature Char"/>
    <w:basedOn w:val="DefaultParagraphFont"/>
    <w:link w:val="E-mailSignature"/>
    <w:uiPriority w:val="99"/>
    <w:semiHidden/>
    <w:rsid w:val="00360F86"/>
    <w:rPr>
      <w:sz w:val="24"/>
      <w:szCs w:val="24"/>
      <w:lang w:val="nl-NL" w:eastAsia="nl-NL"/>
    </w:rPr>
  </w:style>
  <w:style w:type="paragraph" w:styleId="Signature">
    <w:name w:val="Signature"/>
    <w:basedOn w:val="Normal"/>
    <w:link w:val="SignatureChar"/>
    <w:uiPriority w:val="99"/>
    <w:semiHidden/>
    <w:rsid w:val="00361416"/>
    <w:pPr>
      <w:ind w:left="4252"/>
    </w:pPr>
  </w:style>
  <w:style w:type="character" w:customStyle="1" w:styleId="SignatureChar">
    <w:name w:val="Signature Char"/>
    <w:basedOn w:val="DefaultParagraphFont"/>
    <w:link w:val="Signature"/>
    <w:uiPriority w:val="99"/>
    <w:semiHidden/>
    <w:rsid w:val="00360F86"/>
    <w:rPr>
      <w:sz w:val="24"/>
      <w:szCs w:val="24"/>
      <w:lang w:val="nl-NL" w:eastAsia="nl-NL"/>
    </w:rPr>
  </w:style>
  <w:style w:type="paragraph" w:styleId="HTMLPreformatted">
    <w:name w:val="HTML Preformatted"/>
    <w:basedOn w:val="Normal"/>
    <w:link w:val="HTMLPreformattedChar"/>
    <w:uiPriority w:val="99"/>
    <w:semiHidden/>
    <w:rsid w:val="0036141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360F86"/>
    <w:rPr>
      <w:rFonts w:ascii="Courier New" w:hAnsi="Courier New" w:cs="Courier New"/>
      <w:sz w:val="20"/>
      <w:szCs w:val="20"/>
      <w:lang w:val="nl-NL" w:eastAsia="nl-NL"/>
    </w:rPr>
  </w:style>
  <w:style w:type="character" w:styleId="HTMLCode">
    <w:name w:val="HTML Code"/>
    <w:basedOn w:val="DefaultParagraphFont"/>
    <w:uiPriority w:val="99"/>
    <w:semiHidden/>
    <w:rsid w:val="00361416"/>
    <w:rPr>
      <w:rFonts w:ascii="Courier New" w:hAnsi="Courier New" w:cs="Courier New"/>
      <w:sz w:val="20"/>
      <w:szCs w:val="20"/>
    </w:rPr>
  </w:style>
  <w:style w:type="character" w:styleId="HTMLDefinition">
    <w:name w:val="HTML Definition"/>
    <w:basedOn w:val="DefaultParagraphFont"/>
    <w:uiPriority w:val="99"/>
    <w:semiHidden/>
    <w:rsid w:val="00361416"/>
    <w:rPr>
      <w:i/>
      <w:iCs/>
    </w:rPr>
  </w:style>
  <w:style w:type="character" w:styleId="HTMLVariable">
    <w:name w:val="HTML Variable"/>
    <w:basedOn w:val="DefaultParagraphFont"/>
    <w:uiPriority w:val="99"/>
    <w:semiHidden/>
    <w:rsid w:val="00361416"/>
    <w:rPr>
      <w:i/>
      <w:iCs/>
    </w:rPr>
  </w:style>
  <w:style w:type="character" w:styleId="HTMLAcronym">
    <w:name w:val="HTML Acronym"/>
    <w:basedOn w:val="DefaultParagraphFont"/>
    <w:uiPriority w:val="99"/>
    <w:semiHidden/>
    <w:rsid w:val="00361416"/>
  </w:style>
  <w:style w:type="paragraph" w:styleId="HTMLAddress">
    <w:name w:val="HTML Address"/>
    <w:basedOn w:val="Normal"/>
    <w:link w:val="HTMLAddressChar"/>
    <w:uiPriority w:val="99"/>
    <w:semiHidden/>
    <w:rsid w:val="00361416"/>
    <w:rPr>
      <w:i/>
      <w:iCs/>
    </w:rPr>
  </w:style>
  <w:style w:type="character" w:customStyle="1" w:styleId="HTMLAddressChar">
    <w:name w:val="HTML Address Char"/>
    <w:basedOn w:val="DefaultParagraphFont"/>
    <w:link w:val="HTMLAddress"/>
    <w:uiPriority w:val="99"/>
    <w:semiHidden/>
    <w:rsid w:val="00360F86"/>
    <w:rPr>
      <w:i/>
      <w:iCs/>
      <w:sz w:val="24"/>
      <w:szCs w:val="24"/>
      <w:lang w:val="nl-NL" w:eastAsia="nl-NL"/>
    </w:rPr>
  </w:style>
  <w:style w:type="character" w:styleId="HTMLCite">
    <w:name w:val="HTML Cite"/>
    <w:basedOn w:val="DefaultParagraphFont"/>
    <w:uiPriority w:val="99"/>
    <w:semiHidden/>
    <w:rsid w:val="00361416"/>
    <w:rPr>
      <w:i/>
      <w:iCs/>
    </w:rPr>
  </w:style>
  <w:style w:type="character" w:styleId="HTMLTypewriter">
    <w:name w:val="HTML Typewriter"/>
    <w:basedOn w:val="DefaultParagraphFont"/>
    <w:uiPriority w:val="99"/>
    <w:semiHidden/>
    <w:rsid w:val="00361416"/>
    <w:rPr>
      <w:rFonts w:ascii="Courier New" w:hAnsi="Courier New" w:cs="Courier New"/>
      <w:sz w:val="20"/>
      <w:szCs w:val="20"/>
    </w:rPr>
  </w:style>
  <w:style w:type="character" w:styleId="HTMLKeyboard">
    <w:name w:val="HTML Keyboard"/>
    <w:basedOn w:val="DefaultParagraphFont"/>
    <w:uiPriority w:val="99"/>
    <w:semiHidden/>
    <w:rsid w:val="00361416"/>
    <w:rPr>
      <w:rFonts w:ascii="Courier New" w:hAnsi="Courier New" w:cs="Courier New"/>
      <w:sz w:val="20"/>
      <w:szCs w:val="20"/>
    </w:rPr>
  </w:style>
  <w:style w:type="character" w:styleId="HTMLSample">
    <w:name w:val="HTML Sample"/>
    <w:basedOn w:val="DefaultParagraphFont"/>
    <w:uiPriority w:val="99"/>
    <w:semiHidden/>
    <w:rsid w:val="00361416"/>
    <w:rPr>
      <w:rFonts w:ascii="Courier New" w:hAnsi="Courier New" w:cs="Courier New"/>
    </w:rPr>
  </w:style>
  <w:style w:type="table" w:styleId="TableClassic1">
    <w:name w:val="Table Classic 1"/>
    <w:basedOn w:val="TableNormal"/>
    <w:uiPriority w:val="99"/>
    <w:semiHidden/>
    <w:rsid w:val="00361416"/>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61416"/>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61416"/>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61416"/>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61416"/>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61416"/>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61416"/>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st">
    <w:name w:val="List"/>
    <w:basedOn w:val="Normal"/>
    <w:uiPriority w:val="99"/>
    <w:semiHidden/>
    <w:rsid w:val="00361416"/>
    <w:pPr>
      <w:ind w:left="283" w:hanging="283"/>
    </w:pPr>
  </w:style>
  <w:style w:type="paragraph" w:styleId="List2">
    <w:name w:val="List 2"/>
    <w:basedOn w:val="Normal"/>
    <w:uiPriority w:val="99"/>
    <w:semiHidden/>
    <w:rsid w:val="00361416"/>
    <w:pPr>
      <w:ind w:left="566" w:hanging="283"/>
    </w:pPr>
  </w:style>
  <w:style w:type="paragraph" w:styleId="List3">
    <w:name w:val="List 3"/>
    <w:basedOn w:val="Normal"/>
    <w:uiPriority w:val="99"/>
    <w:semiHidden/>
    <w:rsid w:val="00361416"/>
    <w:pPr>
      <w:ind w:left="849" w:hanging="283"/>
    </w:pPr>
  </w:style>
  <w:style w:type="paragraph" w:styleId="List4">
    <w:name w:val="List 4"/>
    <w:basedOn w:val="Normal"/>
    <w:uiPriority w:val="99"/>
    <w:semiHidden/>
    <w:rsid w:val="00361416"/>
    <w:pPr>
      <w:ind w:left="1132" w:hanging="283"/>
    </w:pPr>
  </w:style>
  <w:style w:type="paragraph" w:styleId="List5">
    <w:name w:val="List 5"/>
    <w:basedOn w:val="Normal"/>
    <w:uiPriority w:val="99"/>
    <w:semiHidden/>
    <w:rsid w:val="00361416"/>
    <w:pPr>
      <w:ind w:left="1415" w:hanging="283"/>
    </w:pPr>
  </w:style>
  <w:style w:type="paragraph" w:styleId="ListBullet">
    <w:name w:val="List Bullet"/>
    <w:basedOn w:val="Normal"/>
    <w:autoRedefine/>
    <w:uiPriority w:val="99"/>
    <w:rsid w:val="00361416"/>
    <w:pPr>
      <w:tabs>
        <w:tab w:val="num" w:pos="360"/>
      </w:tabs>
      <w:ind w:left="360" w:hanging="360"/>
    </w:pPr>
  </w:style>
  <w:style w:type="paragraph" w:styleId="ListBullet2">
    <w:name w:val="List Bullet 2"/>
    <w:basedOn w:val="Normal"/>
    <w:autoRedefine/>
    <w:uiPriority w:val="99"/>
    <w:semiHidden/>
    <w:rsid w:val="00361416"/>
    <w:pPr>
      <w:tabs>
        <w:tab w:val="num" w:pos="643"/>
      </w:tabs>
      <w:ind w:left="643" w:hanging="360"/>
    </w:pPr>
  </w:style>
  <w:style w:type="paragraph" w:styleId="ListBullet3">
    <w:name w:val="List Bullet 3"/>
    <w:basedOn w:val="Normal"/>
    <w:autoRedefine/>
    <w:uiPriority w:val="99"/>
    <w:semiHidden/>
    <w:rsid w:val="00361416"/>
    <w:pPr>
      <w:tabs>
        <w:tab w:val="num" w:pos="926"/>
      </w:tabs>
      <w:ind w:left="926" w:hanging="360"/>
    </w:pPr>
  </w:style>
  <w:style w:type="paragraph" w:styleId="ListBullet4">
    <w:name w:val="List Bullet 4"/>
    <w:basedOn w:val="Normal"/>
    <w:autoRedefine/>
    <w:uiPriority w:val="99"/>
    <w:semiHidden/>
    <w:rsid w:val="00361416"/>
    <w:pPr>
      <w:tabs>
        <w:tab w:val="num" w:pos="1209"/>
      </w:tabs>
      <w:ind w:left="1209" w:hanging="360"/>
    </w:pPr>
  </w:style>
  <w:style w:type="paragraph" w:styleId="ListBullet5">
    <w:name w:val="List Bullet 5"/>
    <w:basedOn w:val="Normal"/>
    <w:autoRedefine/>
    <w:uiPriority w:val="99"/>
    <w:semiHidden/>
    <w:rsid w:val="00361416"/>
    <w:pPr>
      <w:tabs>
        <w:tab w:val="num" w:pos="1492"/>
      </w:tabs>
      <w:ind w:left="1492" w:hanging="360"/>
    </w:pPr>
  </w:style>
  <w:style w:type="paragraph" w:styleId="ListNumber">
    <w:name w:val="List Number"/>
    <w:basedOn w:val="Normal"/>
    <w:uiPriority w:val="99"/>
    <w:semiHidden/>
    <w:rsid w:val="00361416"/>
    <w:pPr>
      <w:tabs>
        <w:tab w:val="num" w:pos="360"/>
      </w:tabs>
      <w:ind w:left="360" w:hanging="360"/>
    </w:pPr>
  </w:style>
  <w:style w:type="paragraph" w:styleId="ListNumber2">
    <w:name w:val="List Number 2"/>
    <w:basedOn w:val="Normal"/>
    <w:uiPriority w:val="99"/>
    <w:semiHidden/>
    <w:rsid w:val="00361416"/>
    <w:pPr>
      <w:tabs>
        <w:tab w:val="num" w:pos="643"/>
      </w:tabs>
      <w:ind w:left="643" w:hanging="360"/>
    </w:pPr>
  </w:style>
  <w:style w:type="paragraph" w:styleId="ListNumber3">
    <w:name w:val="List Number 3"/>
    <w:basedOn w:val="Normal"/>
    <w:uiPriority w:val="99"/>
    <w:semiHidden/>
    <w:rsid w:val="00361416"/>
    <w:pPr>
      <w:tabs>
        <w:tab w:val="num" w:pos="926"/>
      </w:tabs>
      <w:ind w:left="926" w:hanging="360"/>
    </w:pPr>
  </w:style>
  <w:style w:type="paragraph" w:styleId="ListNumber4">
    <w:name w:val="List Number 4"/>
    <w:basedOn w:val="Normal"/>
    <w:uiPriority w:val="99"/>
    <w:semiHidden/>
    <w:rsid w:val="00361416"/>
    <w:pPr>
      <w:tabs>
        <w:tab w:val="num" w:pos="1209"/>
      </w:tabs>
      <w:ind w:left="1209" w:hanging="360"/>
    </w:pPr>
  </w:style>
  <w:style w:type="paragraph" w:styleId="ListNumber5">
    <w:name w:val="List Number 5"/>
    <w:basedOn w:val="Normal"/>
    <w:uiPriority w:val="99"/>
    <w:semiHidden/>
    <w:rsid w:val="00361416"/>
    <w:pPr>
      <w:tabs>
        <w:tab w:val="num" w:pos="1492"/>
      </w:tabs>
      <w:ind w:left="1492" w:hanging="360"/>
    </w:pPr>
  </w:style>
  <w:style w:type="paragraph" w:styleId="ListContinue">
    <w:name w:val="List Continue"/>
    <w:basedOn w:val="Normal"/>
    <w:uiPriority w:val="99"/>
    <w:semiHidden/>
    <w:rsid w:val="00361416"/>
    <w:pPr>
      <w:spacing w:after="120"/>
      <w:ind w:left="283"/>
    </w:pPr>
  </w:style>
  <w:style w:type="paragraph" w:styleId="ListContinue2">
    <w:name w:val="List Continue 2"/>
    <w:basedOn w:val="Normal"/>
    <w:uiPriority w:val="99"/>
    <w:semiHidden/>
    <w:rsid w:val="00361416"/>
    <w:pPr>
      <w:spacing w:after="120"/>
      <w:ind w:left="566"/>
    </w:pPr>
  </w:style>
  <w:style w:type="paragraph" w:styleId="ListContinue3">
    <w:name w:val="List Continue 3"/>
    <w:basedOn w:val="Normal"/>
    <w:uiPriority w:val="99"/>
    <w:semiHidden/>
    <w:rsid w:val="00361416"/>
    <w:pPr>
      <w:spacing w:after="120"/>
      <w:ind w:left="849"/>
    </w:pPr>
  </w:style>
  <w:style w:type="paragraph" w:styleId="ListContinue4">
    <w:name w:val="List Continue 4"/>
    <w:basedOn w:val="Normal"/>
    <w:uiPriority w:val="99"/>
    <w:semiHidden/>
    <w:rsid w:val="00361416"/>
    <w:pPr>
      <w:spacing w:after="120"/>
      <w:ind w:left="1132"/>
    </w:pPr>
  </w:style>
  <w:style w:type="paragraph" w:styleId="ListContinue5">
    <w:name w:val="List Continue 5"/>
    <w:basedOn w:val="Normal"/>
    <w:uiPriority w:val="99"/>
    <w:semiHidden/>
    <w:rsid w:val="00361416"/>
    <w:pPr>
      <w:spacing w:after="120"/>
      <w:ind w:left="1415"/>
    </w:pPr>
  </w:style>
  <w:style w:type="character" w:styleId="Emphasis">
    <w:name w:val="Emphasis"/>
    <w:basedOn w:val="DefaultParagraphFont"/>
    <w:uiPriority w:val="99"/>
    <w:qFormat/>
    <w:rsid w:val="00361416"/>
    <w:rPr>
      <w:i/>
      <w:iCs/>
    </w:rPr>
  </w:style>
  <w:style w:type="paragraph" w:styleId="NormalWeb">
    <w:name w:val="Normal (Web)"/>
    <w:basedOn w:val="Normal"/>
    <w:uiPriority w:val="99"/>
    <w:semiHidden/>
    <w:rsid w:val="00361416"/>
  </w:style>
  <w:style w:type="paragraph" w:styleId="NoteHeading">
    <w:name w:val="Note Heading"/>
    <w:basedOn w:val="Normal"/>
    <w:next w:val="Normal"/>
    <w:link w:val="NoteHeadingChar"/>
    <w:uiPriority w:val="99"/>
    <w:semiHidden/>
    <w:rsid w:val="00361416"/>
  </w:style>
  <w:style w:type="character" w:customStyle="1" w:styleId="NoteHeadingChar">
    <w:name w:val="Note Heading Char"/>
    <w:basedOn w:val="DefaultParagraphFont"/>
    <w:link w:val="NoteHeading"/>
    <w:uiPriority w:val="99"/>
    <w:semiHidden/>
    <w:rsid w:val="00360F86"/>
    <w:rPr>
      <w:sz w:val="24"/>
      <w:szCs w:val="24"/>
      <w:lang w:val="nl-NL" w:eastAsia="nl-NL"/>
    </w:rPr>
  </w:style>
  <w:style w:type="paragraph" w:styleId="BodyText">
    <w:name w:val="Body Text"/>
    <w:basedOn w:val="Normal"/>
    <w:link w:val="BodyTextChar"/>
    <w:uiPriority w:val="99"/>
    <w:semiHidden/>
    <w:rsid w:val="00361416"/>
    <w:pPr>
      <w:spacing w:after="120"/>
    </w:pPr>
  </w:style>
  <w:style w:type="character" w:customStyle="1" w:styleId="BodyTextChar">
    <w:name w:val="Body Text Char"/>
    <w:basedOn w:val="DefaultParagraphFont"/>
    <w:link w:val="BodyText"/>
    <w:uiPriority w:val="99"/>
    <w:semiHidden/>
    <w:rsid w:val="00360F86"/>
    <w:rPr>
      <w:sz w:val="24"/>
      <w:szCs w:val="24"/>
      <w:lang w:val="nl-NL" w:eastAsia="nl-NL"/>
    </w:rPr>
  </w:style>
  <w:style w:type="paragraph" w:styleId="BodyText2">
    <w:name w:val="Body Text 2"/>
    <w:basedOn w:val="Normal"/>
    <w:link w:val="BodyText2Char"/>
    <w:uiPriority w:val="99"/>
    <w:semiHidden/>
    <w:rsid w:val="00361416"/>
    <w:pPr>
      <w:spacing w:after="120" w:line="480" w:lineRule="auto"/>
    </w:pPr>
  </w:style>
  <w:style w:type="character" w:customStyle="1" w:styleId="BodyText2Char">
    <w:name w:val="Body Text 2 Char"/>
    <w:basedOn w:val="DefaultParagraphFont"/>
    <w:link w:val="BodyText2"/>
    <w:uiPriority w:val="99"/>
    <w:semiHidden/>
    <w:rsid w:val="00360F86"/>
    <w:rPr>
      <w:sz w:val="24"/>
      <w:szCs w:val="24"/>
      <w:lang w:val="nl-NL" w:eastAsia="nl-NL"/>
    </w:rPr>
  </w:style>
  <w:style w:type="paragraph" w:styleId="BodyText3">
    <w:name w:val="Body Text 3"/>
    <w:basedOn w:val="Normal"/>
    <w:link w:val="BodyText3Char"/>
    <w:uiPriority w:val="99"/>
    <w:semiHidden/>
    <w:rsid w:val="00361416"/>
    <w:pPr>
      <w:spacing w:after="120"/>
    </w:pPr>
    <w:rPr>
      <w:sz w:val="16"/>
      <w:szCs w:val="16"/>
    </w:rPr>
  </w:style>
  <w:style w:type="character" w:customStyle="1" w:styleId="BodyText3Char">
    <w:name w:val="Body Text 3 Char"/>
    <w:basedOn w:val="DefaultParagraphFont"/>
    <w:link w:val="BodyText3"/>
    <w:uiPriority w:val="99"/>
    <w:semiHidden/>
    <w:rsid w:val="00360F86"/>
    <w:rPr>
      <w:sz w:val="16"/>
      <w:szCs w:val="16"/>
      <w:lang w:val="nl-NL" w:eastAsia="nl-NL"/>
    </w:rPr>
  </w:style>
  <w:style w:type="paragraph" w:styleId="BodyTextFirstIndent">
    <w:name w:val="Body Text First Indent"/>
    <w:basedOn w:val="BodyText"/>
    <w:link w:val="BodyTextFirstIndentChar"/>
    <w:uiPriority w:val="99"/>
    <w:semiHidden/>
    <w:rsid w:val="00361416"/>
    <w:pPr>
      <w:ind w:firstLine="210"/>
    </w:pPr>
  </w:style>
  <w:style w:type="character" w:customStyle="1" w:styleId="BodyTextFirstIndentChar">
    <w:name w:val="Body Text First Indent Char"/>
    <w:basedOn w:val="BodyTextChar"/>
    <w:link w:val="BodyTextFirstIndent"/>
    <w:uiPriority w:val="99"/>
    <w:semiHidden/>
    <w:rsid w:val="00360F86"/>
    <w:rPr>
      <w:sz w:val="24"/>
      <w:szCs w:val="24"/>
      <w:lang w:val="nl-NL" w:eastAsia="nl-NL"/>
    </w:rPr>
  </w:style>
  <w:style w:type="paragraph" w:styleId="BodyTextIndent">
    <w:name w:val="Body Text Indent"/>
    <w:basedOn w:val="Normal"/>
    <w:link w:val="BodyTextIndentChar"/>
    <w:uiPriority w:val="99"/>
    <w:semiHidden/>
    <w:rsid w:val="00361416"/>
    <w:pPr>
      <w:spacing w:after="120"/>
      <w:ind w:left="283"/>
    </w:pPr>
  </w:style>
  <w:style w:type="character" w:customStyle="1" w:styleId="BodyTextIndentChar">
    <w:name w:val="Body Text Indent Char"/>
    <w:basedOn w:val="DefaultParagraphFont"/>
    <w:link w:val="BodyTextIndent"/>
    <w:uiPriority w:val="99"/>
    <w:semiHidden/>
    <w:rsid w:val="00360F86"/>
    <w:rPr>
      <w:sz w:val="24"/>
      <w:szCs w:val="24"/>
      <w:lang w:val="nl-NL" w:eastAsia="nl-NL"/>
    </w:rPr>
  </w:style>
  <w:style w:type="paragraph" w:styleId="BodyTextFirstIndent2">
    <w:name w:val="Body Text First Indent 2"/>
    <w:basedOn w:val="BodyTextIndent"/>
    <w:link w:val="BodyTextFirstIndent2Char"/>
    <w:uiPriority w:val="99"/>
    <w:semiHidden/>
    <w:rsid w:val="00361416"/>
    <w:pPr>
      <w:ind w:firstLine="210"/>
    </w:pPr>
  </w:style>
  <w:style w:type="character" w:customStyle="1" w:styleId="BodyTextFirstIndent2Char">
    <w:name w:val="Body Text First Indent 2 Char"/>
    <w:basedOn w:val="BodyTextIndentChar"/>
    <w:link w:val="BodyTextFirstIndent2"/>
    <w:uiPriority w:val="99"/>
    <w:semiHidden/>
    <w:rsid w:val="00360F86"/>
    <w:rPr>
      <w:sz w:val="24"/>
      <w:szCs w:val="24"/>
      <w:lang w:val="nl-NL" w:eastAsia="nl-NL"/>
    </w:rPr>
  </w:style>
  <w:style w:type="paragraph" w:styleId="BodyTextIndent2">
    <w:name w:val="Body Text Indent 2"/>
    <w:basedOn w:val="Normal"/>
    <w:link w:val="BodyTextIndent2Char"/>
    <w:uiPriority w:val="99"/>
    <w:semiHidden/>
    <w:rsid w:val="00361416"/>
    <w:pPr>
      <w:spacing w:after="120" w:line="480" w:lineRule="auto"/>
      <w:ind w:left="283"/>
    </w:pPr>
  </w:style>
  <w:style w:type="character" w:customStyle="1" w:styleId="BodyTextIndent2Char">
    <w:name w:val="Body Text Indent 2 Char"/>
    <w:basedOn w:val="DefaultParagraphFont"/>
    <w:link w:val="BodyTextIndent2"/>
    <w:uiPriority w:val="99"/>
    <w:semiHidden/>
    <w:rsid w:val="00360F86"/>
    <w:rPr>
      <w:sz w:val="24"/>
      <w:szCs w:val="24"/>
      <w:lang w:val="nl-NL" w:eastAsia="nl-NL"/>
    </w:rPr>
  </w:style>
  <w:style w:type="paragraph" w:styleId="BodyTextIndent3">
    <w:name w:val="Body Text Indent 3"/>
    <w:basedOn w:val="Normal"/>
    <w:link w:val="BodyTextIndent3Char"/>
    <w:uiPriority w:val="99"/>
    <w:semiHidden/>
    <w:rsid w:val="0036141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60F86"/>
    <w:rPr>
      <w:sz w:val="16"/>
      <w:szCs w:val="16"/>
      <w:lang w:val="nl-NL" w:eastAsia="nl-NL"/>
    </w:rPr>
  </w:style>
  <w:style w:type="table" w:styleId="TableProfessional">
    <w:name w:val="Table Professional"/>
    <w:basedOn w:val="TableNormal"/>
    <w:uiPriority w:val="99"/>
    <w:semiHidden/>
    <w:rsid w:val="00361416"/>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character" w:styleId="LineNumber">
    <w:name w:val="line number"/>
    <w:basedOn w:val="DefaultParagraphFont"/>
    <w:uiPriority w:val="99"/>
    <w:semiHidden/>
    <w:rsid w:val="00361416"/>
  </w:style>
  <w:style w:type="paragraph" w:styleId="NormalIndent">
    <w:name w:val="Normal Indent"/>
    <w:basedOn w:val="Normal"/>
    <w:uiPriority w:val="99"/>
    <w:semiHidden/>
    <w:rsid w:val="00361416"/>
    <w:pPr>
      <w:ind w:left="708"/>
    </w:pPr>
  </w:style>
  <w:style w:type="paragraph" w:styleId="Subtitle">
    <w:name w:val="Subtitle"/>
    <w:basedOn w:val="Normal"/>
    <w:link w:val="SubtitleChar"/>
    <w:uiPriority w:val="99"/>
    <w:qFormat/>
    <w:rsid w:val="00361416"/>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360F86"/>
    <w:rPr>
      <w:rFonts w:asciiTheme="majorHAnsi" w:eastAsiaTheme="majorEastAsia" w:hAnsiTheme="majorHAnsi" w:cstheme="majorBidi"/>
      <w:sz w:val="24"/>
      <w:szCs w:val="24"/>
      <w:lang w:val="nl-NL" w:eastAsia="nl-NL"/>
    </w:rPr>
  </w:style>
  <w:style w:type="table" w:styleId="TableColumns1">
    <w:name w:val="Table Columns 1"/>
    <w:basedOn w:val="TableNormal"/>
    <w:uiPriority w:val="99"/>
    <w:semiHidden/>
    <w:rsid w:val="00361416"/>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61416"/>
    <w:pPr>
      <w:jc w:val="both"/>
    </w:pPr>
    <w:rPr>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361416"/>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61416"/>
    <w:pPr>
      <w:jc w:val="both"/>
    </w:pPr>
    <w:rPr>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361416"/>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rsid w:val="00361416"/>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61416"/>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61416"/>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61416"/>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61416"/>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61416"/>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61416"/>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61416"/>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99"/>
    <w:semiHidden/>
    <w:rsid w:val="00361416"/>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rsid w:val="00361416"/>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361416"/>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61416"/>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61416"/>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61416"/>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361416"/>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361416"/>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361416"/>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rsid w:val="00361416"/>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361416"/>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360F86"/>
    <w:rPr>
      <w:rFonts w:ascii="Courier New" w:hAnsi="Courier New" w:cs="Courier New"/>
      <w:sz w:val="20"/>
      <w:szCs w:val="20"/>
      <w:lang w:val="nl-NL" w:eastAsia="nl-NL"/>
    </w:rPr>
  </w:style>
  <w:style w:type="paragraph" w:styleId="Title">
    <w:name w:val="Title"/>
    <w:basedOn w:val="Normal"/>
    <w:next w:val="12ptvoor"/>
    <w:link w:val="TitleChar"/>
    <w:uiPriority w:val="99"/>
    <w:qFormat/>
    <w:rsid w:val="00361416"/>
    <w:rPr>
      <w:b/>
      <w:bCs/>
    </w:rPr>
  </w:style>
  <w:style w:type="character" w:customStyle="1" w:styleId="TitleChar">
    <w:name w:val="Title Char"/>
    <w:basedOn w:val="DefaultParagraphFont"/>
    <w:link w:val="Title"/>
    <w:uiPriority w:val="99"/>
    <w:rsid w:val="00A8180A"/>
    <w:rPr>
      <w:b/>
      <w:bCs/>
      <w:sz w:val="24"/>
      <w:szCs w:val="24"/>
    </w:rPr>
  </w:style>
  <w:style w:type="table" w:styleId="TableSubtle1">
    <w:name w:val="Table Subtle 1"/>
    <w:basedOn w:val="TableNormal"/>
    <w:uiPriority w:val="99"/>
    <w:semiHidden/>
    <w:rsid w:val="00361416"/>
    <w:pPr>
      <w:jc w:val="both"/>
    </w:pPr>
    <w:rPr>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361416"/>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9"/>
    <w:rsid w:val="00361416"/>
    <w:rPr>
      <w:vertAlign w:val="superscript"/>
    </w:rPr>
  </w:style>
  <w:style w:type="table" w:styleId="TableWeb1">
    <w:name w:val="Table Web 1"/>
    <w:basedOn w:val="TableNormal"/>
    <w:uiPriority w:val="99"/>
    <w:semiHidden/>
    <w:rsid w:val="00361416"/>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61416"/>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61416"/>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9"/>
    <w:qFormat/>
    <w:rsid w:val="00361416"/>
    <w:rPr>
      <w:b/>
      <w:bCs/>
    </w:rPr>
  </w:style>
  <w:style w:type="paragraph" w:styleId="Bibliography">
    <w:name w:val="Bibliography"/>
    <w:basedOn w:val="Normal"/>
    <w:uiPriority w:val="99"/>
    <w:rsid w:val="00361416"/>
    <w:pPr>
      <w:spacing w:before="240" w:line="360" w:lineRule="auto"/>
      <w:ind w:left="709" w:hanging="709"/>
      <w:contextualSpacing/>
    </w:pPr>
  </w:style>
  <w:style w:type="paragraph" w:customStyle="1" w:styleId="Bijtitel">
    <w:name w:val="Bijtitel"/>
    <w:basedOn w:val="Normal"/>
    <w:next w:val="Normal"/>
    <w:uiPriority w:val="99"/>
    <w:rsid w:val="00361416"/>
    <w:pPr>
      <w:spacing w:before="240" w:after="60"/>
    </w:pPr>
    <w:rPr>
      <w:b/>
      <w:bCs/>
      <w:sz w:val="28"/>
      <w:szCs w:val="28"/>
    </w:rPr>
  </w:style>
  <w:style w:type="character" w:customStyle="1" w:styleId="CursiefCtrlShiftI">
    <w:name w:val="_Cursief (Ctrl+Shift+I)"/>
    <w:uiPriority w:val="99"/>
    <w:rsid w:val="00361416"/>
    <w:rPr>
      <w:i/>
      <w:iCs/>
      <w:lang w:val="nl-NL"/>
    </w:rPr>
  </w:style>
  <w:style w:type="paragraph" w:customStyle="1" w:styleId="Randnummer">
    <w:name w:val="_Randnummer"/>
    <w:basedOn w:val="Normal"/>
    <w:qFormat/>
    <w:rsid w:val="00361416"/>
    <w:pPr>
      <w:spacing w:before="240"/>
      <w:ind w:left="360" w:hanging="360"/>
    </w:pPr>
  </w:style>
  <w:style w:type="character" w:customStyle="1" w:styleId="Alineakern">
    <w:name w:val="_Alineakern"/>
    <w:uiPriority w:val="99"/>
    <w:rsid w:val="008A115F"/>
    <w:rPr>
      <w:b/>
      <w:bCs/>
      <w:smallCaps/>
      <w:lang w:val="nl-NL"/>
    </w:rPr>
  </w:style>
  <w:style w:type="paragraph" w:styleId="ListParagraph">
    <w:name w:val="List Paragraph"/>
    <w:basedOn w:val="Normal"/>
    <w:uiPriority w:val="99"/>
    <w:qFormat/>
    <w:rsid w:val="00020911"/>
    <w:pPr>
      <w:spacing w:after="200" w:line="276" w:lineRule="auto"/>
      <w:ind w:left="720"/>
      <w:contextualSpacing/>
      <w:jc w:val="left"/>
    </w:pPr>
    <w:rPr>
      <w:rFonts w:ascii="Calibri" w:eastAsia="MS Mincho" w:hAnsi="Calibri" w:cs="Calibri"/>
      <w:sz w:val="22"/>
      <w:szCs w:val="22"/>
      <w:lang w:eastAsia="zh-TW"/>
    </w:rPr>
  </w:style>
  <w:style w:type="character" w:customStyle="1" w:styleId="highlight">
    <w:name w:val="highlight"/>
    <w:basedOn w:val="DefaultParagraphFont"/>
    <w:uiPriority w:val="99"/>
    <w:rsid w:val="00A8180A"/>
  </w:style>
  <w:style w:type="paragraph" w:customStyle="1" w:styleId="sub">
    <w:name w:val="sub"/>
    <w:basedOn w:val="Normal"/>
    <w:uiPriority w:val="99"/>
    <w:rsid w:val="00755171"/>
    <w:pPr>
      <w:spacing w:before="120" w:line="360" w:lineRule="atLeast"/>
      <w:ind w:left="1344"/>
      <w:jc w:val="left"/>
    </w:pPr>
    <w:rPr>
      <w:rFonts w:ascii="Verdana" w:hAnsi="Verdana" w:cs="Verdana"/>
      <w:color w:val="000000"/>
      <w:lang w:val="en-US" w:eastAsia="en-US"/>
    </w:rPr>
  </w:style>
  <w:style w:type="paragraph" w:customStyle="1" w:styleId="para">
    <w:name w:val="para"/>
    <w:basedOn w:val="Normal"/>
    <w:uiPriority w:val="99"/>
    <w:rsid w:val="00755171"/>
    <w:pPr>
      <w:spacing w:before="120" w:line="360" w:lineRule="atLeast"/>
      <w:ind w:left="2640"/>
      <w:jc w:val="left"/>
    </w:pPr>
    <w:rPr>
      <w:rFonts w:ascii="Verdana" w:hAnsi="Verdana" w:cs="Verdana"/>
      <w:color w:val="000000"/>
      <w:lang w:val="en-US" w:eastAsia="en-US"/>
    </w:rPr>
  </w:style>
  <w:style w:type="paragraph" w:customStyle="1" w:styleId="subpara">
    <w:name w:val="subpara"/>
    <w:basedOn w:val="Normal"/>
    <w:uiPriority w:val="99"/>
    <w:rsid w:val="00755171"/>
    <w:pPr>
      <w:spacing w:before="72" w:line="360" w:lineRule="atLeast"/>
      <w:ind w:left="3360"/>
      <w:jc w:val="left"/>
    </w:pPr>
    <w:rPr>
      <w:rFonts w:ascii="Verdana" w:hAnsi="Verdana" w:cs="Verdana"/>
      <w:color w:val="000000"/>
      <w:lang w:val="en-US" w:eastAsia="en-US"/>
    </w:rPr>
  </w:style>
  <w:style w:type="paragraph" w:customStyle="1" w:styleId="sec2">
    <w:name w:val="sec2"/>
    <w:basedOn w:val="Normal"/>
    <w:uiPriority w:val="99"/>
    <w:rsid w:val="00755171"/>
    <w:pPr>
      <w:spacing w:before="168" w:after="168" w:line="360" w:lineRule="atLeast"/>
      <w:ind w:left="1320" w:hanging="408"/>
      <w:jc w:val="left"/>
    </w:pPr>
    <w:rPr>
      <w:rFonts w:ascii="Verdana" w:hAnsi="Verdana" w:cs="Verdana"/>
      <w:color w:val="000000"/>
      <w:lang w:val="en-US" w:eastAsia="en-US"/>
    </w:rPr>
  </w:style>
  <w:style w:type="paragraph" w:customStyle="1" w:styleId="def">
    <w:name w:val="def"/>
    <w:basedOn w:val="Normal"/>
    <w:uiPriority w:val="99"/>
    <w:rsid w:val="00D90A19"/>
    <w:pPr>
      <w:spacing w:before="100" w:beforeAutospacing="1" w:after="100" w:afterAutospacing="1"/>
      <w:jc w:val="left"/>
    </w:pPr>
    <w:rPr>
      <w:lang w:eastAsia="nl-BE"/>
    </w:rPr>
  </w:style>
  <w:style w:type="character" w:customStyle="1" w:styleId="apple-converted-space">
    <w:name w:val="apple-converted-space"/>
    <w:basedOn w:val="DefaultParagraphFont"/>
    <w:uiPriority w:val="99"/>
    <w:rsid w:val="00D90A19"/>
  </w:style>
  <w:style w:type="character" w:customStyle="1" w:styleId="titleauthoretc5">
    <w:name w:val="titleauthoretc5"/>
    <w:basedOn w:val="DefaultParagraphFont"/>
    <w:uiPriority w:val="99"/>
    <w:rsid w:val="00A40C86"/>
  </w:style>
  <w:style w:type="character" w:customStyle="1" w:styleId="title2">
    <w:name w:val="title2"/>
    <w:basedOn w:val="DefaultParagraphFont"/>
    <w:uiPriority w:val="99"/>
    <w:rsid w:val="00A40C86"/>
  </w:style>
  <w:style w:type="character" w:customStyle="1" w:styleId="exlresultdetails">
    <w:name w:val="exlresultdetails"/>
    <w:basedOn w:val="DefaultParagraphFont"/>
    <w:rsid w:val="002C5D7A"/>
  </w:style>
  <w:style w:type="character" w:styleId="CommentReference">
    <w:name w:val="annotation reference"/>
    <w:basedOn w:val="DefaultParagraphFont"/>
    <w:uiPriority w:val="99"/>
    <w:semiHidden/>
    <w:rsid w:val="009A014A"/>
    <w:rPr>
      <w:sz w:val="16"/>
      <w:szCs w:val="16"/>
    </w:rPr>
  </w:style>
  <w:style w:type="paragraph" w:styleId="CommentText">
    <w:name w:val="annotation text"/>
    <w:basedOn w:val="Normal"/>
    <w:link w:val="CommentTextChar"/>
    <w:uiPriority w:val="99"/>
    <w:semiHidden/>
    <w:rsid w:val="009A014A"/>
    <w:rPr>
      <w:sz w:val="20"/>
      <w:szCs w:val="20"/>
    </w:rPr>
  </w:style>
  <w:style w:type="character" w:customStyle="1" w:styleId="CommentTextChar">
    <w:name w:val="Comment Text Char"/>
    <w:basedOn w:val="DefaultParagraphFont"/>
    <w:link w:val="CommentText"/>
    <w:uiPriority w:val="99"/>
    <w:semiHidden/>
    <w:rsid w:val="009A014A"/>
  </w:style>
  <w:style w:type="paragraph" w:styleId="CommentSubject">
    <w:name w:val="annotation subject"/>
    <w:basedOn w:val="CommentText"/>
    <w:next w:val="CommentText"/>
    <w:link w:val="CommentSubjectChar"/>
    <w:uiPriority w:val="99"/>
    <w:semiHidden/>
    <w:rsid w:val="009A014A"/>
    <w:rPr>
      <w:b/>
      <w:bCs/>
    </w:rPr>
  </w:style>
  <w:style w:type="character" w:customStyle="1" w:styleId="CommentSubjectChar">
    <w:name w:val="Comment Subject Char"/>
    <w:basedOn w:val="CommentTextChar"/>
    <w:link w:val="CommentSubject"/>
    <w:uiPriority w:val="99"/>
    <w:semiHidden/>
    <w:rsid w:val="009A014A"/>
    <w:rPr>
      <w:b/>
      <w:bCs/>
    </w:rPr>
  </w:style>
  <w:style w:type="numbering" w:styleId="1ai">
    <w:name w:val="Outline List 1"/>
    <w:basedOn w:val="NoList"/>
    <w:uiPriority w:val="99"/>
    <w:semiHidden/>
    <w:unhideWhenUsed/>
    <w:rsid w:val="00360F86"/>
    <w:pPr>
      <w:numPr>
        <w:numId w:val="4"/>
      </w:numPr>
    </w:pPr>
  </w:style>
  <w:style w:type="numbering" w:styleId="111111">
    <w:name w:val="Outline List 2"/>
    <w:basedOn w:val="NoList"/>
    <w:uiPriority w:val="99"/>
    <w:semiHidden/>
    <w:unhideWhenUsed/>
    <w:rsid w:val="00360F86"/>
    <w:pPr>
      <w:numPr>
        <w:numId w:val="3"/>
      </w:numPr>
    </w:pPr>
  </w:style>
  <w:style w:type="numbering" w:styleId="ArticleSection">
    <w:name w:val="Outline List 3"/>
    <w:basedOn w:val="NoList"/>
    <w:uiPriority w:val="99"/>
    <w:semiHidden/>
    <w:unhideWhenUsed/>
    <w:rsid w:val="00360F86"/>
    <w:pPr>
      <w:numPr>
        <w:numId w:val="5"/>
      </w:numPr>
    </w:pPr>
  </w:style>
  <w:style w:type="paragraph" w:customStyle="1" w:styleId="s30eec3f8">
    <w:name w:val="s30eec3f8"/>
    <w:basedOn w:val="Normal"/>
    <w:rsid w:val="00B87C0C"/>
    <w:pPr>
      <w:spacing w:before="100" w:beforeAutospacing="1" w:after="100" w:afterAutospacing="1"/>
      <w:jc w:val="left"/>
    </w:pPr>
    <w:rPr>
      <w:lang w:val="en-US" w:eastAsia="en-US"/>
    </w:rPr>
  </w:style>
  <w:style w:type="character" w:customStyle="1" w:styleId="sb8d990e2">
    <w:name w:val="sb8d990e2"/>
    <w:basedOn w:val="DefaultParagraphFont"/>
    <w:rsid w:val="00B87C0C"/>
  </w:style>
  <w:style w:type="character" w:customStyle="1" w:styleId="searchword1">
    <w:name w:val="searchword1"/>
    <w:basedOn w:val="DefaultParagraphFont"/>
    <w:rsid w:val="004C548C"/>
    <w:rPr>
      <w:shd w:val="clear" w:color="auto" w:fill="FFFBC3"/>
    </w:rPr>
  </w:style>
  <w:style w:type="character" w:styleId="IntenseReference">
    <w:name w:val="Intense Reference"/>
    <w:basedOn w:val="DefaultParagraphFont"/>
    <w:uiPriority w:val="32"/>
    <w:qFormat/>
    <w:rsid w:val="00AE27E0"/>
    <w:rPr>
      <w:b/>
      <w:bCs/>
      <w:smallCaps/>
      <w:color w:val="4F81BD" w:themeColor="accent1"/>
      <w:spacing w:val="5"/>
    </w:rPr>
  </w:style>
</w:styles>
</file>

<file path=word/webSettings.xml><?xml version="1.0" encoding="utf-8"?>
<w:webSettings xmlns:r="http://schemas.openxmlformats.org/officeDocument/2006/relationships" xmlns:w="http://schemas.openxmlformats.org/wordprocessingml/2006/main">
  <w:divs>
    <w:div w:id="468520906">
      <w:bodyDiv w:val="1"/>
      <w:marLeft w:val="0"/>
      <w:marRight w:val="0"/>
      <w:marTop w:val="0"/>
      <w:marBottom w:val="0"/>
      <w:divBdr>
        <w:top w:val="none" w:sz="0" w:space="0" w:color="auto"/>
        <w:left w:val="none" w:sz="0" w:space="0" w:color="auto"/>
        <w:bottom w:val="none" w:sz="0" w:space="0" w:color="auto"/>
        <w:right w:val="none" w:sz="0" w:space="0" w:color="auto"/>
      </w:divBdr>
      <w:divsChild>
        <w:div w:id="1328512963">
          <w:marLeft w:val="0"/>
          <w:marRight w:val="0"/>
          <w:marTop w:val="0"/>
          <w:marBottom w:val="0"/>
          <w:divBdr>
            <w:top w:val="none" w:sz="0" w:space="0" w:color="auto"/>
            <w:left w:val="none" w:sz="0" w:space="0" w:color="auto"/>
            <w:bottom w:val="none" w:sz="0" w:space="0" w:color="auto"/>
            <w:right w:val="none" w:sz="0" w:space="0" w:color="auto"/>
          </w:divBdr>
          <w:divsChild>
            <w:div w:id="90511330">
              <w:marLeft w:val="0"/>
              <w:marRight w:val="0"/>
              <w:marTop w:val="0"/>
              <w:marBottom w:val="0"/>
              <w:divBdr>
                <w:top w:val="none" w:sz="0" w:space="0" w:color="auto"/>
                <w:left w:val="none" w:sz="0" w:space="0" w:color="auto"/>
                <w:bottom w:val="none" w:sz="0" w:space="0" w:color="auto"/>
                <w:right w:val="none" w:sz="0" w:space="0" w:color="auto"/>
              </w:divBdr>
              <w:divsChild>
                <w:div w:id="1863281992">
                  <w:marLeft w:val="0"/>
                  <w:marRight w:val="0"/>
                  <w:marTop w:val="0"/>
                  <w:marBottom w:val="0"/>
                  <w:divBdr>
                    <w:top w:val="none" w:sz="0" w:space="0" w:color="auto"/>
                    <w:left w:val="none" w:sz="0" w:space="0" w:color="auto"/>
                    <w:bottom w:val="none" w:sz="0" w:space="0" w:color="auto"/>
                    <w:right w:val="none" w:sz="0" w:space="0" w:color="auto"/>
                  </w:divBdr>
                  <w:divsChild>
                    <w:div w:id="1493596642">
                      <w:marLeft w:val="0"/>
                      <w:marRight w:val="0"/>
                      <w:marTop w:val="0"/>
                      <w:marBottom w:val="0"/>
                      <w:divBdr>
                        <w:top w:val="none" w:sz="0" w:space="0" w:color="auto"/>
                        <w:left w:val="none" w:sz="0" w:space="0" w:color="auto"/>
                        <w:bottom w:val="none" w:sz="0" w:space="0" w:color="auto"/>
                        <w:right w:val="none" w:sz="0" w:space="0" w:color="auto"/>
                      </w:divBdr>
                      <w:divsChild>
                        <w:div w:id="892934435">
                          <w:marLeft w:val="0"/>
                          <w:marRight w:val="0"/>
                          <w:marTop w:val="0"/>
                          <w:marBottom w:val="0"/>
                          <w:divBdr>
                            <w:top w:val="none" w:sz="0" w:space="0" w:color="auto"/>
                            <w:left w:val="none" w:sz="0" w:space="0" w:color="auto"/>
                            <w:bottom w:val="none" w:sz="0" w:space="0" w:color="auto"/>
                            <w:right w:val="none" w:sz="0" w:space="0" w:color="auto"/>
                          </w:divBdr>
                          <w:divsChild>
                            <w:div w:id="16500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758321">
      <w:bodyDiv w:val="1"/>
      <w:marLeft w:val="0"/>
      <w:marRight w:val="0"/>
      <w:marTop w:val="0"/>
      <w:marBottom w:val="0"/>
      <w:divBdr>
        <w:top w:val="none" w:sz="0" w:space="0" w:color="auto"/>
        <w:left w:val="none" w:sz="0" w:space="0" w:color="auto"/>
        <w:bottom w:val="none" w:sz="0" w:space="0" w:color="auto"/>
        <w:right w:val="none" w:sz="0" w:space="0" w:color="auto"/>
      </w:divBdr>
      <w:divsChild>
        <w:div w:id="1724480676">
          <w:marLeft w:val="0"/>
          <w:marRight w:val="0"/>
          <w:marTop w:val="0"/>
          <w:marBottom w:val="0"/>
          <w:divBdr>
            <w:top w:val="none" w:sz="0" w:space="0" w:color="auto"/>
            <w:left w:val="none" w:sz="0" w:space="0" w:color="auto"/>
            <w:bottom w:val="none" w:sz="0" w:space="0" w:color="auto"/>
            <w:right w:val="none" w:sz="0" w:space="0" w:color="auto"/>
          </w:divBdr>
          <w:divsChild>
            <w:div w:id="43674244">
              <w:marLeft w:val="0"/>
              <w:marRight w:val="0"/>
              <w:marTop w:val="0"/>
              <w:marBottom w:val="0"/>
              <w:divBdr>
                <w:top w:val="none" w:sz="0" w:space="0" w:color="auto"/>
                <w:left w:val="none" w:sz="0" w:space="0" w:color="auto"/>
                <w:bottom w:val="none" w:sz="0" w:space="0" w:color="auto"/>
                <w:right w:val="none" w:sz="0" w:space="0" w:color="auto"/>
              </w:divBdr>
              <w:divsChild>
                <w:div w:id="1094203493">
                  <w:marLeft w:val="0"/>
                  <w:marRight w:val="0"/>
                  <w:marTop w:val="0"/>
                  <w:marBottom w:val="0"/>
                  <w:divBdr>
                    <w:top w:val="none" w:sz="0" w:space="0" w:color="auto"/>
                    <w:left w:val="none" w:sz="0" w:space="0" w:color="auto"/>
                    <w:bottom w:val="none" w:sz="0" w:space="0" w:color="auto"/>
                    <w:right w:val="none" w:sz="0" w:space="0" w:color="auto"/>
                  </w:divBdr>
                  <w:divsChild>
                    <w:div w:id="872038683">
                      <w:marLeft w:val="0"/>
                      <w:marRight w:val="0"/>
                      <w:marTop w:val="0"/>
                      <w:marBottom w:val="0"/>
                      <w:divBdr>
                        <w:top w:val="none" w:sz="0" w:space="0" w:color="auto"/>
                        <w:left w:val="none" w:sz="0" w:space="0" w:color="auto"/>
                        <w:bottom w:val="none" w:sz="0" w:space="0" w:color="auto"/>
                        <w:right w:val="none" w:sz="0" w:space="0" w:color="auto"/>
                      </w:divBdr>
                      <w:divsChild>
                        <w:div w:id="608703544">
                          <w:marLeft w:val="0"/>
                          <w:marRight w:val="0"/>
                          <w:marTop w:val="0"/>
                          <w:marBottom w:val="0"/>
                          <w:divBdr>
                            <w:top w:val="none" w:sz="0" w:space="0" w:color="auto"/>
                            <w:left w:val="none" w:sz="0" w:space="0" w:color="auto"/>
                            <w:bottom w:val="none" w:sz="0" w:space="0" w:color="auto"/>
                            <w:right w:val="none" w:sz="0" w:space="0" w:color="auto"/>
                          </w:divBdr>
                          <w:divsChild>
                            <w:div w:id="20032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483733">
      <w:bodyDiv w:val="1"/>
      <w:marLeft w:val="0"/>
      <w:marRight w:val="0"/>
      <w:marTop w:val="0"/>
      <w:marBottom w:val="0"/>
      <w:divBdr>
        <w:top w:val="none" w:sz="0" w:space="0" w:color="auto"/>
        <w:left w:val="none" w:sz="0" w:space="0" w:color="auto"/>
        <w:bottom w:val="none" w:sz="0" w:space="0" w:color="auto"/>
        <w:right w:val="none" w:sz="0" w:space="0" w:color="auto"/>
      </w:divBdr>
      <w:divsChild>
        <w:div w:id="941762498">
          <w:marLeft w:val="0"/>
          <w:marRight w:val="0"/>
          <w:marTop w:val="0"/>
          <w:marBottom w:val="0"/>
          <w:divBdr>
            <w:top w:val="none" w:sz="0" w:space="0" w:color="auto"/>
            <w:left w:val="none" w:sz="0" w:space="0" w:color="auto"/>
            <w:bottom w:val="none" w:sz="0" w:space="0" w:color="auto"/>
            <w:right w:val="none" w:sz="0" w:space="0" w:color="auto"/>
          </w:divBdr>
          <w:divsChild>
            <w:div w:id="946546422">
              <w:marLeft w:val="0"/>
              <w:marRight w:val="0"/>
              <w:marTop w:val="0"/>
              <w:marBottom w:val="0"/>
              <w:divBdr>
                <w:top w:val="none" w:sz="0" w:space="0" w:color="auto"/>
                <w:left w:val="none" w:sz="0" w:space="0" w:color="auto"/>
                <w:bottom w:val="none" w:sz="0" w:space="0" w:color="auto"/>
                <w:right w:val="none" w:sz="0" w:space="0" w:color="auto"/>
              </w:divBdr>
              <w:divsChild>
                <w:div w:id="1072198659">
                  <w:marLeft w:val="0"/>
                  <w:marRight w:val="0"/>
                  <w:marTop w:val="0"/>
                  <w:marBottom w:val="0"/>
                  <w:divBdr>
                    <w:top w:val="none" w:sz="0" w:space="0" w:color="auto"/>
                    <w:left w:val="none" w:sz="0" w:space="0" w:color="auto"/>
                    <w:bottom w:val="none" w:sz="0" w:space="0" w:color="auto"/>
                    <w:right w:val="none" w:sz="0" w:space="0" w:color="auto"/>
                  </w:divBdr>
                  <w:divsChild>
                    <w:div w:id="1134787264">
                      <w:marLeft w:val="0"/>
                      <w:marRight w:val="0"/>
                      <w:marTop w:val="0"/>
                      <w:marBottom w:val="0"/>
                      <w:divBdr>
                        <w:top w:val="none" w:sz="0" w:space="0" w:color="auto"/>
                        <w:left w:val="none" w:sz="0" w:space="0" w:color="auto"/>
                        <w:bottom w:val="none" w:sz="0" w:space="0" w:color="auto"/>
                        <w:right w:val="none" w:sz="0" w:space="0" w:color="auto"/>
                      </w:divBdr>
                      <w:divsChild>
                        <w:div w:id="490758913">
                          <w:marLeft w:val="0"/>
                          <w:marRight w:val="0"/>
                          <w:marTop w:val="0"/>
                          <w:marBottom w:val="0"/>
                          <w:divBdr>
                            <w:top w:val="none" w:sz="0" w:space="0" w:color="auto"/>
                            <w:left w:val="none" w:sz="0" w:space="0" w:color="auto"/>
                            <w:bottom w:val="none" w:sz="0" w:space="0" w:color="auto"/>
                            <w:right w:val="none" w:sz="0" w:space="0" w:color="auto"/>
                          </w:divBdr>
                          <w:divsChild>
                            <w:div w:id="182072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275595">
      <w:bodyDiv w:val="1"/>
      <w:marLeft w:val="0"/>
      <w:marRight w:val="0"/>
      <w:marTop w:val="0"/>
      <w:marBottom w:val="0"/>
      <w:divBdr>
        <w:top w:val="none" w:sz="0" w:space="0" w:color="auto"/>
        <w:left w:val="none" w:sz="0" w:space="0" w:color="auto"/>
        <w:bottom w:val="none" w:sz="0" w:space="0" w:color="auto"/>
        <w:right w:val="none" w:sz="0" w:space="0" w:color="auto"/>
      </w:divBdr>
    </w:div>
    <w:div w:id="1756047424">
      <w:bodyDiv w:val="1"/>
      <w:marLeft w:val="0"/>
      <w:marRight w:val="0"/>
      <w:marTop w:val="0"/>
      <w:marBottom w:val="0"/>
      <w:divBdr>
        <w:top w:val="none" w:sz="0" w:space="0" w:color="auto"/>
        <w:left w:val="none" w:sz="0" w:space="0" w:color="auto"/>
        <w:bottom w:val="none" w:sz="0" w:space="0" w:color="auto"/>
        <w:right w:val="none" w:sz="0" w:space="0" w:color="auto"/>
      </w:divBdr>
      <w:divsChild>
        <w:div w:id="1158959149">
          <w:marLeft w:val="0"/>
          <w:marRight w:val="0"/>
          <w:marTop w:val="0"/>
          <w:marBottom w:val="0"/>
          <w:divBdr>
            <w:top w:val="none" w:sz="0" w:space="0" w:color="auto"/>
            <w:left w:val="none" w:sz="0" w:space="0" w:color="auto"/>
            <w:bottom w:val="none" w:sz="0" w:space="0" w:color="auto"/>
            <w:right w:val="none" w:sz="0" w:space="0" w:color="auto"/>
          </w:divBdr>
          <w:divsChild>
            <w:div w:id="10034273">
              <w:marLeft w:val="0"/>
              <w:marRight w:val="0"/>
              <w:marTop w:val="0"/>
              <w:marBottom w:val="0"/>
              <w:divBdr>
                <w:top w:val="none" w:sz="0" w:space="0" w:color="auto"/>
                <w:left w:val="none" w:sz="0" w:space="0" w:color="auto"/>
                <w:bottom w:val="none" w:sz="0" w:space="0" w:color="auto"/>
                <w:right w:val="none" w:sz="0" w:space="0" w:color="auto"/>
              </w:divBdr>
              <w:divsChild>
                <w:div w:id="713389992">
                  <w:marLeft w:val="0"/>
                  <w:marRight w:val="0"/>
                  <w:marTop w:val="0"/>
                  <w:marBottom w:val="0"/>
                  <w:divBdr>
                    <w:top w:val="none" w:sz="0" w:space="0" w:color="auto"/>
                    <w:left w:val="none" w:sz="0" w:space="0" w:color="auto"/>
                    <w:bottom w:val="none" w:sz="0" w:space="0" w:color="auto"/>
                    <w:right w:val="none" w:sz="0" w:space="0" w:color="auto"/>
                  </w:divBdr>
                  <w:divsChild>
                    <w:div w:id="1138961552">
                      <w:marLeft w:val="0"/>
                      <w:marRight w:val="0"/>
                      <w:marTop w:val="0"/>
                      <w:marBottom w:val="0"/>
                      <w:divBdr>
                        <w:top w:val="none" w:sz="0" w:space="0" w:color="auto"/>
                        <w:left w:val="none" w:sz="0" w:space="0" w:color="auto"/>
                        <w:bottom w:val="none" w:sz="0" w:space="0" w:color="auto"/>
                        <w:right w:val="none" w:sz="0" w:space="0" w:color="auto"/>
                      </w:divBdr>
                      <w:divsChild>
                        <w:div w:id="1527450786">
                          <w:marLeft w:val="0"/>
                          <w:marRight w:val="0"/>
                          <w:marTop w:val="0"/>
                          <w:marBottom w:val="0"/>
                          <w:divBdr>
                            <w:top w:val="none" w:sz="0" w:space="0" w:color="auto"/>
                            <w:left w:val="none" w:sz="0" w:space="0" w:color="auto"/>
                            <w:bottom w:val="none" w:sz="0" w:space="0" w:color="auto"/>
                            <w:right w:val="none" w:sz="0" w:space="0" w:color="auto"/>
                          </w:divBdr>
                          <w:divsChild>
                            <w:div w:id="14989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70822">
      <w:marLeft w:val="0"/>
      <w:marRight w:val="0"/>
      <w:marTop w:val="0"/>
      <w:marBottom w:val="0"/>
      <w:divBdr>
        <w:top w:val="none" w:sz="0" w:space="0" w:color="auto"/>
        <w:left w:val="none" w:sz="0" w:space="0" w:color="auto"/>
        <w:bottom w:val="none" w:sz="0" w:space="0" w:color="auto"/>
        <w:right w:val="none" w:sz="0" w:space="0" w:color="auto"/>
      </w:divBdr>
      <w:divsChild>
        <w:div w:id="1828670842">
          <w:marLeft w:val="300"/>
          <w:marRight w:val="0"/>
          <w:marTop w:val="600"/>
          <w:marBottom w:val="0"/>
          <w:divBdr>
            <w:top w:val="none" w:sz="0" w:space="0" w:color="auto"/>
            <w:left w:val="none" w:sz="0" w:space="0" w:color="auto"/>
            <w:bottom w:val="none" w:sz="0" w:space="0" w:color="auto"/>
            <w:right w:val="none" w:sz="0" w:space="0" w:color="auto"/>
          </w:divBdr>
          <w:divsChild>
            <w:div w:id="18286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0825">
      <w:marLeft w:val="0"/>
      <w:marRight w:val="0"/>
      <w:marTop w:val="0"/>
      <w:marBottom w:val="0"/>
      <w:divBdr>
        <w:top w:val="none" w:sz="0" w:space="0" w:color="auto"/>
        <w:left w:val="none" w:sz="0" w:space="0" w:color="auto"/>
        <w:bottom w:val="none" w:sz="0" w:space="0" w:color="auto"/>
        <w:right w:val="none" w:sz="0" w:space="0" w:color="auto"/>
      </w:divBdr>
    </w:div>
    <w:div w:id="1828670826">
      <w:marLeft w:val="0"/>
      <w:marRight w:val="0"/>
      <w:marTop w:val="0"/>
      <w:marBottom w:val="0"/>
      <w:divBdr>
        <w:top w:val="none" w:sz="0" w:space="0" w:color="auto"/>
        <w:left w:val="none" w:sz="0" w:space="0" w:color="auto"/>
        <w:bottom w:val="none" w:sz="0" w:space="0" w:color="auto"/>
        <w:right w:val="none" w:sz="0" w:space="0" w:color="auto"/>
      </w:divBdr>
    </w:div>
    <w:div w:id="1828670831">
      <w:marLeft w:val="0"/>
      <w:marRight w:val="0"/>
      <w:marTop w:val="0"/>
      <w:marBottom w:val="0"/>
      <w:divBdr>
        <w:top w:val="none" w:sz="0" w:space="0" w:color="auto"/>
        <w:left w:val="none" w:sz="0" w:space="0" w:color="auto"/>
        <w:bottom w:val="none" w:sz="0" w:space="0" w:color="auto"/>
        <w:right w:val="none" w:sz="0" w:space="0" w:color="auto"/>
      </w:divBdr>
      <w:divsChild>
        <w:div w:id="1828670824">
          <w:marLeft w:val="0"/>
          <w:marRight w:val="0"/>
          <w:marTop w:val="0"/>
          <w:marBottom w:val="0"/>
          <w:divBdr>
            <w:top w:val="none" w:sz="0" w:space="0" w:color="auto"/>
            <w:left w:val="none" w:sz="0" w:space="0" w:color="auto"/>
            <w:bottom w:val="none" w:sz="0" w:space="0" w:color="auto"/>
            <w:right w:val="none" w:sz="0" w:space="0" w:color="auto"/>
          </w:divBdr>
          <w:divsChild>
            <w:div w:id="1828670830">
              <w:marLeft w:val="0"/>
              <w:marRight w:val="0"/>
              <w:marTop w:val="0"/>
              <w:marBottom w:val="0"/>
              <w:divBdr>
                <w:top w:val="none" w:sz="0" w:space="0" w:color="auto"/>
                <w:left w:val="none" w:sz="0" w:space="0" w:color="auto"/>
                <w:bottom w:val="none" w:sz="0" w:space="0" w:color="auto"/>
                <w:right w:val="none" w:sz="0" w:space="0" w:color="auto"/>
              </w:divBdr>
              <w:divsChild>
                <w:div w:id="1828670839">
                  <w:marLeft w:val="0"/>
                  <w:marRight w:val="0"/>
                  <w:marTop w:val="0"/>
                  <w:marBottom w:val="0"/>
                  <w:divBdr>
                    <w:top w:val="none" w:sz="0" w:space="0" w:color="auto"/>
                    <w:left w:val="none" w:sz="0" w:space="0" w:color="auto"/>
                    <w:bottom w:val="none" w:sz="0" w:space="0" w:color="auto"/>
                    <w:right w:val="none" w:sz="0" w:space="0" w:color="auto"/>
                  </w:divBdr>
                  <w:divsChild>
                    <w:div w:id="1828670829">
                      <w:marLeft w:val="0"/>
                      <w:marRight w:val="0"/>
                      <w:marTop w:val="0"/>
                      <w:marBottom w:val="0"/>
                      <w:divBdr>
                        <w:top w:val="none" w:sz="0" w:space="0" w:color="auto"/>
                        <w:left w:val="none" w:sz="0" w:space="0" w:color="auto"/>
                        <w:bottom w:val="none" w:sz="0" w:space="0" w:color="auto"/>
                        <w:right w:val="none" w:sz="0" w:space="0" w:color="auto"/>
                      </w:divBdr>
                      <w:divsChild>
                        <w:div w:id="1828670828">
                          <w:marLeft w:val="0"/>
                          <w:marRight w:val="0"/>
                          <w:marTop w:val="0"/>
                          <w:marBottom w:val="0"/>
                          <w:divBdr>
                            <w:top w:val="none" w:sz="0" w:space="0" w:color="auto"/>
                            <w:left w:val="none" w:sz="0" w:space="0" w:color="auto"/>
                            <w:bottom w:val="none" w:sz="0" w:space="0" w:color="auto"/>
                            <w:right w:val="none" w:sz="0" w:space="0" w:color="auto"/>
                          </w:divBdr>
                          <w:divsChild>
                            <w:div w:id="1828670820">
                              <w:marLeft w:val="-225"/>
                              <w:marRight w:val="-225"/>
                              <w:marTop w:val="0"/>
                              <w:marBottom w:val="0"/>
                              <w:divBdr>
                                <w:top w:val="none" w:sz="0" w:space="0" w:color="auto"/>
                                <w:left w:val="none" w:sz="0" w:space="0" w:color="auto"/>
                                <w:bottom w:val="none" w:sz="0" w:space="0" w:color="auto"/>
                                <w:right w:val="none" w:sz="0" w:space="0" w:color="auto"/>
                              </w:divBdr>
                              <w:divsChild>
                                <w:div w:id="1828670836">
                                  <w:marLeft w:val="0"/>
                                  <w:marRight w:val="0"/>
                                  <w:marTop w:val="0"/>
                                  <w:marBottom w:val="0"/>
                                  <w:divBdr>
                                    <w:top w:val="none" w:sz="0" w:space="0" w:color="auto"/>
                                    <w:left w:val="none" w:sz="0" w:space="0" w:color="auto"/>
                                    <w:bottom w:val="none" w:sz="0" w:space="0" w:color="auto"/>
                                    <w:right w:val="none" w:sz="0" w:space="0" w:color="auto"/>
                                  </w:divBdr>
                                  <w:divsChild>
                                    <w:div w:id="1828670837">
                                      <w:marLeft w:val="0"/>
                                      <w:marRight w:val="0"/>
                                      <w:marTop w:val="0"/>
                                      <w:marBottom w:val="0"/>
                                      <w:divBdr>
                                        <w:top w:val="none" w:sz="0" w:space="0" w:color="auto"/>
                                        <w:left w:val="none" w:sz="0" w:space="0" w:color="auto"/>
                                        <w:bottom w:val="none" w:sz="0" w:space="0" w:color="auto"/>
                                        <w:right w:val="none" w:sz="0" w:space="0" w:color="auto"/>
                                      </w:divBdr>
                                      <w:divsChild>
                                        <w:div w:id="1828670823">
                                          <w:marLeft w:val="0"/>
                                          <w:marRight w:val="0"/>
                                          <w:marTop w:val="0"/>
                                          <w:marBottom w:val="0"/>
                                          <w:divBdr>
                                            <w:top w:val="none" w:sz="0" w:space="0" w:color="auto"/>
                                            <w:left w:val="none" w:sz="0" w:space="0" w:color="auto"/>
                                            <w:bottom w:val="none" w:sz="0" w:space="0" w:color="auto"/>
                                            <w:right w:val="none" w:sz="0" w:space="0" w:color="auto"/>
                                          </w:divBdr>
                                          <w:divsChild>
                                            <w:div w:id="1828670821">
                                              <w:marLeft w:val="0"/>
                                              <w:marRight w:val="0"/>
                                              <w:marTop w:val="0"/>
                                              <w:marBottom w:val="0"/>
                                              <w:divBdr>
                                                <w:top w:val="none" w:sz="0" w:space="0" w:color="auto"/>
                                                <w:left w:val="none" w:sz="0" w:space="0" w:color="auto"/>
                                                <w:bottom w:val="none" w:sz="0" w:space="0" w:color="auto"/>
                                                <w:right w:val="none" w:sz="0" w:space="0" w:color="auto"/>
                                              </w:divBdr>
                                              <w:divsChild>
                                                <w:div w:id="182867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670833">
      <w:marLeft w:val="0"/>
      <w:marRight w:val="0"/>
      <w:marTop w:val="0"/>
      <w:marBottom w:val="0"/>
      <w:divBdr>
        <w:top w:val="none" w:sz="0" w:space="0" w:color="auto"/>
        <w:left w:val="none" w:sz="0" w:space="0" w:color="auto"/>
        <w:bottom w:val="none" w:sz="0" w:space="0" w:color="auto"/>
        <w:right w:val="none" w:sz="0" w:space="0" w:color="auto"/>
      </w:divBdr>
    </w:div>
    <w:div w:id="1828670838">
      <w:marLeft w:val="0"/>
      <w:marRight w:val="0"/>
      <w:marTop w:val="0"/>
      <w:marBottom w:val="0"/>
      <w:divBdr>
        <w:top w:val="none" w:sz="0" w:space="0" w:color="auto"/>
        <w:left w:val="none" w:sz="0" w:space="0" w:color="auto"/>
        <w:bottom w:val="none" w:sz="0" w:space="0" w:color="auto"/>
        <w:right w:val="none" w:sz="0" w:space="0" w:color="auto"/>
      </w:divBdr>
    </w:div>
    <w:div w:id="1828670840">
      <w:marLeft w:val="0"/>
      <w:marRight w:val="0"/>
      <w:marTop w:val="0"/>
      <w:marBottom w:val="0"/>
      <w:divBdr>
        <w:top w:val="none" w:sz="0" w:space="0" w:color="auto"/>
        <w:left w:val="none" w:sz="0" w:space="0" w:color="auto"/>
        <w:bottom w:val="none" w:sz="0" w:space="0" w:color="auto"/>
        <w:right w:val="none" w:sz="0" w:space="0" w:color="auto"/>
      </w:divBdr>
    </w:div>
    <w:div w:id="1828670841">
      <w:marLeft w:val="0"/>
      <w:marRight w:val="0"/>
      <w:marTop w:val="0"/>
      <w:marBottom w:val="0"/>
      <w:divBdr>
        <w:top w:val="none" w:sz="0" w:space="0" w:color="auto"/>
        <w:left w:val="none" w:sz="0" w:space="0" w:color="auto"/>
        <w:bottom w:val="none" w:sz="0" w:space="0" w:color="auto"/>
        <w:right w:val="none" w:sz="0" w:space="0" w:color="auto"/>
      </w:divBdr>
      <w:divsChild>
        <w:div w:id="1828670827">
          <w:marLeft w:val="0"/>
          <w:marRight w:val="0"/>
          <w:marTop w:val="0"/>
          <w:marBottom w:val="0"/>
          <w:divBdr>
            <w:top w:val="none" w:sz="0" w:space="0" w:color="auto"/>
            <w:left w:val="none" w:sz="0" w:space="0" w:color="auto"/>
            <w:bottom w:val="none" w:sz="0" w:space="0" w:color="auto"/>
            <w:right w:val="none" w:sz="0" w:space="0" w:color="auto"/>
          </w:divBdr>
          <w:divsChild>
            <w:div w:id="1828670834">
              <w:marLeft w:val="0"/>
              <w:marRight w:val="0"/>
              <w:marTop w:val="0"/>
              <w:marBottom w:val="0"/>
              <w:divBdr>
                <w:top w:val="none" w:sz="0" w:space="0" w:color="auto"/>
                <w:left w:val="none" w:sz="0" w:space="0" w:color="auto"/>
                <w:bottom w:val="none" w:sz="0" w:space="0" w:color="auto"/>
                <w:right w:val="none" w:sz="0" w:space="0" w:color="auto"/>
              </w:divBdr>
              <w:divsChild>
                <w:div w:id="18286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www.jura.be/secure/documentview.aspx?id=dn300067615&amp;bron=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emorgen.be/opinie/haal-nieuwe-vormen-van-ouderschap-uit-de-onzekerheid-b9efd41f/"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jura.be/secure/documentview.aspx?id=dn300017484&amp;bron=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www.bloomsburycollections.com/book/responsible-parents-and-parental-responsibility/ch1-introduction-parental-responsibility-law-issues-and-the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coc.nl/jouw-belangen/kinderen-hebben-vaker-meer-ouders-regel-da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pleegzorgvlaanderen.be" TargetMode="External"/><Relationship Id="rId10" Type="http://schemas.openxmlformats.org/officeDocument/2006/relationships/footer" Target="footer1.xml"/><Relationship Id="rId19" Type="http://schemas.openxmlformats.org/officeDocument/2006/relationships/hyperlink" Target="http://search.proquest.com/pubidlinkhandler/sng/pubtitle/Canadian+Family+Law+Quarterly/$N/28149/DocView/1712280982/citation/$B/1?accountid=1721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yperlink" Target="http://www.pleegzorgvlaanderen.b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jura.be/secure/documentview.aspx?id=dn300067615&amp;bron=doc" TargetMode="External"/><Relationship Id="rId13" Type="http://schemas.openxmlformats.org/officeDocument/2006/relationships/hyperlink" Target="https://www.bloomsburycollections.com/book/responsible-parents-and-parental-responsibility/ch1-introduction-parental-responsibility-law-issues-and-themes" TargetMode="External"/><Relationship Id="rId3" Type="http://schemas.openxmlformats.org/officeDocument/2006/relationships/hyperlink" Target="http://www.jura.be/secure/documentview.aspx?id=dn300017484&amp;bron=doc" TargetMode="External"/><Relationship Id="rId7" Type="http://schemas.openxmlformats.org/officeDocument/2006/relationships/hyperlink" Target="http://www.jura.be/secure/documentview.aspx?id=dn300067615&amp;bron=doc" TargetMode="External"/><Relationship Id="rId12" Type="http://schemas.openxmlformats.org/officeDocument/2006/relationships/hyperlink" Target="http://search.proquest.com/pubidlinkhandler/sng/pubtitle/Canadian+Family+Law+Quarterly/$N/28149/DocView/1712280982/citation/$B/1?accountid=17215" TargetMode="External"/><Relationship Id="rId2" Type="http://schemas.openxmlformats.org/officeDocument/2006/relationships/hyperlink" Target="http://www.jura.be/secure/documentview.aspx?id=dn300067615&amp;bron=doc" TargetMode="External"/><Relationship Id="rId16" Type="http://schemas.openxmlformats.org/officeDocument/2006/relationships/hyperlink" Target="http://www.knack.be/nieuws/belgie/de-tijd-dat-het-twee-ouderschapsideaal-de-norm-was-is-niet-meer-van-deze-tijd/article-opinion-546377.html" TargetMode="External"/><Relationship Id="rId1" Type="http://schemas.openxmlformats.org/officeDocument/2006/relationships/hyperlink" Target="http://www.knack.be/nieuws/belgie/de-tijd-dat-het-twee-" TargetMode="External"/><Relationship Id="rId6" Type="http://schemas.openxmlformats.org/officeDocument/2006/relationships/hyperlink" Target="http://www.jura.be/secure/documentview.aspx?id=dn300067615&amp;bron=doc" TargetMode="External"/><Relationship Id="rId11" Type="http://schemas.openxmlformats.org/officeDocument/2006/relationships/hyperlink" Target="http://www.knack.be/nieuws/belgie/de-tijd-dat-het-twee-ouderschapsideaal-de-norm-was-is-niet-meer-van-deze-tijd/article-opinion-546377.html" TargetMode="External"/><Relationship Id="rId5" Type="http://schemas.openxmlformats.org/officeDocument/2006/relationships/hyperlink" Target="http://www.jura.be/secure/documentview.aspx?id=dn300067615&amp;bron=doc" TargetMode="External"/><Relationship Id="rId15" Type="http://schemas.openxmlformats.org/officeDocument/2006/relationships/hyperlink" Target="https://www.bloomsburycollections.com/book/responsible-parents-and-parental-responsibility/ch1-introduction-parental-responsibility-law-issues-and-themes" TargetMode="External"/><Relationship Id="rId10" Type="http://schemas.openxmlformats.org/officeDocument/2006/relationships/hyperlink" Target="http://www.knack.be/nieuws/belgie/de-tijd-dat-het-twee-ouderschapsideaal-de-norm-was-is-niet-meer-van-deze-tijd/article-opinion-546377.html" TargetMode="External"/><Relationship Id="rId4" Type="http://schemas.openxmlformats.org/officeDocument/2006/relationships/hyperlink" Target="http://www.jura.be/secure/documentview.aspx?id=dn300067615&amp;bron=doc" TargetMode="External"/><Relationship Id="rId9" Type="http://schemas.openxmlformats.org/officeDocument/2006/relationships/hyperlink" Target="http://www.jura.be/secure/documentview.aspx?id=dn300067615&amp;bron=doc" TargetMode="External"/><Relationship Id="rId14" Type="http://schemas.openxmlformats.org/officeDocument/2006/relationships/hyperlink" Target="https://www.bloomsburycollections.com/book/responsible-parents-and-parental-responsibility/ch1-introduction-parental-responsibility-law-issues-and-the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l\Downloads\Sjabloon%20Rechtsvraag%2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D38F-0BAA-4A74-85E7-AC4B0E7BF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 Rechtsvraag (3)</Template>
  <TotalTime>1</TotalTime>
  <Pages>95</Pages>
  <Words>22755</Words>
  <Characters>128795</Characters>
  <Application>Microsoft Office Word</Application>
  <DocSecurity>0</DocSecurity>
  <Lines>2299</Lines>
  <Paragraphs>856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Sjabloon Rechtsvraag</vt:lpstr>
      <vt:lpstr>Sjabloon Rechtsvraag</vt:lpstr>
    </vt:vector>
  </TitlesOfParts>
  <Company>K.U.Leuven (A.I.V.)</Company>
  <LinksUpToDate>false</LinksUpToDate>
  <CharactersWithSpaces>150694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Rechtsvraag</dc:title>
  <dc:creator>Merel</dc:creator>
  <cp:lastModifiedBy>IrgenDePreter</cp:lastModifiedBy>
  <cp:revision>2</cp:revision>
  <cp:lastPrinted>2016-03-14T08:18:00Z</cp:lastPrinted>
  <dcterms:created xsi:type="dcterms:W3CDTF">2016-09-09T09:05:00Z</dcterms:created>
  <dcterms:modified xsi:type="dcterms:W3CDTF">2016-09-09T09:05:00Z</dcterms:modified>
</cp:coreProperties>
</file>