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466" w:rsidRDefault="001A0466" w:rsidP="001A0466">
      <w:pPr>
        <w:spacing w:line="360" w:lineRule="auto"/>
        <w:ind w:right="480"/>
        <w:jc w:val="center"/>
      </w:pPr>
      <w:r>
        <w:t xml:space="preserve">      </w:t>
      </w:r>
    </w:p>
    <w:p w:rsidR="00FD3FA2" w:rsidRPr="00DF22F4" w:rsidRDefault="001A0466" w:rsidP="001A0466">
      <w:pPr>
        <w:spacing w:line="360" w:lineRule="auto"/>
        <w:ind w:right="480"/>
        <w:jc w:val="center"/>
      </w:pPr>
      <w:r>
        <w:t xml:space="preserve">      </w:t>
      </w:r>
      <w:r w:rsidR="00770CC6">
        <w:tab/>
      </w:r>
      <w:r>
        <w:t xml:space="preserve"> </w:t>
      </w:r>
      <w:r w:rsidR="00FD3FA2" w:rsidRPr="00DF22F4">
        <w:rPr>
          <w:noProof/>
          <w:lang w:val="nl-BE" w:eastAsia="ja-JP"/>
        </w:rPr>
        <w:drawing>
          <wp:inline distT="0" distB="0" distL="0" distR="0">
            <wp:extent cx="1343025" cy="1724025"/>
            <wp:effectExtent l="19050" t="0" r="9525"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43025" cy="1724025"/>
                    </a:xfrm>
                    <a:prstGeom prst="rect">
                      <a:avLst/>
                    </a:prstGeom>
                    <a:noFill/>
                    <a:ln w="9525">
                      <a:noFill/>
                      <a:miter lim="800000"/>
                      <a:headEnd/>
                      <a:tailEnd/>
                    </a:ln>
                  </pic:spPr>
                </pic:pic>
              </a:graphicData>
            </a:graphic>
          </wp:inline>
        </w:drawing>
      </w:r>
    </w:p>
    <w:p w:rsidR="00FD3FA2" w:rsidRDefault="00FD3FA2" w:rsidP="00FD3FA2">
      <w:pPr>
        <w:spacing w:line="360" w:lineRule="auto"/>
      </w:pPr>
    </w:p>
    <w:p w:rsidR="00FD3FA2" w:rsidRDefault="00FD3FA2" w:rsidP="00FD3FA2">
      <w:pPr>
        <w:spacing w:line="360" w:lineRule="auto"/>
      </w:pPr>
    </w:p>
    <w:p w:rsidR="00FD3FA2" w:rsidRDefault="00FD3FA2" w:rsidP="00FD3FA2">
      <w:pPr>
        <w:spacing w:line="360" w:lineRule="auto"/>
      </w:pPr>
    </w:p>
    <w:p w:rsidR="00FD3FA2" w:rsidRDefault="00FD3FA2" w:rsidP="00FD3FA2">
      <w:pPr>
        <w:spacing w:line="360" w:lineRule="auto"/>
      </w:pPr>
    </w:p>
    <w:p w:rsidR="00FD3FA2" w:rsidRPr="00DF22F4" w:rsidRDefault="00FD3FA2" w:rsidP="00FD3FA2">
      <w:pPr>
        <w:spacing w:line="360" w:lineRule="auto"/>
      </w:pPr>
    </w:p>
    <w:tbl>
      <w:tblPr>
        <w:tblStyle w:val="Tabelraster"/>
        <w:tblW w:w="8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03"/>
      </w:tblGrid>
      <w:tr w:rsidR="00FD3FA2" w:rsidRPr="00DF22F4" w:rsidTr="001A0466">
        <w:trPr>
          <w:trHeight w:val="2325"/>
        </w:trPr>
        <w:tc>
          <w:tcPr>
            <w:tcW w:w="8603" w:type="dxa"/>
          </w:tcPr>
          <w:p w:rsidR="00FD3FA2" w:rsidRPr="00DF22F4" w:rsidRDefault="00FD3FA2" w:rsidP="009B10B3">
            <w:pPr>
              <w:spacing w:line="360" w:lineRule="auto"/>
              <w:jc w:val="center"/>
              <w:rPr>
                <w:rFonts w:ascii="Times New Roman" w:hAnsi="Times New Roman" w:cs="Times New Roman"/>
                <w:sz w:val="32"/>
                <w:szCs w:val="32"/>
              </w:rPr>
            </w:pPr>
          </w:p>
          <w:p w:rsidR="00FD3FA2" w:rsidRDefault="00FD3FA2" w:rsidP="001C2E8B">
            <w:pPr>
              <w:spacing w:line="360" w:lineRule="auto"/>
              <w:jc w:val="center"/>
              <w:rPr>
                <w:rFonts w:ascii="Times New Roman" w:hAnsi="Times New Roman" w:cs="Times New Roman"/>
                <w:sz w:val="32"/>
                <w:szCs w:val="32"/>
              </w:rPr>
            </w:pPr>
            <w:r w:rsidRPr="00DF22F4">
              <w:rPr>
                <w:rFonts w:ascii="Times New Roman" w:hAnsi="Times New Roman" w:cs="Times New Roman"/>
                <w:sz w:val="32"/>
                <w:szCs w:val="32"/>
              </w:rPr>
              <w:t>SEMINARIE GEZONDHEIDSRECHT</w:t>
            </w:r>
            <w:r w:rsidR="001C2E8B">
              <w:rPr>
                <w:rFonts w:ascii="Times New Roman" w:hAnsi="Times New Roman" w:cs="Times New Roman"/>
                <w:sz w:val="32"/>
                <w:szCs w:val="32"/>
              </w:rPr>
              <w:t>:</w:t>
            </w:r>
          </w:p>
          <w:p w:rsidR="001C2E8B" w:rsidRPr="00DF22F4" w:rsidRDefault="001C2E8B" w:rsidP="001C2E8B">
            <w:pPr>
              <w:spacing w:line="360" w:lineRule="auto"/>
              <w:jc w:val="center"/>
              <w:rPr>
                <w:rFonts w:ascii="Times New Roman" w:hAnsi="Times New Roman" w:cs="Times New Roman"/>
                <w:sz w:val="32"/>
                <w:szCs w:val="32"/>
              </w:rPr>
            </w:pPr>
          </w:p>
          <w:p w:rsidR="00FD3FA2" w:rsidRPr="00DF22F4" w:rsidRDefault="00FD3FA2" w:rsidP="009B10B3">
            <w:pPr>
              <w:spacing w:line="360" w:lineRule="auto"/>
              <w:jc w:val="center"/>
              <w:rPr>
                <w:rFonts w:ascii="Times New Roman" w:hAnsi="Times New Roman" w:cs="Times New Roman"/>
                <w:sz w:val="24"/>
                <w:szCs w:val="24"/>
              </w:rPr>
            </w:pPr>
            <w:r w:rsidRPr="00DF22F4">
              <w:rPr>
                <w:rFonts w:ascii="Times New Roman" w:hAnsi="Times New Roman" w:cs="Times New Roman"/>
                <w:sz w:val="32"/>
                <w:szCs w:val="32"/>
              </w:rPr>
              <w:t>“</w:t>
            </w:r>
            <w:r>
              <w:rPr>
                <w:rFonts w:ascii="Times New Roman" w:hAnsi="Times New Roman" w:cs="Times New Roman"/>
                <w:sz w:val="32"/>
                <w:szCs w:val="32"/>
              </w:rPr>
              <w:t>EUTHANASIE BIJ MINDERJARIGEN</w:t>
            </w:r>
            <w:r w:rsidRPr="00DF22F4">
              <w:rPr>
                <w:rFonts w:ascii="Times New Roman" w:hAnsi="Times New Roman" w:cs="Times New Roman"/>
                <w:sz w:val="32"/>
                <w:szCs w:val="32"/>
              </w:rPr>
              <w:t>”</w:t>
            </w:r>
          </w:p>
        </w:tc>
      </w:tr>
    </w:tbl>
    <w:p w:rsidR="00FD3FA2" w:rsidRDefault="00FD3FA2" w:rsidP="00FD3FA2">
      <w:pPr>
        <w:spacing w:line="360" w:lineRule="auto"/>
      </w:pPr>
    </w:p>
    <w:p w:rsidR="00FD3FA2" w:rsidRDefault="00FD3FA2" w:rsidP="00FD3FA2">
      <w:pPr>
        <w:spacing w:line="360" w:lineRule="auto"/>
      </w:pPr>
    </w:p>
    <w:p w:rsidR="00FD3FA2" w:rsidRDefault="00FD3FA2" w:rsidP="00FD3FA2">
      <w:pPr>
        <w:spacing w:line="360" w:lineRule="auto"/>
      </w:pPr>
    </w:p>
    <w:p w:rsidR="00FD3FA2" w:rsidRDefault="00FD3FA2" w:rsidP="00FD3FA2">
      <w:pPr>
        <w:spacing w:line="360" w:lineRule="auto"/>
      </w:pPr>
    </w:p>
    <w:p w:rsidR="00FD3FA2" w:rsidRDefault="00FD3FA2" w:rsidP="00FD3FA2">
      <w:pPr>
        <w:spacing w:line="360" w:lineRule="auto"/>
      </w:pPr>
    </w:p>
    <w:p w:rsidR="00FD3FA2" w:rsidRDefault="00FD3FA2" w:rsidP="00FD3FA2">
      <w:pPr>
        <w:spacing w:line="360" w:lineRule="auto"/>
      </w:pPr>
    </w:p>
    <w:p w:rsidR="001C2E8B" w:rsidRDefault="001C2E8B" w:rsidP="00FD3FA2">
      <w:pPr>
        <w:spacing w:line="360" w:lineRule="auto"/>
      </w:pPr>
    </w:p>
    <w:p w:rsidR="00FD3FA2" w:rsidRDefault="00FD3FA2" w:rsidP="00FD3FA2">
      <w:pPr>
        <w:spacing w:line="360" w:lineRule="auto"/>
      </w:pPr>
    </w:p>
    <w:p w:rsidR="0029029E" w:rsidRPr="00F744CE" w:rsidRDefault="0029029E" w:rsidP="0029029E">
      <w:pPr>
        <w:spacing w:line="360" w:lineRule="auto"/>
      </w:pPr>
    </w:p>
    <w:p w:rsidR="00F744CE" w:rsidRPr="0029029E" w:rsidRDefault="00FD3FA2" w:rsidP="00FD3FA2">
      <w:pPr>
        <w:spacing w:line="360" w:lineRule="auto"/>
        <w:jc w:val="center"/>
      </w:pPr>
      <w:r w:rsidRPr="0029029E">
        <w:t>KESLEY VERACHTERT</w:t>
      </w:r>
      <w:r w:rsidRPr="0029029E">
        <w:br/>
        <w:t>ACADEMIEJAAR 2010-2011</w:t>
      </w:r>
      <w:r w:rsidRPr="0029029E">
        <w:br/>
        <w:t xml:space="preserve">3e </w:t>
      </w:r>
      <w:r w:rsidR="0029029E" w:rsidRPr="0029029E">
        <w:t xml:space="preserve">FASE </w:t>
      </w:r>
      <w:r w:rsidRPr="0029029E">
        <w:t>BACHELOR RECHTEN</w:t>
      </w:r>
      <w:r w:rsidRPr="0029029E">
        <w:br/>
        <w:t>O.L.V. TOM GOFFIN</w:t>
      </w:r>
      <w:r w:rsidRPr="0029029E">
        <w:br/>
      </w: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F744CE" w:rsidRDefault="00F744CE" w:rsidP="00FD3FA2">
      <w:pPr>
        <w:spacing w:line="360" w:lineRule="auto"/>
        <w:jc w:val="center"/>
      </w:pPr>
    </w:p>
    <w:p w:rsidR="0029029E" w:rsidRDefault="0029029E" w:rsidP="00FD3FA2">
      <w:pPr>
        <w:spacing w:line="360" w:lineRule="auto"/>
        <w:jc w:val="center"/>
      </w:pPr>
    </w:p>
    <w:p w:rsidR="0029029E" w:rsidRDefault="0029029E" w:rsidP="00FD3FA2">
      <w:pPr>
        <w:spacing w:line="360" w:lineRule="auto"/>
        <w:jc w:val="center"/>
      </w:pPr>
    </w:p>
    <w:p w:rsidR="0029029E" w:rsidRDefault="0029029E" w:rsidP="00FD3FA2">
      <w:pPr>
        <w:spacing w:line="360" w:lineRule="auto"/>
        <w:jc w:val="center"/>
      </w:pPr>
    </w:p>
    <w:p w:rsidR="00F744CE" w:rsidRPr="005E584E" w:rsidRDefault="00F744CE" w:rsidP="00FD3FA2">
      <w:pPr>
        <w:spacing w:line="360" w:lineRule="auto"/>
        <w:jc w:val="center"/>
      </w:pPr>
    </w:p>
    <w:p w:rsidR="00FD3FA2" w:rsidRPr="00B1040F" w:rsidRDefault="00FD3FA2" w:rsidP="00FD3FA2">
      <w:pPr>
        <w:pBdr>
          <w:top w:val="single" w:sz="4" w:space="1" w:color="auto"/>
          <w:left w:val="single" w:sz="4" w:space="4" w:color="auto"/>
          <w:bottom w:val="single" w:sz="4" w:space="1" w:color="auto"/>
          <w:right w:val="single" w:sz="4" w:space="4" w:color="auto"/>
        </w:pBdr>
        <w:jc w:val="center"/>
        <w:rPr>
          <w:lang w:val="nl-BE"/>
        </w:rPr>
      </w:pPr>
      <w:r w:rsidRPr="00B1040F">
        <w:rPr>
          <w:lang w:val="nl-BE"/>
        </w:rPr>
        <w:lastRenderedPageBreak/>
        <w:t>INHOUDSTAFEL</w:t>
      </w:r>
      <w:r w:rsidR="005751B1">
        <w:rPr>
          <w:lang w:val="nl-BE"/>
        </w:rPr>
        <w:t xml:space="preserve"> </w:t>
      </w:r>
    </w:p>
    <w:p w:rsidR="003B5A27" w:rsidRDefault="003B5A27" w:rsidP="00FD3FA2">
      <w:pPr>
        <w:rPr>
          <w:lang w:val="nl-BE"/>
        </w:rPr>
      </w:pPr>
    </w:p>
    <w:p w:rsidR="003B5A27" w:rsidRDefault="003B5A27" w:rsidP="00FD3FA2">
      <w:pPr>
        <w:rPr>
          <w:lang w:val="nl-BE"/>
        </w:rPr>
      </w:pPr>
    </w:p>
    <w:p w:rsidR="003B5A27" w:rsidRDefault="006B61E0" w:rsidP="006B61E0">
      <w:pPr>
        <w:tabs>
          <w:tab w:val="left" w:pos="7500"/>
        </w:tabs>
        <w:rPr>
          <w:lang w:val="nl-BE"/>
        </w:rPr>
      </w:pPr>
      <w:r>
        <w:rPr>
          <w:lang w:val="nl-BE"/>
        </w:rPr>
        <w:tab/>
      </w:r>
    </w:p>
    <w:sdt>
      <w:sdtPr>
        <w:rPr>
          <w:lang w:val="nl-NL" w:eastAsia="nl-NL"/>
        </w:rPr>
        <w:id w:val="13617993"/>
        <w:docPartObj>
          <w:docPartGallery w:val="Table of Contents"/>
          <w:docPartUnique/>
        </w:docPartObj>
      </w:sdtPr>
      <w:sdtContent>
        <w:p w:rsidR="004D710F" w:rsidRDefault="004D710F">
          <w:pPr>
            <w:pStyle w:val="Kopvaninhoudsopgave"/>
          </w:pPr>
          <w:r>
            <w:t>INLEIDING</w:t>
          </w:r>
          <w:r w:rsidR="000F5A74">
            <w:t>………………………………………………</w:t>
          </w:r>
          <w:r w:rsidR="00565FA0">
            <w:rPr>
              <w:webHidden/>
            </w:rPr>
            <w:t>……………………</w:t>
          </w:r>
          <w:r w:rsidR="000F5A74">
            <w:t>……</w:t>
          </w:r>
          <w:r w:rsidR="00565FA0">
            <w:t xml:space="preserve">.. </w:t>
          </w:r>
          <w:r w:rsidR="001B3805">
            <w:rPr>
              <w:noProof/>
              <w:lang w:val="nl-NL" w:eastAsia="nl-NL"/>
            </w:rPr>
            <w:t>2</w:t>
          </w:r>
        </w:p>
        <w:p w:rsidR="004D710F" w:rsidRDefault="004D710F">
          <w:pPr>
            <w:pStyle w:val="Inhopg1"/>
            <w:tabs>
              <w:tab w:val="right" w:leader="dot" w:pos="8302"/>
            </w:tabs>
          </w:pPr>
        </w:p>
        <w:p w:rsidR="000F39CC" w:rsidRDefault="00FF545A" w:rsidP="00FF545A">
          <w:pPr>
            <w:pStyle w:val="Inhopg1"/>
            <w:tabs>
              <w:tab w:val="right" w:leader="dot" w:pos="8302"/>
            </w:tabs>
            <w:rPr>
              <w:rFonts w:asciiTheme="minorHAnsi" w:hAnsiTheme="minorHAnsi" w:cstheme="minorBidi"/>
              <w:noProof/>
              <w:sz w:val="22"/>
              <w:szCs w:val="22"/>
              <w:lang w:val="nl-BE" w:eastAsia="ja-JP"/>
            </w:rPr>
          </w:pPr>
          <w:r>
            <w:t xml:space="preserve">1. </w:t>
          </w:r>
          <w:r w:rsidR="00DE107A">
            <w:fldChar w:fldCharType="begin"/>
          </w:r>
          <w:r w:rsidR="004D710F">
            <w:instrText xml:space="preserve"> TOC \o "1-3" \h \z \u </w:instrText>
          </w:r>
          <w:r w:rsidR="00DE107A">
            <w:fldChar w:fldCharType="separate"/>
          </w:r>
          <w:hyperlink w:anchor="_Toc287994223" w:history="1">
            <w:r w:rsidR="000F39CC" w:rsidRPr="00D86472">
              <w:rPr>
                <w:rStyle w:val="Hyperlink"/>
                <w:noProof/>
              </w:rPr>
              <w:t>HUIDIGE REGELING EUTHANASIE</w:t>
            </w:r>
            <w:r w:rsidR="000F39CC">
              <w:rPr>
                <w:noProof/>
                <w:webHidden/>
              </w:rPr>
              <w:tab/>
            </w:r>
            <w:r w:rsidR="00DE107A">
              <w:rPr>
                <w:noProof/>
                <w:webHidden/>
              </w:rPr>
              <w:fldChar w:fldCharType="begin"/>
            </w:r>
            <w:r w:rsidR="000F39CC">
              <w:rPr>
                <w:noProof/>
                <w:webHidden/>
              </w:rPr>
              <w:instrText xml:space="preserve"> PAGEREF _Toc287994223 \h </w:instrText>
            </w:r>
            <w:r w:rsidR="00DE107A">
              <w:rPr>
                <w:noProof/>
                <w:webHidden/>
              </w:rPr>
            </w:r>
            <w:r w:rsidR="00DE107A">
              <w:rPr>
                <w:noProof/>
                <w:webHidden/>
              </w:rPr>
              <w:fldChar w:fldCharType="separate"/>
            </w:r>
            <w:r w:rsidR="00904396">
              <w:rPr>
                <w:noProof/>
                <w:webHidden/>
              </w:rPr>
              <w:t>3</w:t>
            </w:r>
            <w:r w:rsidR="00DE107A">
              <w:rPr>
                <w:noProof/>
                <w:webHidden/>
              </w:rPr>
              <w:fldChar w:fldCharType="end"/>
            </w:r>
          </w:hyperlink>
        </w:p>
        <w:p w:rsidR="000F39CC" w:rsidRDefault="00DE107A">
          <w:pPr>
            <w:pStyle w:val="Inhopg2"/>
            <w:tabs>
              <w:tab w:val="right" w:leader="dot" w:pos="8302"/>
            </w:tabs>
            <w:rPr>
              <w:rFonts w:asciiTheme="minorHAnsi" w:hAnsiTheme="minorHAnsi" w:cstheme="minorBidi"/>
              <w:noProof/>
              <w:sz w:val="22"/>
              <w:szCs w:val="22"/>
              <w:lang w:val="nl-BE" w:eastAsia="ja-JP"/>
            </w:rPr>
          </w:pPr>
          <w:hyperlink w:anchor="_Toc287994224" w:history="1">
            <w:r w:rsidR="000F39CC" w:rsidRPr="00D86472">
              <w:rPr>
                <w:rStyle w:val="Hyperlink"/>
                <w:noProof/>
              </w:rPr>
              <w:t>1.1 Situatie voor de wet van 28 mei 2002</w:t>
            </w:r>
            <w:r w:rsidR="000F39CC">
              <w:rPr>
                <w:noProof/>
                <w:webHidden/>
              </w:rPr>
              <w:tab/>
            </w:r>
            <w:r>
              <w:rPr>
                <w:noProof/>
                <w:webHidden/>
              </w:rPr>
              <w:fldChar w:fldCharType="begin"/>
            </w:r>
            <w:r w:rsidR="000F39CC">
              <w:rPr>
                <w:noProof/>
                <w:webHidden/>
              </w:rPr>
              <w:instrText xml:space="preserve"> PAGEREF _Toc287994224 \h </w:instrText>
            </w:r>
            <w:r>
              <w:rPr>
                <w:noProof/>
                <w:webHidden/>
              </w:rPr>
            </w:r>
            <w:r>
              <w:rPr>
                <w:noProof/>
                <w:webHidden/>
              </w:rPr>
              <w:fldChar w:fldCharType="separate"/>
            </w:r>
            <w:r w:rsidR="00904396">
              <w:rPr>
                <w:noProof/>
                <w:webHidden/>
              </w:rPr>
              <w:t>3</w:t>
            </w:r>
            <w:r>
              <w:rPr>
                <w:noProof/>
                <w:webHidden/>
              </w:rPr>
              <w:fldChar w:fldCharType="end"/>
            </w:r>
          </w:hyperlink>
        </w:p>
        <w:p w:rsidR="000F39CC" w:rsidRDefault="00DE107A">
          <w:pPr>
            <w:pStyle w:val="Inhopg2"/>
            <w:tabs>
              <w:tab w:val="right" w:leader="dot" w:pos="8302"/>
            </w:tabs>
            <w:rPr>
              <w:rFonts w:asciiTheme="minorHAnsi" w:hAnsiTheme="minorHAnsi" w:cstheme="minorBidi"/>
              <w:noProof/>
              <w:sz w:val="22"/>
              <w:szCs w:val="22"/>
              <w:lang w:val="nl-BE" w:eastAsia="ja-JP"/>
            </w:rPr>
          </w:pPr>
          <w:hyperlink w:anchor="_Toc287994225" w:history="1">
            <w:r w:rsidR="004F4303">
              <w:rPr>
                <w:rStyle w:val="Hyperlink"/>
                <w:noProof/>
              </w:rPr>
              <w:t>1.2 De totstandkoming van de e</w:t>
            </w:r>
            <w:r w:rsidR="000F39CC" w:rsidRPr="00D86472">
              <w:rPr>
                <w:rStyle w:val="Hyperlink"/>
                <w:noProof/>
              </w:rPr>
              <w:t>uthanasiewet</w:t>
            </w:r>
            <w:r w:rsidR="000F39CC">
              <w:rPr>
                <w:noProof/>
                <w:webHidden/>
              </w:rPr>
              <w:tab/>
            </w:r>
            <w:r>
              <w:rPr>
                <w:noProof/>
                <w:webHidden/>
              </w:rPr>
              <w:fldChar w:fldCharType="begin"/>
            </w:r>
            <w:r w:rsidR="000F39CC">
              <w:rPr>
                <w:noProof/>
                <w:webHidden/>
              </w:rPr>
              <w:instrText xml:space="preserve"> PAGEREF _Toc287994225 \h </w:instrText>
            </w:r>
            <w:r>
              <w:rPr>
                <w:noProof/>
                <w:webHidden/>
              </w:rPr>
            </w:r>
            <w:r>
              <w:rPr>
                <w:noProof/>
                <w:webHidden/>
              </w:rPr>
              <w:fldChar w:fldCharType="separate"/>
            </w:r>
            <w:r w:rsidR="00904396">
              <w:rPr>
                <w:noProof/>
                <w:webHidden/>
              </w:rPr>
              <w:t>3</w:t>
            </w:r>
            <w:r>
              <w:rPr>
                <w:noProof/>
                <w:webHidden/>
              </w:rPr>
              <w:fldChar w:fldCharType="end"/>
            </w:r>
          </w:hyperlink>
        </w:p>
        <w:p w:rsidR="000F39CC" w:rsidRDefault="00DE107A">
          <w:pPr>
            <w:pStyle w:val="Inhopg2"/>
            <w:tabs>
              <w:tab w:val="right" w:leader="dot" w:pos="8302"/>
            </w:tabs>
            <w:rPr>
              <w:rFonts w:asciiTheme="minorHAnsi" w:hAnsiTheme="minorHAnsi" w:cstheme="minorBidi"/>
              <w:noProof/>
              <w:sz w:val="22"/>
              <w:szCs w:val="22"/>
              <w:lang w:val="nl-BE" w:eastAsia="ja-JP"/>
            </w:rPr>
          </w:pPr>
          <w:hyperlink w:anchor="_Toc287994226" w:history="1">
            <w:r w:rsidR="000F39CC" w:rsidRPr="00D86472">
              <w:rPr>
                <w:rStyle w:val="Hyperlink"/>
                <w:noProof/>
              </w:rPr>
              <w:t>1.3 Euthanasie?</w:t>
            </w:r>
            <w:r w:rsidR="000F39CC">
              <w:rPr>
                <w:noProof/>
                <w:webHidden/>
              </w:rPr>
              <w:tab/>
            </w:r>
            <w:r>
              <w:rPr>
                <w:noProof/>
                <w:webHidden/>
              </w:rPr>
              <w:fldChar w:fldCharType="begin"/>
            </w:r>
            <w:r w:rsidR="000F39CC">
              <w:rPr>
                <w:noProof/>
                <w:webHidden/>
              </w:rPr>
              <w:instrText xml:space="preserve"> PAGEREF _Toc287994226 \h </w:instrText>
            </w:r>
            <w:r>
              <w:rPr>
                <w:noProof/>
                <w:webHidden/>
              </w:rPr>
            </w:r>
            <w:r>
              <w:rPr>
                <w:noProof/>
                <w:webHidden/>
              </w:rPr>
              <w:fldChar w:fldCharType="separate"/>
            </w:r>
            <w:r w:rsidR="00904396">
              <w:rPr>
                <w:noProof/>
                <w:webHidden/>
              </w:rPr>
              <w:t>4</w:t>
            </w:r>
            <w:r>
              <w:rPr>
                <w:noProof/>
                <w:webHidden/>
              </w:rPr>
              <w:fldChar w:fldCharType="end"/>
            </w:r>
          </w:hyperlink>
        </w:p>
        <w:p w:rsidR="000F39CC" w:rsidRDefault="00FF545A">
          <w:pPr>
            <w:pStyle w:val="Inhopg1"/>
            <w:tabs>
              <w:tab w:val="right" w:leader="dot" w:pos="8302"/>
            </w:tabs>
            <w:rPr>
              <w:rFonts w:asciiTheme="minorHAnsi" w:hAnsiTheme="minorHAnsi" w:cstheme="minorBidi"/>
              <w:noProof/>
              <w:sz w:val="22"/>
              <w:szCs w:val="22"/>
              <w:lang w:val="nl-BE" w:eastAsia="ja-JP"/>
            </w:rPr>
          </w:pPr>
          <w:r>
            <w:t xml:space="preserve">2. </w:t>
          </w:r>
          <w:hyperlink w:anchor="_Toc287994227" w:history="1">
            <w:r w:rsidR="000F39CC" w:rsidRPr="00D86472">
              <w:rPr>
                <w:rStyle w:val="Hyperlink"/>
                <w:noProof/>
              </w:rPr>
              <w:t>EUTHANASIE BIJ MINDERJARIGEN</w:t>
            </w:r>
            <w:r w:rsidR="000F39CC">
              <w:rPr>
                <w:noProof/>
                <w:webHidden/>
              </w:rPr>
              <w:tab/>
            </w:r>
            <w:r w:rsidR="00DE107A">
              <w:rPr>
                <w:noProof/>
                <w:webHidden/>
              </w:rPr>
              <w:fldChar w:fldCharType="begin"/>
            </w:r>
            <w:r w:rsidR="000F39CC">
              <w:rPr>
                <w:noProof/>
                <w:webHidden/>
              </w:rPr>
              <w:instrText xml:space="preserve"> PAGEREF _Toc287994227 \h </w:instrText>
            </w:r>
            <w:r w:rsidR="00DE107A">
              <w:rPr>
                <w:noProof/>
                <w:webHidden/>
              </w:rPr>
            </w:r>
            <w:r w:rsidR="00DE107A">
              <w:rPr>
                <w:noProof/>
                <w:webHidden/>
              </w:rPr>
              <w:fldChar w:fldCharType="separate"/>
            </w:r>
            <w:r w:rsidR="00904396">
              <w:rPr>
                <w:noProof/>
                <w:webHidden/>
              </w:rPr>
              <w:t>5</w:t>
            </w:r>
            <w:r w:rsidR="00DE107A">
              <w:rPr>
                <w:noProof/>
                <w:webHidden/>
              </w:rPr>
              <w:fldChar w:fldCharType="end"/>
            </w:r>
          </w:hyperlink>
        </w:p>
        <w:p w:rsidR="000F39CC" w:rsidRDefault="00DE107A">
          <w:pPr>
            <w:pStyle w:val="Inhopg2"/>
            <w:tabs>
              <w:tab w:val="right" w:leader="dot" w:pos="8302"/>
            </w:tabs>
            <w:rPr>
              <w:rFonts w:asciiTheme="minorHAnsi" w:hAnsiTheme="minorHAnsi" w:cstheme="minorBidi"/>
              <w:noProof/>
              <w:sz w:val="22"/>
              <w:szCs w:val="22"/>
              <w:lang w:val="nl-BE" w:eastAsia="ja-JP"/>
            </w:rPr>
          </w:pPr>
          <w:hyperlink w:anchor="_Toc287994228" w:history="1">
            <w:r w:rsidR="000F39CC" w:rsidRPr="00D86472">
              <w:rPr>
                <w:rStyle w:val="Hyperlink"/>
                <w:noProof/>
              </w:rPr>
              <w:t>2.1 Afwezigheid wettelijke regeling</w:t>
            </w:r>
            <w:r w:rsidR="000F39CC">
              <w:rPr>
                <w:noProof/>
                <w:webHidden/>
              </w:rPr>
              <w:tab/>
            </w:r>
            <w:r>
              <w:rPr>
                <w:noProof/>
                <w:webHidden/>
              </w:rPr>
              <w:fldChar w:fldCharType="begin"/>
            </w:r>
            <w:r w:rsidR="000F39CC">
              <w:rPr>
                <w:noProof/>
                <w:webHidden/>
              </w:rPr>
              <w:instrText xml:space="preserve"> PAGEREF _Toc287994228 \h </w:instrText>
            </w:r>
            <w:r>
              <w:rPr>
                <w:noProof/>
                <w:webHidden/>
              </w:rPr>
            </w:r>
            <w:r>
              <w:rPr>
                <w:noProof/>
                <w:webHidden/>
              </w:rPr>
              <w:fldChar w:fldCharType="separate"/>
            </w:r>
            <w:r w:rsidR="00904396">
              <w:rPr>
                <w:noProof/>
                <w:webHidden/>
              </w:rPr>
              <w:t>5</w:t>
            </w:r>
            <w:r>
              <w:rPr>
                <w:noProof/>
                <w:webHidden/>
              </w:rPr>
              <w:fldChar w:fldCharType="end"/>
            </w:r>
          </w:hyperlink>
        </w:p>
        <w:p w:rsidR="000F39CC" w:rsidRDefault="00DE107A">
          <w:pPr>
            <w:pStyle w:val="Inhopg3"/>
            <w:tabs>
              <w:tab w:val="right" w:leader="dot" w:pos="8302"/>
            </w:tabs>
            <w:rPr>
              <w:rFonts w:asciiTheme="minorHAnsi" w:hAnsiTheme="minorHAnsi" w:cstheme="minorBidi"/>
              <w:noProof/>
              <w:sz w:val="22"/>
              <w:szCs w:val="22"/>
              <w:lang w:val="nl-BE" w:eastAsia="ja-JP"/>
            </w:rPr>
          </w:pPr>
          <w:hyperlink w:anchor="_Toc287994229" w:history="1">
            <w:r w:rsidR="000F39CC" w:rsidRPr="00D86472">
              <w:rPr>
                <w:rStyle w:val="Hyperlink"/>
                <w:noProof/>
              </w:rPr>
              <w:t>2.1.1 Oorzaak</w:t>
            </w:r>
            <w:r w:rsidR="000F39CC">
              <w:rPr>
                <w:noProof/>
                <w:webHidden/>
              </w:rPr>
              <w:tab/>
            </w:r>
            <w:r>
              <w:rPr>
                <w:noProof/>
                <w:webHidden/>
              </w:rPr>
              <w:fldChar w:fldCharType="begin"/>
            </w:r>
            <w:r w:rsidR="000F39CC">
              <w:rPr>
                <w:noProof/>
                <w:webHidden/>
              </w:rPr>
              <w:instrText xml:space="preserve"> PAGEREF _Toc287994229 \h </w:instrText>
            </w:r>
            <w:r>
              <w:rPr>
                <w:noProof/>
                <w:webHidden/>
              </w:rPr>
            </w:r>
            <w:r>
              <w:rPr>
                <w:noProof/>
                <w:webHidden/>
              </w:rPr>
              <w:fldChar w:fldCharType="separate"/>
            </w:r>
            <w:r w:rsidR="00904396">
              <w:rPr>
                <w:noProof/>
                <w:webHidden/>
              </w:rPr>
              <w:t>5</w:t>
            </w:r>
            <w:r>
              <w:rPr>
                <w:noProof/>
                <w:webHidden/>
              </w:rPr>
              <w:fldChar w:fldCharType="end"/>
            </w:r>
          </w:hyperlink>
        </w:p>
        <w:p w:rsidR="000F39CC" w:rsidRDefault="00DE107A">
          <w:pPr>
            <w:pStyle w:val="Inhopg3"/>
            <w:tabs>
              <w:tab w:val="right" w:leader="dot" w:pos="8302"/>
            </w:tabs>
            <w:rPr>
              <w:rFonts w:asciiTheme="minorHAnsi" w:hAnsiTheme="minorHAnsi" w:cstheme="minorBidi"/>
              <w:noProof/>
              <w:sz w:val="22"/>
              <w:szCs w:val="22"/>
              <w:lang w:val="nl-BE" w:eastAsia="ja-JP"/>
            </w:rPr>
          </w:pPr>
          <w:hyperlink w:anchor="_Toc287994230" w:history="1">
            <w:r w:rsidR="000F39CC" w:rsidRPr="00D86472">
              <w:rPr>
                <w:rStyle w:val="Hyperlink"/>
                <w:noProof/>
              </w:rPr>
              <w:t>2.1.2</w:t>
            </w:r>
            <w:r w:rsidR="004F4303" w:rsidRPr="004F4303">
              <w:t xml:space="preserve"> </w:t>
            </w:r>
            <w:r w:rsidR="004F4303" w:rsidRPr="006E7662">
              <w:t xml:space="preserve">Voorstel </w:t>
            </w:r>
            <w:r w:rsidR="004F4303">
              <w:t>Raadgevend Comité voor Bio-ethiek</w:t>
            </w:r>
            <w:r w:rsidR="000F39CC">
              <w:rPr>
                <w:noProof/>
                <w:webHidden/>
              </w:rPr>
              <w:tab/>
            </w:r>
            <w:r>
              <w:rPr>
                <w:noProof/>
                <w:webHidden/>
              </w:rPr>
              <w:fldChar w:fldCharType="begin"/>
            </w:r>
            <w:r w:rsidR="000F39CC">
              <w:rPr>
                <w:noProof/>
                <w:webHidden/>
              </w:rPr>
              <w:instrText xml:space="preserve"> PAGEREF _Toc287994230 \h </w:instrText>
            </w:r>
            <w:r>
              <w:rPr>
                <w:noProof/>
                <w:webHidden/>
              </w:rPr>
            </w:r>
            <w:r>
              <w:rPr>
                <w:noProof/>
                <w:webHidden/>
              </w:rPr>
              <w:fldChar w:fldCharType="separate"/>
            </w:r>
            <w:r w:rsidR="00904396">
              <w:rPr>
                <w:noProof/>
                <w:webHidden/>
              </w:rPr>
              <w:t>6</w:t>
            </w:r>
            <w:r>
              <w:rPr>
                <w:noProof/>
                <w:webHidden/>
              </w:rPr>
              <w:fldChar w:fldCharType="end"/>
            </w:r>
          </w:hyperlink>
        </w:p>
        <w:p w:rsidR="000F39CC" w:rsidRDefault="00DE107A">
          <w:pPr>
            <w:pStyle w:val="Inhopg3"/>
            <w:tabs>
              <w:tab w:val="right" w:leader="dot" w:pos="8302"/>
            </w:tabs>
            <w:rPr>
              <w:rFonts w:asciiTheme="minorHAnsi" w:hAnsiTheme="minorHAnsi" w:cstheme="minorBidi"/>
              <w:noProof/>
              <w:sz w:val="22"/>
              <w:szCs w:val="22"/>
              <w:lang w:val="nl-BE" w:eastAsia="ja-JP"/>
            </w:rPr>
          </w:pPr>
          <w:hyperlink w:anchor="_Toc287994231" w:history="1">
            <w:r w:rsidR="000F39CC" w:rsidRPr="00D86472">
              <w:rPr>
                <w:rStyle w:val="Hyperlink"/>
                <w:noProof/>
              </w:rPr>
              <w:t xml:space="preserve">2.1.3 Voorstel </w:t>
            </w:r>
            <w:r w:rsidR="0029029E">
              <w:rPr>
                <w:rStyle w:val="Hyperlink"/>
                <w:noProof/>
              </w:rPr>
              <w:t xml:space="preserve">Nationale </w:t>
            </w:r>
            <w:r w:rsidR="000F39CC" w:rsidRPr="00D86472">
              <w:rPr>
                <w:rStyle w:val="Hyperlink"/>
                <w:noProof/>
              </w:rPr>
              <w:t xml:space="preserve">Raad van </w:t>
            </w:r>
            <w:r w:rsidR="0029029E">
              <w:rPr>
                <w:rStyle w:val="Hyperlink"/>
                <w:noProof/>
              </w:rPr>
              <w:t>de Orde van g</w:t>
            </w:r>
            <w:r w:rsidR="000F39CC" w:rsidRPr="00D86472">
              <w:rPr>
                <w:rStyle w:val="Hyperlink"/>
                <w:noProof/>
              </w:rPr>
              <w:t>eneesheren</w:t>
            </w:r>
            <w:r w:rsidR="000F39CC">
              <w:rPr>
                <w:noProof/>
                <w:webHidden/>
              </w:rPr>
              <w:tab/>
            </w:r>
            <w:r>
              <w:rPr>
                <w:noProof/>
                <w:webHidden/>
              </w:rPr>
              <w:fldChar w:fldCharType="begin"/>
            </w:r>
            <w:r w:rsidR="000F39CC">
              <w:rPr>
                <w:noProof/>
                <w:webHidden/>
              </w:rPr>
              <w:instrText xml:space="preserve"> PAGEREF _Toc287994231 \h </w:instrText>
            </w:r>
            <w:r>
              <w:rPr>
                <w:noProof/>
                <w:webHidden/>
              </w:rPr>
            </w:r>
            <w:r>
              <w:rPr>
                <w:noProof/>
                <w:webHidden/>
              </w:rPr>
              <w:fldChar w:fldCharType="separate"/>
            </w:r>
            <w:r w:rsidR="00904396">
              <w:rPr>
                <w:noProof/>
                <w:webHidden/>
              </w:rPr>
              <w:t>7</w:t>
            </w:r>
            <w:r>
              <w:rPr>
                <w:noProof/>
                <w:webHidden/>
              </w:rPr>
              <w:fldChar w:fldCharType="end"/>
            </w:r>
          </w:hyperlink>
        </w:p>
        <w:p w:rsidR="000F39CC" w:rsidRDefault="00DE107A">
          <w:pPr>
            <w:pStyle w:val="Inhopg2"/>
            <w:tabs>
              <w:tab w:val="right" w:leader="dot" w:pos="8302"/>
            </w:tabs>
            <w:rPr>
              <w:rFonts w:asciiTheme="minorHAnsi" w:hAnsiTheme="minorHAnsi" w:cstheme="minorBidi"/>
              <w:noProof/>
              <w:sz w:val="22"/>
              <w:szCs w:val="22"/>
              <w:lang w:val="nl-BE" w:eastAsia="ja-JP"/>
            </w:rPr>
          </w:pPr>
          <w:hyperlink w:anchor="_Toc287994232" w:history="1">
            <w:r w:rsidR="000F39CC" w:rsidRPr="00D86472">
              <w:rPr>
                <w:rStyle w:val="Hyperlink"/>
                <w:noProof/>
              </w:rPr>
              <w:t>2.2 De uitzondering: ontvoogde minderjarigen</w:t>
            </w:r>
            <w:r w:rsidR="000F39CC">
              <w:rPr>
                <w:noProof/>
                <w:webHidden/>
              </w:rPr>
              <w:tab/>
            </w:r>
            <w:r>
              <w:rPr>
                <w:noProof/>
                <w:webHidden/>
              </w:rPr>
              <w:fldChar w:fldCharType="begin"/>
            </w:r>
            <w:r w:rsidR="000F39CC">
              <w:rPr>
                <w:noProof/>
                <w:webHidden/>
              </w:rPr>
              <w:instrText xml:space="preserve"> PAGEREF _Toc287994232 \h </w:instrText>
            </w:r>
            <w:r>
              <w:rPr>
                <w:noProof/>
                <w:webHidden/>
              </w:rPr>
            </w:r>
            <w:r>
              <w:rPr>
                <w:noProof/>
                <w:webHidden/>
              </w:rPr>
              <w:fldChar w:fldCharType="separate"/>
            </w:r>
            <w:r w:rsidR="00904396">
              <w:rPr>
                <w:noProof/>
                <w:webHidden/>
              </w:rPr>
              <w:t>9</w:t>
            </w:r>
            <w:r>
              <w:rPr>
                <w:noProof/>
                <w:webHidden/>
              </w:rPr>
              <w:fldChar w:fldCharType="end"/>
            </w:r>
          </w:hyperlink>
        </w:p>
        <w:p w:rsidR="000F39CC" w:rsidRDefault="00DE107A">
          <w:pPr>
            <w:pStyle w:val="Inhopg3"/>
            <w:tabs>
              <w:tab w:val="right" w:leader="dot" w:pos="8302"/>
            </w:tabs>
            <w:rPr>
              <w:rFonts w:asciiTheme="minorHAnsi" w:hAnsiTheme="minorHAnsi" w:cstheme="minorBidi"/>
              <w:noProof/>
              <w:sz w:val="22"/>
              <w:szCs w:val="22"/>
              <w:lang w:val="nl-BE" w:eastAsia="ja-JP"/>
            </w:rPr>
          </w:pPr>
          <w:hyperlink w:anchor="_Toc287994233" w:history="1">
            <w:r w:rsidR="000F39CC" w:rsidRPr="00D86472">
              <w:rPr>
                <w:rStyle w:val="Hyperlink"/>
                <w:noProof/>
              </w:rPr>
              <w:t>2.2.1 Wat is ontvoogding?</w:t>
            </w:r>
            <w:r w:rsidR="000F39CC">
              <w:rPr>
                <w:noProof/>
                <w:webHidden/>
              </w:rPr>
              <w:tab/>
            </w:r>
            <w:r>
              <w:rPr>
                <w:noProof/>
                <w:webHidden/>
              </w:rPr>
              <w:fldChar w:fldCharType="begin"/>
            </w:r>
            <w:r w:rsidR="000F39CC">
              <w:rPr>
                <w:noProof/>
                <w:webHidden/>
              </w:rPr>
              <w:instrText xml:space="preserve"> PAGEREF _Toc287994233 \h </w:instrText>
            </w:r>
            <w:r>
              <w:rPr>
                <w:noProof/>
                <w:webHidden/>
              </w:rPr>
            </w:r>
            <w:r>
              <w:rPr>
                <w:noProof/>
                <w:webHidden/>
              </w:rPr>
              <w:fldChar w:fldCharType="separate"/>
            </w:r>
            <w:r w:rsidR="00904396">
              <w:rPr>
                <w:noProof/>
                <w:webHidden/>
              </w:rPr>
              <w:t>9</w:t>
            </w:r>
            <w:r>
              <w:rPr>
                <w:noProof/>
                <w:webHidden/>
              </w:rPr>
              <w:fldChar w:fldCharType="end"/>
            </w:r>
          </w:hyperlink>
        </w:p>
        <w:p w:rsidR="000F39CC" w:rsidRDefault="00DE107A">
          <w:pPr>
            <w:pStyle w:val="Inhopg3"/>
            <w:tabs>
              <w:tab w:val="right" w:leader="dot" w:pos="8302"/>
            </w:tabs>
            <w:rPr>
              <w:rFonts w:asciiTheme="minorHAnsi" w:hAnsiTheme="minorHAnsi" w:cstheme="minorBidi"/>
              <w:noProof/>
              <w:sz w:val="22"/>
              <w:szCs w:val="22"/>
              <w:lang w:val="nl-BE" w:eastAsia="ja-JP"/>
            </w:rPr>
          </w:pPr>
          <w:hyperlink w:anchor="_Toc287994234" w:history="1">
            <w:r w:rsidR="000F39CC" w:rsidRPr="00D86472">
              <w:rPr>
                <w:rStyle w:val="Hyperlink"/>
                <w:noProof/>
              </w:rPr>
              <w:t>2.2.2 Waarom bij deze categorie wel euthanasie?</w:t>
            </w:r>
            <w:r w:rsidR="000F39CC">
              <w:rPr>
                <w:noProof/>
                <w:webHidden/>
              </w:rPr>
              <w:tab/>
            </w:r>
            <w:r>
              <w:rPr>
                <w:noProof/>
                <w:webHidden/>
              </w:rPr>
              <w:fldChar w:fldCharType="begin"/>
            </w:r>
            <w:r w:rsidR="000F39CC">
              <w:rPr>
                <w:noProof/>
                <w:webHidden/>
              </w:rPr>
              <w:instrText xml:space="preserve"> PAGEREF _Toc287994234 \h </w:instrText>
            </w:r>
            <w:r>
              <w:rPr>
                <w:noProof/>
                <w:webHidden/>
              </w:rPr>
            </w:r>
            <w:r>
              <w:rPr>
                <w:noProof/>
                <w:webHidden/>
              </w:rPr>
              <w:fldChar w:fldCharType="separate"/>
            </w:r>
            <w:r w:rsidR="00904396">
              <w:rPr>
                <w:noProof/>
                <w:webHidden/>
              </w:rPr>
              <w:t>10</w:t>
            </w:r>
            <w:r>
              <w:rPr>
                <w:noProof/>
                <w:webHidden/>
              </w:rPr>
              <w:fldChar w:fldCharType="end"/>
            </w:r>
          </w:hyperlink>
        </w:p>
        <w:p w:rsidR="000F39CC" w:rsidRDefault="00DE107A">
          <w:pPr>
            <w:pStyle w:val="Inhopg3"/>
            <w:tabs>
              <w:tab w:val="right" w:leader="dot" w:pos="8302"/>
            </w:tabs>
            <w:rPr>
              <w:rFonts w:asciiTheme="minorHAnsi" w:hAnsiTheme="minorHAnsi" w:cstheme="minorBidi"/>
              <w:noProof/>
              <w:sz w:val="22"/>
              <w:szCs w:val="22"/>
              <w:lang w:val="nl-BE" w:eastAsia="ja-JP"/>
            </w:rPr>
          </w:pPr>
          <w:hyperlink w:anchor="_Toc287994235" w:history="1">
            <w:r w:rsidR="000F39CC" w:rsidRPr="00D86472">
              <w:rPr>
                <w:rStyle w:val="Hyperlink"/>
                <w:noProof/>
              </w:rPr>
              <w:t>2.2.3 Oneigenlijk gebruik rechtsfiguur ontvoogding</w:t>
            </w:r>
            <w:r w:rsidR="000F39CC">
              <w:rPr>
                <w:noProof/>
                <w:webHidden/>
              </w:rPr>
              <w:tab/>
            </w:r>
            <w:r>
              <w:rPr>
                <w:noProof/>
                <w:webHidden/>
              </w:rPr>
              <w:fldChar w:fldCharType="begin"/>
            </w:r>
            <w:r w:rsidR="000F39CC">
              <w:rPr>
                <w:noProof/>
                <w:webHidden/>
              </w:rPr>
              <w:instrText xml:space="preserve"> PAGEREF _Toc287994235 \h </w:instrText>
            </w:r>
            <w:r>
              <w:rPr>
                <w:noProof/>
                <w:webHidden/>
              </w:rPr>
            </w:r>
            <w:r>
              <w:rPr>
                <w:noProof/>
                <w:webHidden/>
              </w:rPr>
              <w:fldChar w:fldCharType="separate"/>
            </w:r>
            <w:r w:rsidR="00904396">
              <w:rPr>
                <w:noProof/>
                <w:webHidden/>
              </w:rPr>
              <w:t>10</w:t>
            </w:r>
            <w:r>
              <w:rPr>
                <w:noProof/>
                <w:webHidden/>
              </w:rPr>
              <w:fldChar w:fldCharType="end"/>
            </w:r>
          </w:hyperlink>
        </w:p>
        <w:p w:rsidR="000F39CC" w:rsidRDefault="00DE107A">
          <w:pPr>
            <w:pStyle w:val="Inhopg3"/>
            <w:tabs>
              <w:tab w:val="right" w:leader="dot" w:pos="8302"/>
            </w:tabs>
            <w:rPr>
              <w:rFonts w:asciiTheme="minorHAnsi" w:hAnsiTheme="minorHAnsi" w:cstheme="minorBidi"/>
              <w:noProof/>
              <w:sz w:val="22"/>
              <w:szCs w:val="22"/>
              <w:lang w:val="nl-BE" w:eastAsia="ja-JP"/>
            </w:rPr>
          </w:pPr>
          <w:hyperlink w:anchor="_Toc287994236" w:history="1">
            <w:r w:rsidR="000F39CC" w:rsidRPr="00D86472">
              <w:rPr>
                <w:rStyle w:val="Hyperlink"/>
                <w:noProof/>
              </w:rPr>
              <w:t>2.2.4 Is deze uitzondering verantwoord?</w:t>
            </w:r>
            <w:r w:rsidR="000F39CC">
              <w:rPr>
                <w:noProof/>
                <w:webHidden/>
              </w:rPr>
              <w:tab/>
            </w:r>
            <w:r>
              <w:rPr>
                <w:noProof/>
                <w:webHidden/>
              </w:rPr>
              <w:fldChar w:fldCharType="begin"/>
            </w:r>
            <w:r w:rsidR="000F39CC">
              <w:rPr>
                <w:noProof/>
                <w:webHidden/>
              </w:rPr>
              <w:instrText xml:space="preserve"> PAGEREF _Toc287994236 \h </w:instrText>
            </w:r>
            <w:r>
              <w:rPr>
                <w:noProof/>
                <w:webHidden/>
              </w:rPr>
            </w:r>
            <w:r>
              <w:rPr>
                <w:noProof/>
                <w:webHidden/>
              </w:rPr>
              <w:fldChar w:fldCharType="separate"/>
            </w:r>
            <w:r w:rsidR="00904396">
              <w:rPr>
                <w:noProof/>
                <w:webHidden/>
              </w:rPr>
              <w:t>11</w:t>
            </w:r>
            <w:r>
              <w:rPr>
                <w:noProof/>
                <w:webHidden/>
              </w:rPr>
              <w:fldChar w:fldCharType="end"/>
            </w:r>
          </w:hyperlink>
        </w:p>
        <w:p w:rsidR="000F39CC" w:rsidRDefault="00DE107A">
          <w:pPr>
            <w:pStyle w:val="Inhopg2"/>
            <w:tabs>
              <w:tab w:val="right" w:leader="dot" w:pos="8302"/>
            </w:tabs>
            <w:rPr>
              <w:rFonts w:asciiTheme="minorHAnsi" w:hAnsiTheme="minorHAnsi" w:cstheme="minorBidi"/>
              <w:noProof/>
              <w:sz w:val="22"/>
              <w:szCs w:val="22"/>
              <w:lang w:val="nl-BE" w:eastAsia="ja-JP"/>
            </w:rPr>
          </w:pPr>
          <w:hyperlink w:anchor="_Toc287994237" w:history="1">
            <w:r w:rsidR="000F39CC" w:rsidRPr="00D86472">
              <w:rPr>
                <w:rStyle w:val="Hyperlink"/>
                <w:noProof/>
              </w:rPr>
              <w:t>2.3 De noodtoestand</w:t>
            </w:r>
            <w:r w:rsidR="000F39CC">
              <w:rPr>
                <w:noProof/>
                <w:webHidden/>
              </w:rPr>
              <w:tab/>
            </w:r>
            <w:r>
              <w:rPr>
                <w:noProof/>
                <w:webHidden/>
              </w:rPr>
              <w:fldChar w:fldCharType="begin"/>
            </w:r>
            <w:r w:rsidR="000F39CC">
              <w:rPr>
                <w:noProof/>
                <w:webHidden/>
              </w:rPr>
              <w:instrText xml:space="preserve"> PAGEREF _Toc287994237 \h </w:instrText>
            </w:r>
            <w:r>
              <w:rPr>
                <w:noProof/>
                <w:webHidden/>
              </w:rPr>
            </w:r>
            <w:r>
              <w:rPr>
                <w:noProof/>
                <w:webHidden/>
              </w:rPr>
              <w:fldChar w:fldCharType="separate"/>
            </w:r>
            <w:r w:rsidR="00904396">
              <w:rPr>
                <w:noProof/>
                <w:webHidden/>
              </w:rPr>
              <w:t>12</w:t>
            </w:r>
            <w:r>
              <w:rPr>
                <w:noProof/>
                <w:webHidden/>
              </w:rPr>
              <w:fldChar w:fldCharType="end"/>
            </w:r>
          </w:hyperlink>
        </w:p>
        <w:p w:rsidR="000F39CC" w:rsidRDefault="00DE107A">
          <w:pPr>
            <w:pStyle w:val="Inhopg2"/>
            <w:tabs>
              <w:tab w:val="right" w:leader="dot" w:pos="8302"/>
            </w:tabs>
            <w:rPr>
              <w:rFonts w:asciiTheme="minorHAnsi" w:hAnsiTheme="minorHAnsi" w:cstheme="minorBidi"/>
              <w:noProof/>
              <w:sz w:val="22"/>
              <w:szCs w:val="22"/>
              <w:lang w:val="nl-BE" w:eastAsia="ja-JP"/>
            </w:rPr>
          </w:pPr>
          <w:hyperlink w:anchor="_Toc287994238" w:history="1">
            <w:r w:rsidR="000F39CC" w:rsidRPr="00D86472">
              <w:rPr>
                <w:rStyle w:val="Hyperlink"/>
                <w:noProof/>
              </w:rPr>
              <w:t>2.4 Noodzaak regeling euthanasie</w:t>
            </w:r>
            <w:r w:rsidR="000F39CC">
              <w:rPr>
                <w:noProof/>
                <w:webHidden/>
              </w:rPr>
              <w:tab/>
            </w:r>
            <w:r>
              <w:rPr>
                <w:noProof/>
                <w:webHidden/>
              </w:rPr>
              <w:fldChar w:fldCharType="begin"/>
            </w:r>
            <w:r w:rsidR="000F39CC">
              <w:rPr>
                <w:noProof/>
                <w:webHidden/>
              </w:rPr>
              <w:instrText xml:space="preserve"> PAGEREF _Toc287994238 \h </w:instrText>
            </w:r>
            <w:r>
              <w:rPr>
                <w:noProof/>
                <w:webHidden/>
              </w:rPr>
            </w:r>
            <w:r>
              <w:rPr>
                <w:noProof/>
                <w:webHidden/>
              </w:rPr>
              <w:fldChar w:fldCharType="separate"/>
            </w:r>
            <w:r w:rsidR="00904396">
              <w:rPr>
                <w:noProof/>
                <w:webHidden/>
              </w:rPr>
              <w:t>13</w:t>
            </w:r>
            <w:r>
              <w:rPr>
                <w:noProof/>
                <w:webHidden/>
              </w:rPr>
              <w:fldChar w:fldCharType="end"/>
            </w:r>
          </w:hyperlink>
        </w:p>
        <w:p w:rsidR="000F39CC" w:rsidRDefault="00DE107A">
          <w:pPr>
            <w:pStyle w:val="Inhopg3"/>
            <w:tabs>
              <w:tab w:val="right" w:leader="dot" w:pos="8302"/>
            </w:tabs>
            <w:rPr>
              <w:rFonts w:asciiTheme="minorHAnsi" w:hAnsiTheme="minorHAnsi" w:cstheme="minorBidi"/>
              <w:noProof/>
              <w:sz w:val="22"/>
              <w:szCs w:val="22"/>
              <w:lang w:val="nl-BE" w:eastAsia="ja-JP"/>
            </w:rPr>
          </w:pPr>
          <w:hyperlink w:anchor="_Toc287994239" w:history="1">
            <w:r w:rsidR="005E2768">
              <w:rPr>
                <w:rStyle w:val="Hyperlink"/>
                <w:noProof/>
              </w:rPr>
              <w:t>2.4.1 Artikel</w:t>
            </w:r>
            <w:r w:rsidR="000F39CC" w:rsidRPr="00D86472">
              <w:rPr>
                <w:rStyle w:val="Hyperlink"/>
                <w:noProof/>
              </w:rPr>
              <w:t xml:space="preserve"> 12 Kinderrechtenverdrag</w:t>
            </w:r>
            <w:r w:rsidR="000F39CC">
              <w:rPr>
                <w:noProof/>
                <w:webHidden/>
              </w:rPr>
              <w:tab/>
            </w:r>
            <w:r>
              <w:rPr>
                <w:noProof/>
                <w:webHidden/>
              </w:rPr>
              <w:fldChar w:fldCharType="begin"/>
            </w:r>
            <w:r w:rsidR="000F39CC">
              <w:rPr>
                <w:noProof/>
                <w:webHidden/>
              </w:rPr>
              <w:instrText xml:space="preserve"> PAGEREF _Toc287994239 \h </w:instrText>
            </w:r>
            <w:r>
              <w:rPr>
                <w:noProof/>
                <w:webHidden/>
              </w:rPr>
            </w:r>
            <w:r>
              <w:rPr>
                <w:noProof/>
                <w:webHidden/>
              </w:rPr>
              <w:fldChar w:fldCharType="separate"/>
            </w:r>
            <w:r w:rsidR="00904396">
              <w:rPr>
                <w:noProof/>
                <w:webHidden/>
              </w:rPr>
              <w:t>13</w:t>
            </w:r>
            <w:r>
              <w:rPr>
                <w:noProof/>
                <w:webHidden/>
              </w:rPr>
              <w:fldChar w:fldCharType="end"/>
            </w:r>
          </w:hyperlink>
        </w:p>
        <w:p w:rsidR="000F39CC" w:rsidRDefault="00DE107A">
          <w:pPr>
            <w:pStyle w:val="Inhopg3"/>
            <w:tabs>
              <w:tab w:val="right" w:leader="dot" w:pos="8302"/>
            </w:tabs>
            <w:rPr>
              <w:rFonts w:asciiTheme="minorHAnsi" w:hAnsiTheme="minorHAnsi" w:cstheme="minorBidi"/>
              <w:noProof/>
              <w:sz w:val="22"/>
              <w:szCs w:val="22"/>
              <w:lang w:val="nl-BE" w:eastAsia="ja-JP"/>
            </w:rPr>
          </w:pPr>
          <w:hyperlink w:anchor="_Toc287994240" w:history="1">
            <w:r w:rsidR="005E2768">
              <w:rPr>
                <w:rStyle w:val="Hyperlink"/>
                <w:noProof/>
              </w:rPr>
              <w:t>2.4.2 Artikel</w:t>
            </w:r>
            <w:r w:rsidR="000F39CC" w:rsidRPr="00D86472">
              <w:rPr>
                <w:rStyle w:val="Hyperlink"/>
                <w:noProof/>
              </w:rPr>
              <w:t xml:space="preserve"> 12 Wet Patiëntenrechten</w:t>
            </w:r>
            <w:r w:rsidR="000F39CC">
              <w:rPr>
                <w:noProof/>
                <w:webHidden/>
              </w:rPr>
              <w:tab/>
            </w:r>
            <w:r>
              <w:rPr>
                <w:noProof/>
                <w:webHidden/>
              </w:rPr>
              <w:fldChar w:fldCharType="begin"/>
            </w:r>
            <w:r w:rsidR="000F39CC">
              <w:rPr>
                <w:noProof/>
                <w:webHidden/>
              </w:rPr>
              <w:instrText xml:space="preserve"> PAGEREF _Toc287994240 \h </w:instrText>
            </w:r>
            <w:r>
              <w:rPr>
                <w:noProof/>
                <w:webHidden/>
              </w:rPr>
            </w:r>
            <w:r>
              <w:rPr>
                <w:noProof/>
                <w:webHidden/>
              </w:rPr>
              <w:fldChar w:fldCharType="separate"/>
            </w:r>
            <w:r w:rsidR="00904396">
              <w:rPr>
                <w:noProof/>
                <w:webHidden/>
              </w:rPr>
              <w:t>14</w:t>
            </w:r>
            <w:r>
              <w:rPr>
                <w:noProof/>
                <w:webHidden/>
              </w:rPr>
              <w:fldChar w:fldCharType="end"/>
            </w:r>
          </w:hyperlink>
        </w:p>
        <w:p w:rsidR="000F39CC" w:rsidRDefault="00DE107A">
          <w:pPr>
            <w:pStyle w:val="Inhopg2"/>
            <w:tabs>
              <w:tab w:val="right" w:leader="dot" w:pos="8302"/>
            </w:tabs>
            <w:rPr>
              <w:rFonts w:asciiTheme="minorHAnsi" w:hAnsiTheme="minorHAnsi" w:cstheme="minorBidi"/>
              <w:noProof/>
              <w:sz w:val="22"/>
              <w:szCs w:val="22"/>
              <w:lang w:val="nl-BE" w:eastAsia="ja-JP"/>
            </w:rPr>
          </w:pPr>
          <w:hyperlink w:anchor="_Toc287994241" w:history="1">
            <w:r w:rsidR="000F39CC" w:rsidRPr="00D86472">
              <w:rPr>
                <w:rStyle w:val="Hyperlink"/>
                <w:noProof/>
              </w:rPr>
              <w:t>2.5 Naar een Belgische euthanasieregeling voor minderjarigen</w:t>
            </w:r>
            <w:r w:rsidR="000F39CC">
              <w:rPr>
                <w:noProof/>
                <w:webHidden/>
              </w:rPr>
              <w:tab/>
            </w:r>
            <w:r>
              <w:rPr>
                <w:noProof/>
                <w:webHidden/>
              </w:rPr>
              <w:fldChar w:fldCharType="begin"/>
            </w:r>
            <w:r w:rsidR="000F39CC">
              <w:rPr>
                <w:noProof/>
                <w:webHidden/>
              </w:rPr>
              <w:instrText xml:space="preserve"> PAGEREF _Toc287994241 \h </w:instrText>
            </w:r>
            <w:r>
              <w:rPr>
                <w:noProof/>
                <w:webHidden/>
              </w:rPr>
            </w:r>
            <w:r>
              <w:rPr>
                <w:noProof/>
                <w:webHidden/>
              </w:rPr>
              <w:fldChar w:fldCharType="separate"/>
            </w:r>
            <w:r w:rsidR="00904396">
              <w:rPr>
                <w:noProof/>
                <w:webHidden/>
              </w:rPr>
              <w:t>16</w:t>
            </w:r>
            <w:r>
              <w:rPr>
                <w:noProof/>
                <w:webHidden/>
              </w:rPr>
              <w:fldChar w:fldCharType="end"/>
            </w:r>
          </w:hyperlink>
        </w:p>
        <w:p w:rsidR="000F39CC" w:rsidRDefault="00DE107A">
          <w:pPr>
            <w:pStyle w:val="Inhopg3"/>
            <w:tabs>
              <w:tab w:val="right" w:leader="dot" w:pos="8302"/>
            </w:tabs>
            <w:rPr>
              <w:rFonts w:asciiTheme="minorHAnsi" w:hAnsiTheme="minorHAnsi" w:cstheme="minorBidi"/>
              <w:noProof/>
              <w:sz w:val="22"/>
              <w:szCs w:val="22"/>
              <w:lang w:val="nl-BE" w:eastAsia="ja-JP"/>
            </w:rPr>
          </w:pPr>
          <w:hyperlink w:anchor="_Toc287994242" w:history="1">
            <w:r w:rsidR="000F39CC" w:rsidRPr="00D86472">
              <w:rPr>
                <w:rStyle w:val="Hyperlink"/>
                <w:noProof/>
              </w:rPr>
              <w:t>2.5.1 Een nieuw onderscheidingscriterium?</w:t>
            </w:r>
            <w:r w:rsidR="000F39CC">
              <w:rPr>
                <w:noProof/>
                <w:webHidden/>
              </w:rPr>
              <w:tab/>
            </w:r>
            <w:r>
              <w:rPr>
                <w:noProof/>
                <w:webHidden/>
              </w:rPr>
              <w:fldChar w:fldCharType="begin"/>
            </w:r>
            <w:r w:rsidR="000F39CC">
              <w:rPr>
                <w:noProof/>
                <w:webHidden/>
              </w:rPr>
              <w:instrText xml:space="preserve"> PAGEREF _Toc287994242 \h </w:instrText>
            </w:r>
            <w:r>
              <w:rPr>
                <w:noProof/>
                <w:webHidden/>
              </w:rPr>
            </w:r>
            <w:r>
              <w:rPr>
                <w:noProof/>
                <w:webHidden/>
              </w:rPr>
              <w:fldChar w:fldCharType="separate"/>
            </w:r>
            <w:r w:rsidR="00904396">
              <w:rPr>
                <w:noProof/>
                <w:webHidden/>
              </w:rPr>
              <w:t>16</w:t>
            </w:r>
            <w:r>
              <w:rPr>
                <w:noProof/>
                <w:webHidden/>
              </w:rPr>
              <w:fldChar w:fldCharType="end"/>
            </w:r>
          </w:hyperlink>
        </w:p>
        <w:p w:rsidR="000F39CC" w:rsidRDefault="00DE107A">
          <w:pPr>
            <w:pStyle w:val="Inhopg3"/>
            <w:tabs>
              <w:tab w:val="right" w:leader="dot" w:pos="8302"/>
            </w:tabs>
            <w:rPr>
              <w:rFonts w:asciiTheme="minorHAnsi" w:hAnsiTheme="minorHAnsi" w:cstheme="minorBidi"/>
              <w:noProof/>
              <w:sz w:val="22"/>
              <w:szCs w:val="22"/>
              <w:lang w:val="nl-BE" w:eastAsia="ja-JP"/>
            </w:rPr>
          </w:pPr>
          <w:hyperlink w:anchor="_Toc287994243" w:history="1">
            <w:r w:rsidR="000F39CC" w:rsidRPr="00D86472">
              <w:rPr>
                <w:rStyle w:val="Hyperlink"/>
                <w:noProof/>
              </w:rPr>
              <w:t>2.5.2 Wetsvoorstellen sinds de wet van 28 mei 2002</w:t>
            </w:r>
            <w:r w:rsidR="000F39CC">
              <w:rPr>
                <w:noProof/>
                <w:webHidden/>
              </w:rPr>
              <w:tab/>
            </w:r>
            <w:r>
              <w:rPr>
                <w:noProof/>
                <w:webHidden/>
              </w:rPr>
              <w:fldChar w:fldCharType="begin"/>
            </w:r>
            <w:r w:rsidR="000F39CC">
              <w:rPr>
                <w:noProof/>
                <w:webHidden/>
              </w:rPr>
              <w:instrText xml:space="preserve"> PAGEREF _Toc287994243 \h </w:instrText>
            </w:r>
            <w:r>
              <w:rPr>
                <w:noProof/>
                <w:webHidden/>
              </w:rPr>
            </w:r>
            <w:r>
              <w:rPr>
                <w:noProof/>
                <w:webHidden/>
              </w:rPr>
              <w:fldChar w:fldCharType="separate"/>
            </w:r>
            <w:r w:rsidR="00904396">
              <w:rPr>
                <w:noProof/>
                <w:webHidden/>
              </w:rPr>
              <w:t>18</w:t>
            </w:r>
            <w:r>
              <w:rPr>
                <w:noProof/>
                <w:webHidden/>
              </w:rPr>
              <w:fldChar w:fldCharType="end"/>
            </w:r>
          </w:hyperlink>
        </w:p>
        <w:p w:rsidR="000F39CC" w:rsidRDefault="00DE107A">
          <w:pPr>
            <w:pStyle w:val="Inhopg3"/>
            <w:tabs>
              <w:tab w:val="right" w:leader="dot" w:pos="8302"/>
            </w:tabs>
            <w:rPr>
              <w:rFonts w:asciiTheme="minorHAnsi" w:hAnsiTheme="minorHAnsi" w:cstheme="minorBidi"/>
              <w:noProof/>
              <w:sz w:val="22"/>
              <w:szCs w:val="22"/>
              <w:lang w:val="nl-BE" w:eastAsia="ja-JP"/>
            </w:rPr>
          </w:pPr>
          <w:hyperlink w:anchor="_Toc287994244" w:history="1">
            <w:r w:rsidR="000F39CC" w:rsidRPr="00D86472">
              <w:rPr>
                <w:rStyle w:val="Hyperlink"/>
                <w:noProof/>
              </w:rPr>
              <w:t>2.5.3 Huidige stand van zaken</w:t>
            </w:r>
            <w:r w:rsidR="000F39CC">
              <w:rPr>
                <w:noProof/>
                <w:webHidden/>
              </w:rPr>
              <w:tab/>
            </w:r>
            <w:r>
              <w:rPr>
                <w:noProof/>
                <w:webHidden/>
              </w:rPr>
              <w:fldChar w:fldCharType="begin"/>
            </w:r>
            <w:r w:rsidR="000F39CC">
              <w:rPr>
                <w:noProof/>
                <w:webHidden/>
              </w:rPr>
              <w:instrText xml:space="preserve"> PAGEREF _Toc287994244 \h </w:instrText>
            </w:r>
            <w:r>
              <w:rPr>
                <w:noProof/>
                <w:webHidden/>
              </w:rPr>
            </w:r>
            <w:r>
              <w:rPr>
                <w:noProof/>
                <w:webHidden/>
              </w:rPr>
              <w:fldChar w:fldCharType="separate"/>
            </w:r>
            <w:r w:rsidR="00904396">
              <w:rPr>
                <w:noProof/>
                <w:webHidden/>
              </w:rPr>
              <w:t>22</w:t>
            </w:r>
            <w:r>
              <w:rPr>
                <w:noProof/>
                <w:webHidden/>
              </w:rPr>
              <w:fldChar w:fldCharType="end"/>
            </w:r>
          </w:hyperlink>
        </w:p>
        <w:p w:rsidR="000F39CC" w:rsidRDefault="00DE107A">
          <w:pPr>
            <w:pStyle w:val="Inhopg2"/>
            <w:tabs>
              <w:tab w:val="right" w:leader="dot" w:pos="8302"/>
            </w:tabs>
            <w:rPr>
              <w:rFonts w:asciiTheme="minorHAnsi" w:hAnsiTheme="minorHAnsi" w:cstheme="minorBidi"/>
              <w:noProof/>
              <w:sz w:val="22"/>
              <w:szCs w:val="22"/>
              <w:lang w:val="nl-BE" w:eastAsia="ja-JP"/>
            </w:rPr>
          </w:pPr>
          <w:hyperlink w:anchor="_Toc287994245" w:history="1">
            <w:r w:rsidR="000F39CC" w:rsidRPr="00D86472">
              <w:rPr>
                <w:rStyle w:val="Hyperlink"/>
                <w:noProof/>
              </w:rPr>
              <w:t>2.6 Euthanasie in Nederland</w:t>
            </w:r>
            <w:r w:rsidR="000F39CC">
              <w:rPr>
                <w:noProof/>
                <w:webHidden/>
              </w:rPr>
              <w:tab/>
            </w:r>
            <w:r>
              <w:rPr>
                <w:noProof/>
                <w:webHidden/>
              </w:rPr>
              <w:fldChar w:fldCharType="begin"/>
            </w:r>
            <w:r w:rsidR="000F39CC">
              <w:rPr>
                <w:noProof/>
                <w:webHidden/>
              </w:rPr>
              <w:instrText xml:space="preserve"> PAGEREF _Toc287994245 \h </w:instrText>
            </w:r>
            <w:r>
              <w:rPr>
                <w:noProof/>
                <w:webHidden/>
              </w:rPr>
            </w:r>
            <w:r>
              <w:rPr>
                <w:noProof/>
                <w:webHidden/>
              </w:rPr>
              <w:fldChar w:fldCharType="separate"/>
            </w:r>
            <w:r w:rsidR="00904396">
              <w:rPr>
                <w:noProof/>
                <w:webHidden/>
              </w:rPr>
              <w:t>23</w:t>
            </w:r>
            <w:r>
              <w:rPr>
                <w:noProof/>
                <w:webHidden/>
              </w:rPr>
              <w:fldChar w:fldCharType="end"/>
            </w:r>
          </w:hyperlink>
        </w:p>
        <w:p w:rsidR="004D710F" w:rsidRDefault="00DE107A">
          <w:r>
            <w:fldChar w:fldCharType="end"/>
          </w:r>
        </w:p>
        <w:p w:rsidR="004D710F" w:rsidRDefault="004D710F">
          <w:r>
            <w:t>BESLUIT</w:t>
          </w:r>
          <w:r w:rsidR="000F5A74">
            <w:t>……………………………………………………………………………</w:t>
          </w:r>
          <w:r w:rsidR="00565FA0">
            <w:t>. 2</w:t>
          </w:r>
          <w:r w:rsidR="001B3805">
            <w:t>5</w:t>
          </w:r>
        </w:p>
        <w:p w:rsidR="004D710F" w:rsidRDefault="004D710F"/>
        <w:p w:rsidR="004D710F" w:rsidRDefault="004D710F">
          <w:r>
            <w:t>BIBLIOGRAFIE</w:t>
          </w:r>
          <w:r w:rsidR="00565FA0">
            <w:t>………………………………………………………………...</w:t>
          </w:r>
          <w:r w:rsidR="000F5A74">
            <w:t>…</w:t>
          </w:r>
          <w:r w:rsidR="00565FA0">
            <w:t>.. 2</w:t>
          </w:r>
          <w:r w:rsidR="001B3805">
            <w:t>6</w:t>
          </w:r>
        </w:p>
      </w:sdtContent>
    </w:sdt>
    <w:p w:rsidR="003B5A27" w:rsidRDefault="003B5A27" w:rsidP="00FD3FA2">
      <w:pPr>
        <w:rPr>
          <w:lang w:val="nl-BE"/>
        </w:rPr>
      </w:pPr>
    </w:p>
    <w:p w:rsidR="003B5A27" w:rsidRDefault="003B5A27" w:rsidP="00FD3FA2">
      <w:pPr>
        <w:rPr>
          <w:lang w:val="nl-BE"/>
        </w:rPr>
      </w:pPr>
    </w:p>
    <w:p w:rsidR="003B5A27" w:rsidRDefault="003B5A27" w:rsidP="00FD3FA2">
      <w:pPr>
        <w:rPr>
          <w:lang w:val="nl-BE"/>
        </w:rPr>
      </w:pPr>
    </w:p>
    <w:p w:rsidR="003B5A27" w:rsidRDefault="003B5A27" w:rsidP="00FD3FA2">
      <w:pPr>
        <w:rPr>
          <w:lang w:val="nl-BE"/>
        </w:rPr>
      </w:pPr>
    </w:p>
    <w:p w:rsidR="003B5A27" w:rsidRDefault="003B5A27" w:rsidP="00FD3FA2">
      <w:pPr>
        <w:rPr>
          <w:lang w:val="nl-BE"/>
        </w:rPr>
      </w:pPr>
    </w:p>
    <w:p w:rsidR="003B5A27" w:rsidRDefault="003B5A27" w:rsidP="00FD3FA2">
      <w:pPr>
        <w:rPr>
          <w:lang w:val="nl-BE"/>
        </w:rPr>
      </w:pPr>
    </w:p>
    <w:p w:rsidR="00565FA0" w:rsidRDefault="00565FA0" w:rsidP="00FD3FA2">
      <w:pPr>
        <w:rPr>
          <w:lang w:val="nl-BE"/>
        </w:rPr>
        <w:sectPr w:rsidR="00565FA0" w:rsidSect="00770CC6">
          <w:footerReference w:type="default" r:id="rId9"/>
          <w:footerReference w:type="first" r:id="rId10"/>
          <w:pgSz w:w="11906" w:h="16838"/>
          <w:pgMar w:top="1440" w:right="1797" w:bottom="1440" w:left="1797" w:header="708" w:footer="708" w:gutter="0"/>
          <w:pgBorders w:display="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pPr>
    </w:p>
    <w:p w:rsidR="003B5A27" w:rsidRDefault="003B5A27" w:rsidP="00FD3FA2">
      <w:pPr>
        <w:rPr>
          <w:lang w:val="nl-BE"/>
        </w:rPr>
      </w:pPr>
    </w:p>
    <w:p w:rsidR="00FD3FA2" w:rsidRPr="006E7662" w:rsidRDefault="00FD3FA2" w:rsidP="003B5A27">
      <w:pPr>
        <w:pBdr>
          <w:top w:val="single" w:sz="4" w:space="1" w:color="auto"/>
          <w:left w:val="single" w:sz="4" w:space="4" w:color="auto"/>
          <w:bottom w:val="single" w:sz="4" w:space="1" w:color="auto"/>
          <w:right w:val="single" w:sz="4" w:space="4" w:color="auto"/>
        </w:pBdr>
        <w:jc w:val="center"/>
        <w:rPr>
          <w:lang w:val="nl-BE"/>
        </w:rPr>
      </w:pPr>
      <w:r w:rsidRPr="006E7662">
        <w:rPr>
          <w:lang w:val="nl-BE"/>
        </w:rPr>
        <w:t>INLEINDING</w:t>
      </w:r>
    </w:p>
    <w:p w:rsidR="00FD3FA2" w:rsidRPr="006E7662" w:rsidRDefault="00FD3FA2" w:rsidP="00FD3FA2">
      <w:pPr>
        <w:spacing w:line="360" w:lineRule="auto"/>
        <w:jc w:val="both"/>
        <w:rPr>
          <w:lang w:val="nl-BE"/>
        </w:rPr>
      </w:pPr>
    </w:p>
    <w:p w:rsidR="00345C94" w:rsidRDefault="00345C94" w:rsidP="00FD3FA2">
      <w:pPr>
        <w:spacing w:line="360" w:lineRule="auto"/>
        <w:jc w:val="both"/>
        <w:rPr>
          <w:lang w:val="nl-BE"/>
        </w:rPr>
      </w:pPr>
    </w:p>
    <w:p w:rsidR="00A678FE" w:rsidRDefault="003B5A27" w:rsidP="00FD3FA2">
      <w:pPr>
        <w:spacing w:line="360" w:lineRule="auto"/>
        <w:jc w:val="both"/>
        <w:rPr>
          <w:lang w:val="nl-BE"/>
        </w:rPr>
      </w:pPr>
      <w:r>
        <w:rPr>
          <w:lang w:val="nl-BE"/>
        </w:rPr>
        <w:t>Als opdracht voor dit seminarie kreeg ik ‘euthanasie bij minderjarigen’ toegewezen. Sinds de wet van 28 mei 2002 betreffende de euthanasie kent België zijn eigen euthanasie</w:t>
      </w:r>
      <w:r w:rsidR="00A678FE">
        <w:rPr>
          <w:lang w:val="nl-BE"/>
        </w:rPr>
        <w:t>regeling</w:t>
      </w:r>
      <w:r>
        <w:rPr>
          <w:lang w:val="nl-BE"/>
        </w:rPr>
        <w:t>. Minderjarigen zijn echter uitgesloten van het toepassingsgebied van deze wet. In dit werk tracht ik in de eerste plaats na te gaan waarom deze categorie van personen uitgesloten wordt. Binnen de</w:t>
      </w:r>
      <w:r w:rsidR="00D41B5C">
        <w:rPr>
          <w:lang w:val="nl-BE"/>
        </w:rPr>
        <w:t xml:space="preserve"> groep van minderjarigen wordt bovendien n</w:t>
      </w:r>
      <w:r>
        <w:rPr>
          <w:lang w:val="nl-BE"/>
        </w:rPr>
        <w:t>og ee</w:t>
      </w:r>
      <w:r w:rsidR="00A678FE">
        <w:rPr>
          <w:lang w:val="nl-BE"/>
        </w:rPr>
        <w:t xml:space="preserve">n bijkomend onderscheid gemaakt. Ontvoogde minderjarigen kunnen namelijk wel euthanasie plegen. Ik ga ook de oorsprong van deze uitzondering verder onderzoeken. </w:t>
      </w:r>
    </w:p>
    <w:p w:rsidR="00A678FE" w:rsidRDefault="00A678FE" w:rsidP="00FD3FA2">
      <w:pPr>
        <w:spacing w:line="360" w:lineRule="auto"/>
        <w:jc w:val="both"/>
        <w:rPr>
          <w:lang w:val="nl-BE"/>
        </w:rPr>
      </w:pPr>
    </w:p>
    <w:p w:rsidR="00345C94" w:rsidRDefault="00A678FE" w:rsidP="00FD3FA2">
      <w:pPr>
        <w:spacing w:line="360" w:lineRule="auto"/>
        <w:jc w:val="both"/>
        <w:rPr>
          <w:lang w:val="nl-BE"/>
        </w:rPr>
      </w:pPr>
      <w:r>
        <w:rPr>
          <w:lang w:val="nl-BE"/>
        </w:rPr>
        <w:t xml:space="preserve">Na de totstandkoming van de huidige euthanasiewet werd </w:t>
      </w:r>
      <w:r w:rsidR="000F5A74">
        <w:rPr>
          <w:lang w:val="nl-BE"/>
        </w:rPr>
        <w:t>de</w:t>
      </w:r>
      <w:r>
        <w:rPr>
          <w:lang w:val="nl-BE"/>
        </w:rPr>
        <w:t xml:space="preserve"> leeftijdsgrens van 18 j</w:t>
      </w:r>
      <w:r w:rsidR="0029029E">
        <w:rPr>
          <w:lang w:val="nl-BE"/>
        </w:rPr>
        <w:t xml:space="preserve">aar al snel arbitrair gevonden. Dergelijke leeftijdsgrens is onder meer niet in overeenstemming met artikel 12 Kinderrechtenverdrag en artikel 12 Wet Patiëntenrechten. </w:t>
      </w:r>
      <w:r>
        <w:rPr>
          <w:lang w:val="nl-BE"/>
        </w:rPr>
        <w:t>Verschillende wetsvoorstellen werden ingediend</w:t>
      </w:r>
      <w:r w:rsidR="00D41B5C">
        <w:rPr>
          <w:lang w:val="nl-BE"/>
        </w:rPr>
        <w:t xml:space="preserve"> om euthanasie ook mogelijk te maken voor bepaalde minderjarigen. In dit</w:t>
      </w:r>
      <w:r w:rsidR="006B7C16">
        <w:rPr>
          <w:lang w:val="nl-BE"/>
        </w:rPr>
        <w:t xml:space="preserve"> seminariewerk ga ik me dan ook </w:t>
      </w:r>
      <w:r w:rsidR="000F5A74">
        <w:rPr>
          <w:lang w:val="nl-BE"/>
        </w:rPr>
        <w:t xml:space="preserve">verder </w:t>
      </w:r>
      <w:r w:rsidR="006B7C16">
        <w:rPr>
          <w:lang w:val="nl-BE"/>
        </w:rPr>
        <w:t xml:space="preserve">concentreren op </w:t>
      </w:r>
      <w:r w:rsidR="00FF545A">
        <w:rPr>
          <w:lang w:val="nl-BE"/>
        </w:rPr>
        <w:t xml:space="preserve">de vraag </w:t>
      </w:r>
      <w:r>
        <w:rPr>
          <w:lang w:val="nl-BE"/>
        </w:rPr>
        <w:t xml:space="preserve">welke </w:t>
      </w:r>
      <w:r w:rsidR="00D41B5C">
        <w:rPr>
          <w:lang w:val="nl-BE"/>
        </w:rPr>
        <w:t xml:space="preserve">nieuwe </w:t>
      </w:r>
      <w:r>
        <w:rPr>
          <w:lang w:val="nl-BE"/>
        </w:rPr>
        <w:t xml:space="preserve">onderscheidingscriteria gehanteerd werden </w:t>
      </w:r>
      <w:r w:rsidR="00D41B5C">
        <w:rPr>
          <w:lang w:val="nl-BE"/>
        </w:rPr>
        <w:t xml:space="preserve">in deze voorstellen en </w:t>
      </w:r>
      <w:r w:rsidR="00FF545A">
        <w:rPr>
          <w:lang w:val="nl-BE"/>
        </w:rPr>
        <w:t xml:space="preserve">wil ik </w:t>
      </w:r>
      <w:r w:rsidR="000F5A74">
        <w:rPr>
          <w:lang w:val="nl-BE"/>
        </w:rPr>
        <w:t>de actuele toestand van deze voorstellen nagaan</w:t>
      </w:r>
      <w:r w:rsidR="006B7C16">
        <w:rPr>
          <w:lang w:val="nl-BE"/>
        </w:rPr>
        <w:t xml:space="preserve">. Om te eindigen </w:t>
      </w:r>
      <w:r w:rsidR="00FF545A">
        <w:rPr>
          <w:lang w:val="nl-BE"/>
        </w:rPr>
        <w:t xml:space="preserve">wijdt ik een stukje aan </w:t>
      </w:r>
      <w:r w:rsidR="006B7C16">
        <w:rPr>
          <w:lang w:val="nl-BE"/>
        </w:rPr>
        <w:t>d</w:t>
      </w:r>
      <w:r w:rsidR="00FF545A">
        <w:rPr>
          <w:lang w:val="nl-BE"/>
        </w:rPr>
        <w:t>e Nederlandse euthanasiewet</w:t>
      </w:r>
      <w:r w:rsidR="002C6DC2">
        <w:rPr>
          <w:lang w:val="nl-BE"/>
        </w:rPr>
        <w:t xml:space="preserve">. In Nederland staat euthanasie </w:t>
      </w:r>
      <w:r w:rsidR="004F4303">
        <w:rPr>
          <w:lang w:val="nl-BE"/>
        </w:rPr>
        <w:t xml:space="preserve">namelijk </w:t>
      </w:r>
      <w:r w:rsidR="002C6DC2">
        <w:rPr>
          <w:lang w:val="nl-BE"/>
        </w:rPr>
        <w:t>ook open voor bepaalde minderjarigen.</w:t>
      </w:r>
    </w:p>
    <w:p w:rsidR="00345C94" w:rsidRDefault="00345C94" w:rsidP="00FD3FA2">
      <w:pPr>
        <w:spacing w:line="360" w:lineRule="auto"/>
        <w:jc w:val="both"/>
        <w:rPr>
          <w:lang w:val="nl-BE"/>
        </w:rPr>
      </w:pPr>
    </w:p>
    <w:p w:rsidR="00345C94" w:rsidRDefault="00345C94" w:rsidP="00FD3FA2">
      <w:pPr>
        <w:spacing w:line="360" w:lineRule="auto"/>
        <w:jc w:val="both"/>
        <w:rPr>
          <w:lang w:val="nl-BE"/>
        </w:rPr>
      </w:pPr>
    </w:p>
    <w:p w:rsidR="006B7C16" w:rsidRDefault="006B7C16" w:rsidP="00FD3FA2">
      <w:pPr>
        <w:spacing w:line="360" w:lineRule="auto"/>
        <w:jc w:val="both"/>
        <w:rPr>
          <w:lang w:val="nl-BE"/>
        </w:rPr>
      </w:pPr>
    </w:p>
    <w:p w:rsidR="006B7C16" w:rsidRDefault="006B7C16" w:rsidP="00FD3FA2">
      <w:pPr>
        <w:spacing w:line="360" w:lineRule="auto"/>
        <w:jc w:val="both"/>
        <w:rPr>
          <w:lang w:val="nl-BE"/>
        </w:rPr>
      </w:pPr>
    </w:p>
    <w:p w:rsidR="006B7C16" w:rsidRDefault="006B7C16" w:rsidP="00FD3FA2">
      <w:pPr>
        <w:spacing w:line="360" w:lineRule="auto"/>
        <w:jc w:val="both"/>
        <w:rPr>
          <w:lang w:val="nl-BE"/>
        </w:rPr>
      </w:pPr>
    </w:p>
    <w:p w:rsidR="00345C94" w:rsidRDefault="00345C94" w:rsidP="00FD3FA2">
      <w:pPr>
        <w:spacing w:line="360" w:lineRule="auto"/>
        <w:jc w:val="both"/>
        <w:rPr>
          <w:lang w:val="nl-BE"/>
        </w:rPr>
      </w:pPr>
    </w:p>
    <w:p w:rsidR="00345C94" w:rsidRDefault="00345C94" w:rsidP="00FD3FA2">
      <w:pPr>
        <w:spacing w:line="360" w:lineRule="auto"/>
        <w:jc w:val="both"/>
        <w:rPr>
          <w:lang w:val="nl-BE"/>
        </w:rPr>
      </w:pPr>
    </w:p>
    <w:p w:rsidR="004F4303" w:rsidRDefault="004F4303" w:rsidP="00FD3FA2">
      <w:pPr>
        <w:spacing w:line="360" w:lineRule="auto"/>
        <w:jc w:val="both"/>
        <w:rPr>
          <w:lang w:val="nl-BE"/>
        </w:rPr>
      </w:pPr>
    </w:p>
    <w:p w:rsidR="00345C94" w:rsidRDefault="00345C94" w:rsidP="00FD3FA2">
      <w:pPr>
        <w:spacing w:line="360" w:lineRule="auto"/>
        <w:jc w:val="both"/>
        <w:rPr>
          <w:lang w:val="nl-BE"/>
        </w:rPr>
      </w:pPr>
    </w:p>
    <w:p w:rsidR="00345C94" w:rsidRDefault="00345C94" w:rsidP="00FD3FA2">
      <w:pPr>
        <w:spacing w:line="360" w:lineRule="auto"/>
        <w:jc w:val="both"/>
        <w:rPr>
          <w:lang w:val="nl-BE"/>
        </w:rPr>
      </w:pPr>
    </w:p>
    <w:p w:rsidR="00345C94" w:rsidRDefault="00345C94" w:rsidP="00FD3FA2">
      <w:pPr>
        <w:spacing w:line="360" w:lineRule="auto"/>
        <w:jc w:val="both"/>
        <w:rPr>
          <w:lang w:val="nl-BE"/>
        </w:rPr>
      </w:pPr>
    </w:p>
    <w:p w:rsidR="000F5A74" w:rsidRDefault="000F5A74" w:rsidP="004D710F">
      <w:pPr>
        <w:pStyle w:val="Kop1"/>
      </w:pPr>
    </w:p>
    <w:p w:rsidR="00FD3FA2" w:rsidRPr="004D710F" w:rsidRDefault="00345C94" w:rsidP="004F4303">
      <w:pPr>
        <w:pStyle w:val="Kop1"/>
        <w:numPr>
          <w:ilvl w:val="0"/>
          <w:numId w:val="3"/>
        </w:numPr>
        <w:pBdr>
          <w:top w:val="single" w:sz="4" w:space="1" w:color="auto"/>
          <w:left w:val="single" w:sz="4" w:space="4" w:color="auto"/>
          <w:bottom w:val="single" w:sz="4" w:space="1" w:color="auto"/>
          <w:right w:val="single" w:sz="4" w:space="4" w:color="auto"/>
        </w:pBdr>
        <w:spacing w:line="240" w:lineRule="auto"/>
        <w:jc w:val="center"/>
      </w:pPr>
      <w:bookmarkStart w:id="0" w:name="_Toc287994223"/>
      <w:r w:rsidRPr="004D710F">
        <w:lastRenderedPageBreak/>
        <w:t>HUIDIGE</w:t>
      </w:r>
      <w:r w:rsidR="00FD3FA2" w:rsidRPr="004D710F">
        <w:t xml:space="preserve"> REGELING EUTHANASIE</w:t>
      </w:r>
      <w:bookmarkEnd w:id="0"/>
    </w:p>
    <w:p w:rsidR="00FD3FA2" w:rsidRDefault="00FD3FA2" w:rsidP="00FD3FA2">
      <w:pPr>
        <w:spacing w:line="360" w:lineRule="auto"/>
        <w:jc w:val="both"/>
        <w:rPr>
          <w:lang w:val="nl-BE"/>
        </w:rPr>
      </w:pPr>
    </w:p>
    <w:p w:rsidR="007A2E27" w:rsidRDefault="007A2E27" w:rsidP="00FD3FA2">
      <w:pPr>
        <w:spacing w:line="360" w:lineRule="auto"/>
        <w:jc w:val="both"/>
        <w:rPr>
          <w:lang w:val="nl-BE"/>
        </w:rPr>
      </w:pPr>
    </w:p>
    <w:p w:rsidR="00682681" w:rsidRDefault="008762BB" w:rsidP="005134AD">
      <w:pPr>
        <w:pStyle w:val="Kop2"/>
        <w:numPr>
          <w:ilvl w:val="1"/>
          <w:numId w:val="1"/>
        </w:numPr>
      </w:pPr>
      <w:bookmarkStart w:id="1" w:name="_Toc287994224"/>
      <w:r w:rsidRPr="004D710F">
        <w:t>Situatie voor de wet van 28 mei 2002</w:t>
      </w:r>
      <w:bookmarkEnd w:id="1"/>
    </w:p>
    <w:p w:rsidR="005134AD" w:rsidRPr="005134AD" w:rsidRDefault="005134AD" w:rsidP="005134AD">
      <w:pPr>
        <w:rPr>
          <w:lang w:val="nl-BE"/>
        </w:rPr>
      </w:pPr>
    </w:p>
    <w:p w:rsidR="000F39CC" w:rsidRDefault="00682681" w:rsidP="00FD3FA2">
      <w:pPr>
        <w:spacing w:line="360" w:lineRule="auto"/>
        <w:jc w:val="both"/>
        <w:rPr>
          <w:lang w:val="nl-BE"/>
        </w:rPr>
      </w:pPr>
      <w:r w:rsidRPr="006E7662">
        <w:rPr>
          <w:lang w:val="nl-BE"/>
        </w:rPr>
        <w:t>Euthanasie is onder strikte voorwaarden toegelaten sinds de wet van 28 mei 2002 betreffende de euthanasie</w:t>
      </w:r>
      <w:r w:rsidRPr="006E7662">
        <w:rPr>
          <w:rStyle w:val="Voetnootmarkering"/>
          <w:lang w:val="nl-BE"/>
        </w:rPr>
        <w:footnoteReference w:id="1"/>
      </w:r>
      <w:r w:rsidRPr="006E7662">
        <w:rPr>
          <w:lang w:val="nl-BE"/>
        </w:rPr>
        <w:t>. Voordien was euthanasie verboden en strafbaar</w:t>
      </w:r>
      <w:r w:rsidR="004F4133">
        <w:rPr>
          <w:lang w:val="nl-BE"/>
        </w:rPr>
        <w:t xml:space="preserve"> op basis van artikel 393</w:t>
      </w:r>
      <w:r w:rsidR="00A0491E">
        <w:rPr>
          <w:lang w:val="nl-BE"/>
        </w:rPr>
        <w:t xml:space="preserve"> </w:t>
      </w:r>
      <w:proofErr w:type="spellStart"/>
      <w:r w:rsidR="00A0491E">
        <w:rPr>
          <w:lang w:val="nl-BE"/>
        </w:rPr>
        <w:t>Sw</w:t>
      </w:r>
      <w:proofErr w:type="spellEnd"/>
      <w:r w:rsidR="0029029E">
        <w:rPr>
          <w:lang w:val="nl-BE"/>
        </w:rPr>
        <w:t>.</w:t>
      </w:r>
      <w:r w:rsidR="004F4133">
        <w:rPr>
          <w:lang w:val="nl-BE"/>
        </w:rPr>
        <w:t xml:space="preserve"> (doodslag), art</w:t>
      </w:r>
      <w:r w:rsidR="0029029E">
        <w:rPr>
          <w:lang w:val="nl-BE"/>
        </w:rPr>
        <w:t xml:space="preserve">ikel 394 </w:t>
      </w:r>
      <w:proofErr w:type="spellStart"/>
      <w:r w:rsidR="0029029E">
        <w:rPr>
          <w:lang w:val="nl-BE"/>
        </w:rPr>
        <w:t>Sw</w:t>
      </w:r>
      <w:proofErr w:type="spellEnd"/>
      <w:r w:rsidR="0029029E">
        <w:rPr>
          <w:lang w:val="nl-BE"/>
        </w:rPr>
        <w:t>. (moord) of artikel 3</w:t>
      </w:r>
      <w:r w:rsidR="004F4133">
        <w:rPr>
          <w:lang w:val="nl-BE"/>
        </w:rPr>
        <w:t xml:space="preserve">97 </w:t>
      </w:r>
      <w:proofErr w:type="spellStart"/>
      <w:r w:rsidR="004F4133">
        <w:rPr>
          <w:lang w:val="nl-BE"/>
        </w:rPr>
        <w:t>Sw</w:t>
      </w:r>
      <w:proofErr w:type="spellEnd"/>
      <w:r w:rsidR="0029029E">
        <w:rPr>
          <w:lang w:val="nl-BE"/>
        </w:rPr>
        <w:t>.</w:t>
      </w:r>
      <w:r w:rsidR="004F4133">
        <w:rPr>
          <w:lang w:val="nl-BE"/>
        </w:rPr>
        <w:t xml:space="preserve"> (vergiftiging).</w:t>
      </w:r>
      <w:r w:rsidR="00A0491E">
        <w:rPr>
          <w:rStyle w:val="Voetnootmarkering"/>
          <w:lang w:val="nl-BE"/>
        </w:rPr>
        <w:footnoteReference w:id="2"/>
      </w:r>
      <w:r w:rsidRPr="006E7662">
        <w:rPr>
          <w:lang w:val="nl-BE"/>
        </w:rPr>
        <w:t xml:space="preserve"> Een dokter die euthanasie uitvoerde zou enkel niet-strafbaar zijn indien hij zich bij vervolging kon beroepen op de noodtoestand</w:t>
      </w:r>
      <w:r w:rsidR="0029029E">
        <w:rPr>
          <w:rStyle w:val="Voetnootmarkering"/>
          <w:lang w:val="nl-BE"/>
        </w:rPr>
        <w:footnoteReference w:id="3"/>
      </w:r>
      <w:r w:rsidRPr="006E7662">
        <w:rPr>
          <w:lang w:val="nl-BE"/>
        </w:rPr>
        <w:t>. Precedenten hieromtrent zijn er echter niet.</w:t>
      </w:r>
      <w:r w:rsidR="00470955">
        <w:rPr>
          <w:rStyle w:val="Voetnootmarkering"/>
          <w:lang w:val="nl-BE"/>
        </w:rPr>
        <w:footnoteReference w:id="4"/>
      </w:r>
    </w:p>
    <w:p w:rsidR="005134AD" w:rsidRDefault="005134AD" w:rsidP="00E76ECC">
      <w:pPr>
        <w:jc w:val="both"/>
        <w:rPr>
          <w:lang w:val="nl-BE"/>
        </w:rPr>
      </w:pPr>
    </w:p>
    <w:p w:rsidR="005134AD" w:rsidRDefault="005134AD" w:rsidP="00E76ECC">
      <w:pPr>
        <w:jc w:val="both"/>
        <w:rPr>
          <w:lang w:val="nl-BE"/>
        </w:rPr>
      </w:pPr>
    </w:p>
    <w:p w:rsidR="00345C94" w:rsidRDefault="004F4303" w:rsidP="000F39CC">
      <w:pPr>
        <w:pStyle w:val="Kop2"/>
      </w:pPr>
      <w:bookmarkStart w:id="3" w:name="_Toc287994225"/>
      <w:r>
        <w:t>1.2 De totstandkoming van de e</w:t>
      </w:r>
      <w:r w:rsidR="00345C94">
        <w:t>uthanasiewet</w:t>
      </w:r>
      <w:bookmarkEnd w:id="3"/>
    </w:p>
    <w:p w:rsidR="00345C94" w:rsidRDefault="00345C94" w:rsidP="00FD3FA2">
      <w:pPr>
        <w:spacing w:line="360" w:lineRule="auto"/>
        <w:jc w:val="both"/>
        <w:rPr>
          <w:lang w:val="nl-BE"/>
        </w:rPr>
      </w:pPr>
    </w:p>
    <w:p w:rsidR="007C6E1E" w:rsidRDefault="004F4303" w:rsidP="007C6E1E">
      <w:pPr>
        <w:spacing w:line="360" w:lineRule="auto"/>
        <w:jc w:val="both"/>
        <w:rPr>
          <w:lang w:val="nl-BE"/>
        </w:rPr>
      </w:pPr>
      <w:r>
        <w:rPr>
          <w:lang w:val="nl-BE"/>
        </w:rPr>
        <w:t>De totstandkoming van de e</w:t>
      </w:r>
      <w:r w:rsidR="00682681">
        <w:rPr>
          <w:lang w:val="nl-BE"/>
        </w:rPr>
        <w:t>uthanasiewet</w:t>
      </w:r>
      <w:r w:rsidR="00682681" w:rsidRPr="006E7662">
        <w:rPr>
          <w:lang w:val="nl-BE"/>
        </w:rPr>
        <w:t xml:space="preserve"> </w:t>
      </w:r>
      <w:r w:rsidR="00830086">
        <w:rPr>
          <w:lang w:val="nl-BE"/>
        </w:rPr>
        <w:t>was een moeilijk proces</w:t>
      </w:r>
      <w:r w:rsidR="00682681" w:rsidRPr="006E7662">
        <w:rPr>
          <w:lang w:val="nl-BE"/>
        </w:rPr>
        <w:t xml:space="preserve">. Er bestaan </w:t>
      </w:r>
      <w:r w:rsidR="00345C94">
        <w:rPr>
          <w:lang w:val="nl-BE"/>
        </w:rPr>
        <w:t xml:space="preserve">immers </w:t>
      </w:r>
      <w:r w:rsidR="00682681" w:rsidRPr="006E7662">
        <w:rPr>
          <w:lang w:val="nl-BE"/>
        </w:rPr>
        <w:t>verschillende visies op euthanasie. Dit wordt bijvoorbeeld weerspiegeld in de adviezen van het raadgevend comité voor bio-ethiek</w:t>
      </w:r>
      <w:r w:rsidR="00A8671E">
        <w:rPr>
          <w:lang w:val="nl-BE"/>
        </w:rPr>
        <w:t>.</w:t>
      </w:r>
      <w:r w:rsidR="00345C94">
        <w:rPr>
          <w:rStyle w:val="Voetnootmarkering"/>
          <w:lang w:val="nl-BE"/>
        </w:rPr>
        <w:footnoteReference w:id="5"/>
      </w:r>
      <w:r w:rsidR="00682681" w:rsidRPr="006E7662">
        <w:rPr>
          <w:lang w:val="nl-BE"/>
        </w:rPr>
        <w:t xml:space="preserve"> Bovendien werden reeds in de jaren 80’ en 90’ voorstellen voor een wettelijke regeling ingediend zonder resultaat. Ook de parlementaire voorbereiding van de wet van 28 mei 2002 geeft de gevoeligheid van het thema aan. Zo was er</w:t>
      </w:r>
      <w:r w:rsidR="00345C94">
        <w:rPr>
          <w:lang w:val="nl-BE"/>
        </w:rPr>
        <w:t>, zoals verder nog besproken zal worden,</w:t>
      </w:r>
      <w:r w:rsidR="00682681" w:rsidRPr="006E7662">
        <w:rPr>
          <w:lang w:val="nl-BE"/>
        </w:rPr>
        <w:t xml:space="preserve"> onder meer geen compromis over een uitbreiding van de verschillende euthanasievoorstellen tot minderjarigen. Toch verliep de totstandkoming redelijk vlot, gezien het </w:t>
      </w:r>
      <w:r w:rsidR="00345C94">
        <w:rPr>
          <w:lang w:val="nl-BE"/>
        </w:rPr>
        <w:t xml:space="preserve">concrete </w:t>
      </w:r>
      <w:r w:rsidR="00682681" w:rsidRPr="006E7662">
        <w:rPr>
          <w:lang w:val="nl-BE"/>
        </w:rPr>
        <w:t>wetgevingsproces pas in 1999 aanvang nam</w:t>
      </w:r>
      <w:r w:rsidR="00057DDC">
        <w:rPr>
          <w:rStyle w:val="Voetnootmarkering"/>
          <w:lang w:val="nl-BE"/>
        </w:rPr>
        <w:footnoteReference w:id="6"/>
      </w:r>
      <w:r w:rsidR="00682681" w:rsidRPr="006E7662">
        <w:rPr>
          <w:lang w:val="nl-BE"/>
        </w:rPr>
        <w:t xml:space="preserve">. Dit is vooral </w:t>
      </w:r>
      <w:r w:rsidR="00682681" w:rsidRPr="006E7662">
        <w:rPr>
          <w:lang w:val="nl-BE"/>
        </w:rPr>
        <w:lastRenderedPageBreak/>
        <w:t>bijzonder gelet op de afwezigheid van enige vervolging door het openbaar ministerie, waardoor er niet echt precedenten waren in België</w:t>
      </w:r>
      <w:r w:rsidR="00682681">
        <w:rPr>
          <w:lang w:val="nl-BE"/>
        </w:rPr>
        <w:t xml:space="preserve"> waarop men kon voort</w:t>
      </w:r>
      <w:r w:rsidR="00682681" w:rsidRPr="006E7662">
        <w:rPr>
          <w:lang w:val="nl-BE"/>
        </w:rPr>
        <w:t>bouwen</w:t>
      </w:r>
      <w:r w:rsidR="00A8671E">
        <w:rPr>
          <w:lang w:val="nl-BE"/>
        </w:rPr>
        <w:t>.</w:t>
      </w:r>
      <w:r w:rsidR="00345C94">
        <w:rPr>
          <w:rStyle w:val="Voetnootmarkering"/>
          <w:lang w:val="nl-BE"/>
        </w:rPr>
        <w:footnoteReference w:id="7"/>
      </w:r>
    </w:p>
    <w:p w:rsidR="000F39CC" w:rsidRDefault="000F39CC" w:rsidP="00E76ECC">
      <w:pPr>
        <w:jc w:val="both"/>
        <w:rPr>
          <w:lang w:val="nl-BE"/>
        </w:rPr>
      </w:pPr>
    </w:p>
    <w:p w:rsidR="005134AD" w:rsidRDefault="005134AD" w:rsidP="00E76ECC">
      <w:pPr>
        <w:jc w:val="both"/>
        <w:rPr>
          <w:lang w:val="nl-BE"/>
        </w:rPr>
      </w:pPr>
    </w:p>
    <w:p w:rsidR="00345C94" w:rsidRDefault="00345C94" w:rsidP="000F39CC">
      <w:pPr>
        <w:pStyle w:val="Kop2"/>
      </w:pPr>
      <w:bookmarkStart w:id="4" w:name="_Toc287994226"/>
      <w:r>
        <w:t>1.3 Euthanasie?</w:t>
      </w:r>
      <w:bookmarkEnd w:id="4"/>
    </w:p>
    <w:p w:rsidR="004D710F" w:rsidRDefault="004D710F" w:rsidP="007C6E1E">
      <w:pPr>
        <w:spacing w:line="360" w:lineRule="auto"/>
        <w:jc w:val="both"/>
        <w:rPr>
          <w:lang w:val="nl-BE"/>
        </w:rPr>
      </w:pPr>
    </w:p>
    <w:p w:rsidR="007C6E1E" w:rsidRDefault="004F4303" w:rsidP="00FD3FA2">
      <w:pPr>
        <w:spacing w:line="360" w:lineRule="auto"/>
        <w:jc w:val="both"/>
        <w:rPr>
          <w:lang w:val="nl-BE"/>
        </w:rPr>
      </w:pPr>
      <w:r>
        <w:rPr>
          <w:lang w:val="nl-BE"/>
        </w:rPr>
        <w:t>Euthanasie wordt in de e</w:t>
      </w:r>
      <w:r w:rsidR="007C6E1E" w:rsidRPr="006E7662">
        <w:rPr>
          <w:lang w:val="nl-BE"/>
        </w:rPr>
        <w:t>uthanasiewet in art</w:t>
      </w:r>
      <w:r w:rsidR="005E2768">
        <w:rPr>
          <w:lang w:val="nl-BE"/>
        </w:rPr>
        <w:t>ikel</w:t>
      </w:r>
      <w:r w:rsidR="007C6E1E" w:rsidRPr="006E7662">
        <w:rPr>
          <w:lang w:val="nl-BE"/>
        </w:rPr>
        <w:t xml:space="preserve"> 2 omschreven als een ‘opzettelijk levensbeëindigend handelen door een andere dan de betrokkene, op diens verzoek’. </w:t>
      </w:r>
      <w:r w:rsidR="00682681">
        <w:rPr>
          <w:lang w:val="nl-BE"/>
        </w:rPr>
        <w:t>Hiermee werd</w:t>
      </w:r>
      <w:r w:rsidR="007C6E1E">
        <w:rPr>
          <w:lang w:val="nl-BE"/>
        </w:rPr>
        <w:t xml:space="preserve"> letterlijk de definitie overgenomen die gegeven werd door het </w:t>
      </w:r>
      <w:r w:rsidR="00682681">
        <w:rPr>
          <w:lang w:val="nl-BE"/>
        </w:rPr>
        <w:t xml:space="preserve">raadgevend comité voor de bio-ethiek in het </w:t>
      </w:r>
      <w:r w:rsidR="007C6E1E">
        <w:rPr>
          <w:lang w:val="nl-BE"/>
        </w:rPr>
        <w:t>advies nr. 1 van 12 mei 1997 betreffende de wenselijkheid van een wettelijke regeling van euthanasie</w:t>
      </w:r>
      <w:r w:rsidR="00830086">
        <w:rPr>
          <w:rStyle w:val="Voetnootmarkering"/>
          <w:lang w:val="nl-BE"/>
        </w:rPr>
        <w:footnoteReference w:id="8"/>
      </w:r>
      <w:r w:rsidR="00682681">
        <w:rPr>
          <w:lang w:val="nl-BE"/>
        </w:rPr>
        <w:t>.</w:t>
      </w:r>
      <w:r w:rsidR="007C6E1E">
        <w:rPr>
          <w:lang w:val="nl-BE"/>
        </w:rPr>
        <w:t xml:space="preserve"> </w:t>
      </w:r>
      <w:r w:rsidR="007C6E1E" w:rsidRPr="006E7662">
        <w:rPr>
          <w:lang w:val="nl-BE"/>
        </w:rPr>
        <w:t xml:space="preserve">Enkel </w:t>
      </w:r>
      <w:r w:rsidR="00682681">
        <w:rPr>
          <w:lang w:val="nl-BE"/>
        </w:rPr>
        <w:t>e</w:t>
      </w:r>
      <w:r w:rsidR="007C6E1E" w:rsidRPr="006E7662">
        <w:rPr>
          <w:lang w:val="nl-BE"/>
        </w:rPr>
        <w:t>en arts kan euthanasie uitvoeren</w:t>
      </w:r>
      <w:r w:rsidR="00345C94">
        <w:rPr>
          <w:lang w:val="nl-BE"/>
        </w:rPr>
        <w:t xml:space="preserve"> zonder</w:t>
      </w:r>
      <w:r w:rsidR="00A0491E">
        <w:rPr>
          <w:lang w:val="nl-BE"/>
        </w:rPr>
        <w:t xml:space="preserve"> strafbaar </w:t>
      </w:r>
      <w:r w:rsidR="00345C94">
        <w:rPr>
          <w:lang w:val="nl-BE"/>
        </w:rPr>
        <w:t xml:space="preserve">te </w:t>
      </w:r>
      <w:r w:rsidR="00A0491E">
        <w:rPr>
          <w:lang w:val="nl-BE"/>
        </w:rPr>
        <w:t>zijn</w:t>
      </w:r>
      <w:r w:rsidR="00A8671E">
        <w:rPr>
          <w:lang w:val="nl-BE"/>
        </w:rPr>
        <w:t>.</w:t>
      </w:r>
      <w:r w:rsidR="00A0491E">
        <w:rPr>
          <w:rStyle w:val="Voetnootmarkering"/>
          <w:lang w:val="nl-BE"/>
        </w:rPr>
        <w:footnoteReference w:id="9"/>
      </w:r>
      <w:r w:rsidR="007C6E1E" w:rsidRPr="006E7662">
        <w:rPr>
          <w:lang w:val="nl-BE"/>
        </w:rPr>
        <w:t xml:space="preserve"> Het uitgangsp</w:t>
      </w:r>
      <w:r w:rsidR="00A8671E">
        <w:rPr>
          <w:lang w:val="nl-BE"/>
        </w:rPr>
        <w:t>unt hierbij is dat hij strafrechtelijk aansprakelijk</w:t>
      </w:r>
      <w:r w:rsidR="007C6E1E" w:rsidRPr="006E7662">
        <w:rPr>
          <w:lang w:val="nl-BE"/>
        </w:rPr>
        <w:t xml:space="preserve"> blijft tenzij hij alle in de wet opgesomde voorwaarden vervuld heeft</w:t>
      </w:r>
      <w:r w:rsidR="00057DDC">
        <w:rPr>
          <w:lang w:val="nl-BE"/>
        </w:rPr>
        <w:t>.</w:t>
      </w:r>
      <w:r w:rsidR="00A8671E">
        <w:rPr>
          <w:rStyle w:val="Voetnootmarkering"/>
          <w:lang w:val="nl-BE"/>
        </w:rPr>
        <w:footnoteReference w:id="10"/>
      </w:r>
      <w:r w:rsidR="007C6E1E" w:rsidRPr="006E7662">
        <w:rPr>
          <w:lang w:val="nl-BE"/>
        </w:rPr>
        <w:t xml:space="preserve"> Er zijn twee soorten procedures. Enerzijds </w:t>
      </w:r>
      <w:r w:rsidR="00A8671E">
        <w:rPr>
          <w:lang w:val="nl-BE"/>
        </w:rPr>
        <w:t>een actuele procedure</w:t>
      </w:r>
      <w:r w:rsidR="00A8671E">
        <w:rPr>
          <w:rStyle w:val="Voetnootmarkering"/>
          <w:lang w:val="nl-BE"/>
        </w:rPr>
        <w:footnoteReference w:id="11"/>
      </w:r>
      <w:r w:rsidR="00A8671E">
        <w:rPr>
          <w:lang w:val="nl-BE"/>
        </w:rPr>
        <w:t xml:space="preserve"> en anderzijds </w:t>
      </w:r>
      <w:r w:rsidR="007C6E1E" w:rsidRPr="006E7662">
        <w:rPr>
          <w:lang w:val="nl-BE"/>
        </w:rPr>
        <w:t>een voorafgaande procedure</w:t>
      </w:r>
      <w:r w:rsidR="00A8671E">
        <w:rPr>
          <w:rStyle w:val="Voetnootmarkering"/>
          <w:lang w:val="nl-BE"/>
        </w:rPr>
        <w:footnoteReference w:id="12"/>
      </w:r>
      <w:r w:rsidR="007C6E1E" w:rsidRPr="006E7662">
        <w:rPr>
          <w:lang w:val="nl-BE"/>
        </w:rPr>
        <w:t xml:space="preserve"> waarbij men een wilsverklaring aflegt voor het geval men niet meer bewust zou zijn op het ogenblik dat euthanasie wenselijk is.</w:t>
      </w:r>
    </w:p>
    <w:p w:rsidR="00FD3FA2" w:rsidRDefault="00FD3FA2" w:rsidP="00FD3FA2">
      <w:pPr>
        <w:spacing w:line="360" w:lineRule="auto"/>
        <w:jc w:val="both"/>
        <w:rPr>
          <w:lang w:val="nl-BE"/>
        </w:rPr>
      </w:pPr>
    </w:p>
    <w:p w:rsidR="000F39CC" w:rsidRDefault="000F39CC" w:rsidP="00FD3FA2">
      <w:pPr>
        <w:spacing w:line="360" w:lineRule="auto"/>
        <w:jc w:val="both"/>
        <w:rPr>
          <w:lang w:val="nl-BE"/>
        </w:rPr>
      </w:pPr>
    </w:p>
    <w:p w:rsidR="00057DDC" w:rsidRDefault="00057DDC" w:rsidP="00FD3FA2">
      <w:pPr>
        <w:spacing w:line="360" w:lineRule="auto"/>
        <w:jc w:val="both"/>
        <w:rPr>
          <w:lang w:val="nl-BE"/>
        </w:rPr>
      </w:pPr>
    </w:p>
    <w:p w:rsidR="00057DDC" w:rsidRDefault="00057DDC" w:rsidP="00FD3FA2">
      <w:pPr>
        <w:spacing w:line="360" w:lineRule="auto"/>
        <w:jc w:val="both"/>
        <w:rPr>
          <w:lang w:val="nl-BE"/>
        </w:rPr>
      </w:pPr>
    </w:p>
    <w:p w:rsidR="00057DDC" w:rsidRDefault="00057DDC" w:rsidP="00FD3FA2">
      <w:pPr>
        <w:spacing w:line="360" w:lineRule="auto"/>
        <w:jc w:val="both"/>
        <w:rPr>
          <w:lang w:val="nl-BE"/>
        </w:rPr>
      </w:pPr>
    </w:p>
    <w:p w:rsidR="00057DDC" w:rsidRDefault="00057DDC" w:rsidP="00FD3FA2">
      <w:pPr>
        <w:spacing w:line="360" w:lineRule="auto"/>
        <w:jc w:val="both"/>
        <w:rPr>
          <w:lang w:val="nl-BE"/>
        </w:rPr>
      </w:pPr>
    </w:p>
    <w:p w:rsidR="00057DDC" w:rsidRDefault="00057DDC" w:rsidP="00FD3FA2">
      <w:pPr>
        <w:spacing w:line="360" w:lineRule="auto"/>
        <w:jc w:val="both"/>
        <w:rPr>
          <w:lang w:val="nl-BE"/>
        </w:rPr>
      </w:pPr>
    </w:p>
    <w:p w:rsidR="00057DDC" w:rsidRDefault="00057DDC" w:rsidP="00FD3FA2">
      <w:pPr>
        <w:spacing w:line="360" w:lineRule="auto"/>
        <w:jc w:val="both"/>
        <w:rPr>
          <w:lang w:val="nl-BE"/>
        </w:rPr>
      </w:pPr>
    </w:p>
    <w:p w:rsidR="00057DDC" w:rsidRDefault="00057DDC" w:rsidP="00FD3FA2">
      <w:pPr>
        <w:spacing w:line="360" w:lineRule="auto"/>
        <w:jc w:val="both"/>
        <w:rPr>
          <w:lang w:val="nl-BE"/>
        </w:rPr>
      </w:pPr>
    </w:p>
    <w:p w:rsidR="00057DDC" w:rsidRDefault="00057DDC" w:rsidP="00FD3FA2">
      <w:pPr>
        <w:spacing w:line="360" w:lineRule="auto"/>
        <w:jc w:val="both"/>
        <w:rPr>
          <w:lang w:val="nl-BE"/>
        </w:rPr>
      </w:pPr>
    </w:p>
    <w:p w:rsidR="00057DDC" w:rsidRDefault="00057DDC" w:rsidP="00FD3FA2">
      <w:pPr>
        <w:spacing w:line="360" w:lineRule="auto"/>
        <w:jc w:val="both"/>
        <w:rPr>
          <w:lang w:val="nl-BE"/>
        </w:rPr>
      </w:pPr>
    </w:p>
    <w:p w:rsidR="00057DDC" w:rsidRPr="006E7662" w:rsidRDefault="00057DDC" w:rsidP="00FD3FA2">
      <w:pPr>
        <w:spacing w:line="360" w:lineRule="auto"/>
        <w:jc w:val="both"/>
        <w:rPr>
          <w:lang w:val="nl-BE"/>
        </w:rPr>
      </w:pPr>
    </w:p>
    <w:p w:rsidR="00FD3FA2" w:rsidRPr="006E7662" w:rsidRDefault="00FD3FA2" w:rsidP="004F4303">
      <w:pPr>
        <w:pStyle w:val="Kop1"/>
        <w:numPr>
          <w:ilvl w:val="0"/>
          <w:numId w:val="3"/>
        </w:numPr>
        <w:pBdr>
          <w:top w:val="single" w:sz="4" w:space="1" w:color="auto"/>
          <w:left w:val="single" w:sz="4" w:space="4" w:color="auto"/>
          <w:bottom w:val="single" w:sz="4" w:space="1" w:color="auto"/>
          <w:right w:val="single" w:sz="4" w:space="4" w:color="auto"/>
        </w:pBdr>
        <w:spacing w:line="240" w:lineRule="auto"/>
        <w:jc w:val="center"/>
      </w:pPr>
      <w:bookmarkStart w:id="5" w:name="_Toc287994227"/>
      <w:r w:rsidRPr="006E7662">
        <w:lastRenderedPageBreak/>
        <w:t>EUTHANASIE BIJ MINDERJARIGEN</w:t>
      </w:r>
      <w:bookmarkEnd w:id="5"/>
    </w:p>
    <w:p w:rsidR="00FD3FA2" w:rsidRDefault="00FD3FA2" w:rsidP="00E76ECC">
      <w:pPr>
        <w:jc w:val="both"/>
        <w:rPr>
          <w:lang w:val="nl-BE"/>
        </w:rPr>
      </w:pPr>
    </w:p>
    <w:p w:rsidR="007A2E27" w:rsidRPr="006E7662" w:rsidRDefault="007A2E27" w:rsidP="00E76ECC">
      <w:pPr>
        <w:jc w:val="both"/>
        <w:rPr>
          <w:lang w:val="nl-BE"/>
        </w:rPr>
      </w:pPr>
    </w:p>
    <w:p w:rsidR="00EC7F8D" w:rsidRPr="006E7662" w:rsidRDefault="00FD3FA2" w:rsidP="005134AD">
      <w:pPr>
        <w:pStyle w:val="Kop2"/>
      </w:pPr>
      <w:bookmarkStart w:id="6" w:name="_Toc287994228"/>
      <w:r w:rsidRPr="006E7662">
        <w:t>2.1 Afwezigheid wettelijke regeling</w:t>
      </w:r>
      <w:bookmarkEnd w:id="6"/>
    </w:p>
    <w:p w:rsidR="00402E2D" w:rsidRDefault="00FD3FA2" w:rsidP="00E76ECC">
      <w:pPr>
        <w:pStyle w:val="Kop3"/>
        <w:spacing w:line="240" w:lineRule="auto"/>
      </w:pPr>
      <w:r w:rsidRPr="004D710F">
        <w:tab/>
      </w:r>
      <w:bookmarkStart w:id="7" w:name="_Toc287994229"/>
    </w:p>
    <w:p w:rsidR="00FD3FA2" w:rsidRPr="004D710F" w:rsidRDefault="00FD3FA2" w:rsidP="00402E2D">
      <w:pPr>
        <w:pStyle w:val="Kop3"/>
        <w:ind w:firstLine="708"/>
      </w:pPr>
      <w:r w:rsidRPr="004D710F">
        <w:t>2.1.1 Oorzaak</w:t>
      </w:r>
      <w:bookmarkEnd w:id="7"/>
      <w:r w:rsidRPr="004D710F">
        <w:t xml:space="preserve"> </w:t>
      </w:r>
    </w:p>
    <w:p w:rsidR="00EC7F8D" w:rsidRPr="006E7662" w:rsidRDefault="00EC7F8D" w:rsidP="00CC66D1">
      <w:pPr>
        <w:spacing w:line="360" w:lineRule="auto"/>
        <w:jc w:val="both"/>
        <w:rPr>
          <w:lang w:val="nl-BE"/>
        </w:rPr>
      </w:pPr>
    </w:p>
    <w:p w:rsidR="00CC66D1" w:rsidRDefault="00057DDC" w:rsidP="005134AD">
      <w:pPr>
        <w:autoSpaceDE w:val="0"/>
        <w:autoSpaceDN w:val="0"/>
        <w:adjustRightInd w:val="0"/>
        <w:spacing w:line="360" w:lineRule="auto"/>
        <w:jc w:val="both"/>
        <w:rPr>
          <w:lang w:val="nl-BE"/>
        </w:rPr>
      </w:pPr>
      <w:r>
        <w:rPr>
          <w:lang w:val="nl-BE"/>
        </w:rPr>
        <w:t>Bij de wet van 28</w:t>
      </w:r>
      <w:r w:rsidR="00EC7F8D" w:rsidRPr="006E7662">
        <w:rPr>
          <w:lang w:val="nl-BE"/>
        </w:rPr>
        <w:t xml:space="preserve"> mei 200</w:t>
      </w:r>
      <w:r>
        <w:rPr>
          <w:lang w:val="nl-BE"/>
        </w:rPr>
        <w:t>2</w:t>
      </w:r>
      <w:r w:rsidR="00EC7F8D" w:rsidRPr="006E7662">
        <w:rPr>
          <w:lang w:val="nl-BE"/>
        </w:rPr>
        <w:t xml:space="preserve"> werden (niet-ontvoogde) minderjarigen van het</w:t>
      </w:r>
      <w:r w:rsidR="00EC52BB">
        <w:rPr>
          <w:lang w:val="nl-BE"/>
        </w:rPr>
        <w:t xml:space="preserve"> </w:t>
      </w:r>
      <w:r w:rsidR="00075D46" w:rsidRPr="006E7662">
        <w:rPr>
          <w:lang w:val="nl-BE"/>
        </w:rPr>
        <w:t>toepassingsgebied uitgeslot</w:t>
      </w:r>
      <w:r w:rsidR="00CC66D1">
        <w:rPr>
          <w:lang w:val="nl-BE"/>
        </w:rPr>
        <w:t>en</w:t>
      </w:r>
      <w:r>
        <w:rPr>
          <w:lang w:val="nl-BE"/>
        </w:rPr>
        <w:t>.</w:t>
      </w:r>
      <w:r w:rsidR="00075D46" w:rsidRPr="006E7662">
        <w:rPr>
          <w:rStyle w:val="Voetnootmarkering"/>
          <w:lang w:val="nl-BE"/>
        </w:rPr>
        <w:footnoteReference w:id="13"/>
      </w:r>
      <w:r>
        <w:rPr>
          <w:lang w:val="nl-BE"/>
        </w:rPr>
        <w:t xml:space="preserve"> </w:t>
      </w:r>
      <w:r w:rsidR="00EC7F8D" w:rsidRPr="006E7662">
        <w:rPr>
          <w:lang w:val="nl-BE"/>
        </w:rPr>
        <w:t>Ver</w:t>
      </w:r>
      <w:r w:rsidR="00EC52BB">
        <w:rPr>
          <w:lang w:val="nl-BE"/>
        </w:rPr>
        <w:t xml:space="preserve">schillende amendementen die het </w:t>
      </w:r>
      <w:r w:rsidR="00EC7F8D" w:rsidRPr="00A724F7">
        <w:rPr>
          <w:lang w:val="nl-BE"/>
        </w:rPr>
        <w:t>toepassingsgebied wilden verruimen tot dez</w:t>
      </w:r>
      <w:r w:rsidR="00EC52BB">
        <w:rPr>
          <w:lang w:val="nl-BE"/>
        </w:rPr>
        <w:t xml:space="preserve">e categorie van personen werden </w:t>
      </w:r>
      <w:r w:rsidR="00EC7F8D" w:rsidRPr="00A724F7">
        <w:rPr>
          <w:lang w:val="nl-BE"/>
        </w:rPr>
        <w:t>afgewezen</w:t>
      </w:r>
      <w:r>
        <w:rPr>
          <w:lang w:val="nl-BE"/>
        </w:rPr>
        <w:t>.</w:t>
      </w:r>
      <w:r w:rsidR="000D7B2A" w:rsidRPr="00A724F7">
        <w:rPr>
          <w:rStyle w:val="Voetnootmarkering"/>
          <w:lang w:val="nl-BE"/>
        </w:rPr>
        <w:footnoteReference w:id="14"/>
      </w:r>
      <w:r>
        <w:rPr>
          <w:lang w:val="nl-BE"/>
        </w:rPr>
        <w:t xml:space="preserve"> </w:t>
      </w:r>
      <w:r w:rsidR="00A724F7" w:rsidRPr="00A724F7">
        <w:rPr>
          <w:lang w:val="nl-BE" w:eastAsia="ja-JP"/>
        </w:rPr>
        <w:t>Evenmin werd rekening</w:t>
      </w:r>
      <w:r w:rsidR="00EC52BB">
        <w:rPr>
          <w:lang w:val="nl-BE" w:eastAsia="ja-JP"/>
        </w:rPr>
        <w:t xml:space="preserve"> gehouden met het advies van de </w:t>
      </w:r>
      <w:r w:rsidR="00A724F7" w:rsidRPr="00A724F7">
        <w:rPr>
          <w:lang w:val="nl-BE" w:eastAsia="ja-JP"/>
        </w:rPr>
        <w:t>Kamerco</w:t>
      </w:r>
      <w:r w:rsidR="00382966">
        <w:rPr>
          <w:lang w:val="nl-BE" w:eastAsia="ja-JP"/>
        </w:rPr>
        <w:t>mmissie voor Volksgezondheid dat</w:t>
      </w:r>
      <w:r w:rsidR="00A724F7" w:rsidRPr="00A724F7">
        <w:rPr>
          <w:lang w:val="nl-BE" w:eastAsia="ja-JP"/>
        </w:rPr>
        <w:t xml:space="preserve"> </w:t>
      </w:r>
      <w:r w:rsidR="00A724F7" w:rsidRPr="00A724F7">
        <w:rPr>
          <w:i/>
          <w:iCs/>
          <w:lang w:val="nl-BE" w:eastAsia="ja-JP"/>
        </w:rPr>
        <w:t>“zich vragen stelt over het onderscheid dat de tekst maakt</w:t>
      </w:r>
      <w:r w:rsidR="00A724F7" w:rsidRPr="00A724F7">
        <w:rPr>
          <w:lang w:val="nl-BE" w:eastAsia="ja-JP"/>
        </w:rPr>
        <w:t xml:space="preserve"> </w:t>
      </w:r>
      <w:r w:rsidR="00A724F7" w:rsidRPr="00A724F7">
        <w:rPr>
          <w:i/>
          <w:iCs/>
          <w:lang w:val="nl-BE" w:eastAsia="ja-JP"/>
        </w:rPr>
        <w:t>tussen meerderjarige en minderjarige patiënten die zich in</w:t>
      </w:r>
      <w:r w:rsidR="00A724F7" w:rsidRPr="00A724F7">
        <w:rPr>
          <w:lang w:val="nl-BE" w:eastAsia="ja-JP"/>
        </w:rPr>
        <w:t xml:space="preserve"> </w:t>
      </w:r>
      <w:r w:rsidR="00A724F7" w:rsidRPr="00A724F7">
        <w:rPr>
          <w:i/>
          <w:iCs/>
          <w:lang w:val="nl-BE" w:eastAsia="ja-JP"/>
        </w:rPr>
        <w:t>dezelfde terminale situatie zouden bevinden”</w:t>
      </w:r>
      <w:r w:rsidR="00CC5B66">
        <w:rPr>
          <w:rStyle w:val="Voetnootmarkering"/>
          <w:i/>
          <w:iCs/>
          <w:lang w:val="nl-BE" w:eastAsia="ja-JP"/>
        </w:rPr>
        <w:footnoteReference w:id="15"/>
      </w:r>
      <w:r w:rsidR="00CC5B66">
        <w:rPr>
          <w:lang w:val="nl-BE"/>
        </w:rPr>
        <w:t>. Ook</w:t>
      </w:r>
      <w:r w:rsidR="00CA17AC" w:rsidRPr="00A724F7">
        <w:rPr>
          <w:lang w:val="nl-BE"/>
        </w:rPr>
        <w:t xml:space="preserve"> het advies nr. 9 van 22 februari 1999 van het Raadgevend Comité voor Bio-ethiek</w:t>
      </w:r>
      <w:r w:rsidR="005751B1" w:rsidRPr="00A724F7">
        <w:rPr>
          <w:rStyle w:val="Voetnootmarkering"/>
          <w:lang w:val="nl-BE"/>
        </w:rPr>
        <w:footnoteReference w:id="16"/>
      </w:r>
      <w:r w:rsidR="00CA17AC" w:rsidRPr="00A724F7">
        <w:rPr>
          <w:lang w:val="nl-BE"/>
        </w:rPr>
        <w:t xml:space="preserve"> en het voorstel van de </w:t>
      </w:r>
      <w:r>
        <w:rPr>
          <w:lang w:val="nl-BE"/>
        </w:rPr>
        <w:t xml:space="preserve">Nationale </w:t>
      </w:r>
      <w:r w:rsidR="00CA17AC" w:rsidRPr="00A724F7">
        <w:rPr>
          <w:lang w:val="nl-BE"/>
        </w:rPr>
        <w:t>Raad van</w:t>
      </w:r>
      <w:r>
        <w:rPr>
          <w:lang w:val="nl-BE"/>
        </w:rPr>
        <w:t xml:space="preserve"> de Orde van</w:t>
      </w:r>
      <w:r w:rsidR="002B2429">
        <w:rPr>
          <w:lang w:val="nl-BE"/>
        </w:rPr>
        <w:t xml:space="preserve"> g</w:t>
      </w:r>
      <w:r w:rsidR="00CA17AC" w:rsidRPr="00A724F7">
        <w:rPr>
          <w:lang w:val="nl-BE"/>
        </w:rPr>
        <w:t>eneesheren</w:t>
      </w:r>
      <w:r w:rsidR="005751B1" w:rsidRPr="00A724F7">
        <w:rPr>
          <w:rStyle w:val="Voetnootmarkering"/>
          <w:lang w:val="nl-BE"/>
        </w:rPr>
        <w:footnoteReference w:id="17"/>
      </w:r>
      <w:r w:rsidR="002426EE">
        <w:rPr>
          <w:lang w:val="nl-BE"/>
        </w:rPr>
        <w:t xml:space="preserve">, </w:t>
      </w:r>
      <w:r w:rsidR="00CA17AC" w:rsidRPr="00A724F7">
        <w:rPr>
          <w:lang w:val="nl-BE"/>
        </w:rPr>
        <w:t>waarin telk</w:t>
      </w:r>
      <w:r w:rsidR="00CC5B66">
        <w:rPr>
          <w:lang w:val="nl-BE"/>
        </w:rPr>
        <w:t>ens e</w:t>
      </w:r>
      <w:r w:rsidR="00382966">
        <w:rPr>
          <w:lang w:val="nl-BE"/>
        </w:rPr>
        <w:t xml:space="preserve">en uitbreiding bepleit wordt, zijn niet weerhouden. De </w:t>
      </w:r>
      <w:r w:rsidR="00EC7F8D" w:rsidRPr="00A724F7">
        <w:rPr>
          <w:lang w:val="nl-BE"/>
        </w:rPr>
        <w:t xml:space="preserve">reden </w:t>
      </w:r>
      <w:r w:rsidR="00CC66D1">
        <w:rPr>
          <w:lang w:val="nl-BE"/>
        </w:rPr>
        <w:t>is de volgende: men weigerde</w:t>
      </w:r>
      <w:r w:rsidR="00EC7F8D" w:rsidRPr="006E7662">
        <w:rPr>
          <w:lang w:val="nl-BE"/>
        </w:rPr>
        <w:t xml:space="preserve"> de totstandkoming van een algemene r</w:t>
      </w:r>
      <w:r w:rsidR="00CC66D1">
        <w:rPr>
          <w:lang w:val="nl-BE"/>
        </w:rPr>
        <w:t>egeling voor meerderjarigen</w:t>
      </w:r>
      <w:r w:rsidR="00EC7F8D" w:rsidRPr="006E7662">
        <w:rPr>
          <w:lang w:val="nl-BE"/>
        </w:rPr>
        <w:t xml:space="preserve"> in </w:t>
      </w:r>
      <w:r w:rsidR="00CC66D1">
        <w:rPr>
          <w:lang w:val="nl-BE"/>
        </w:rPr>
        <w:t xml:space="preserve">het </w:t>
      </w:r>
      <w:r w:rsidR="00EC7F8D" w:rsidRPr="006E7662">
        <w:rPr>
          <w:lang w:val="nl-BE"/>
        </w:rPr>
        <w:t>gedra</w:t>
      </w:r>
      <w:r w:rsidR="00CC66D1">
        <w:rPr>
          <w:lang w:val="nl-BE"/>
        </w:rPr>
        <w:t xml:space="preserve">ng te </w:t>
      </w:r>
      <w:r w:rsidR="00EC7F8D" w:rsidRPr="006E7662">
        <w:rPr>
          <w:lang w:val="nl-BE"/>
        </w:rPr>
        <w:t xml:space="preserve">brengen. Aangezien een </w:t>
      </w:r>
      <w:r w:rsidR="00EC7F8D" w:rsidRPr="006E7662">
        <w:rPr>
          <w:lang w:val="nl-BE"/>
        </w:rPr>
        <w:lastRenderedPageBreak/>
        <w:t>regeling voor minderjarigen veel gevoeliger ligt wilde men voorkomen dat bij gebrek aan consensus hieromtrent het globale voorstel naar de prullenbak zou verdwijnen</w:t>
      </w:r>
      <w:r w:rsidR="00F24E1F">
        <w:rPr>
          <w:lang w:val="nl-BE"/>
        </w:rPr>
        <w:t>.</w:t>
      </w:r>
      <w:r w:rsidR="00EC7F8D" w:rsidRPr="006E7662">
        <w:rPr>
          <w:rStyle w:val="Voetnootmarkering"/>
          <w:lang w:val="nl-BE"/>
        </w:rPr>
        <w:footnoteReference w:id="18"/>
      </w:r>
      <w:r w:rsidR="00EC7F8D" w:rsidRPr="006E7662">
        <w:rPr>
          <w:lang w:val="nl-BE"/>
        </w:rPr>
        <w:t xml:space="preserve"> </w:t>
      </w:r>
    </w:p>
    <w:p w:rsidR="00E419E9" w:rsidRPr="006E7662" w:rsidRDefault="00E419E9" w:rsidP="00FD3FA2">
      <w:pPr>
        <w:spacing w:line="360" w:lineRule="auto"/>
        <w:jc w:val="both"/>
        <w:rPr>
          <w:lang w:val="nl-BE"/>
        </w:rPr>
      </w:pPr>
    </w:p>
    <w:p w:rsidR="00FD3FA2" w:rsidRPr="006E7662" w:rsidRDefault="00FD3FA2" w:rsidP="004D710F">
      <w:pPr>
        <w:pStyle w:val="Kop3"/>
      </w:pPr>
      <w:r w:rsidRPr="006E7662">
        <w:tab/>
      </w:r>
      <w:bookmarkStart w:id="8" w:name="_Toc287994230"/>
      <w:r w:rsidRPr="006E7662">
        <w:t xml:space="preserve">2.1.2 Voorstel </w:t>
      </w:r>
      <w:r w:rsidR="004F4303">
        <w:t xml:space="preserve">Raadgevend Comité </w:t>
      </w:r>
      <w:bookmarkEnd w:id="8"/>
      <w:r w:rsidR="004F4303">
        <w:t>voor Bio-ethiek</w:t>
      </w:r>
    </w:p>
    <w:p w:rsidR="00EC7F8D" w:rsidRPr="006E7662" w:rsidRDefault="00EC7F8D" w:rsidP="00FD3FA2">
      <w:pPr>
        <w:spacing w:line="360" w:lineRule="auto"/>
        <w:jc w:val="both"/>
        <w:rPr>
          <w:lang w:val="nl-BE"/>
        </w:rPr>
      </w:pPr>
    </w:p>
    <w:p w:rsidR="00EC7F8D" w:rsidRPr="006E7662" w:rsidRDefault="00EC7F8D" w:rsidP="00FD3FA2">
      <w:pPr>
        <w:spacing w:line="360" w:lineRule="auto"/>
        <w:jc w:val="both"/>
        <w:rPr>
          <w:lang w:val="nl-BE"/>
        </w:rPr>
      </w:pPr>
      <w:r w:rsidRPr="006E7662">
        <w:rPr>
          <w:lang w:val="nl-BE"/>
        </w:rPr>
        <w:t xml:space="preserve">Dat minderjarigen uitgesloten worden is tegenstrijdig met enkele opmerkingen in het advies nr. 9 van 22 februari 1999 van het Raadgevend Comité voor Bio-ethiek, betreffende het levensbeëindigend handelen bij </w:t>
      </w:r>
      <w:proofErr w:type="spellStart"/>
      <w:r w:rsidRPr="006E7662">
        <w:rPr>
          <w:lang w:val="nl-BE"/>
        </w:rPr>
        <w:t>wilsonbekwamen</w:t>
      </w:r>
      <w:proofErr w:type="spellEnd"/>
      <w:r w:rsidR="006E7662" w:rsidRPr="006E7662">
        <w:rPr>
          <w:rStyle w:val="Voetnootmarkering"/>
          <w:lang w:val="nl-BE"/>
        </w:rPr>
        <w:footnoteReference w:id="19"/>
      </w:r>
      <w:r w:rsidR="009215AA" w:rsidRPr="006E7662">
        <w:rPr>
          <w:lang w:val="nl-BE"/>
        </w:rPr>
        <w:t xml:space="preserve">. </w:t>
      </w:r>
      <w:r w:rsidR="00795377" w:rsidRPr="006E7662">
        <w:rPr>
          <w:lang w:val="nl-BE"/>
        </w:rPr>
        <w:t>Hieronder w</w:t>
      </w:r>
      <w:r w:rsidR="00F24E1F">
        <w:rPr>
          <w:lang w:val="nl-BE"/>
        </w:rPr>
        <w:t>orden zowel juridisch onbekwame personen</w:t>
      </w:r>
      <w:r w:rsidR="00795377" w:rsidRPr="006E7662">
        <w:rPr>
          <w:lang w:val="nl-BE"/>
        </w:rPr>
        <w:t xml:space="preserve"> (minderjarigen, verlengd minderjarigen) als juridisch bekwame maar feitelijk onbekwame personen (personen die door ziekte, ongeval of dementie niet meer in staat zijn om hun wil te uiten) gegroepeerd. </w:t>
      </w:r>
      <w:r w:rsidR="009215AA" w:rsidRPr="006E7662">
        <w:rPr>
          <w:lang w:val="nl-BE"/>
        </w:rPr>
        <w:t>Over de mogelijkheid van euthanasie voor d</w:t>
      </w:r>
      <w:r w:rsidR="006E7662" w:rsidRPr="006E7662">
        <w:rPr>
          <w:lang w:val="nl-BE"/>
        </w:rPr>
        <w:t>eze categorie</w:t>
      </w:r>
      <w:r w:rsidR="00CC66D1">
        <w:rPr>
          <w:lang w:val="nl-BE"/>
        </w:rPr>
        <w:t>ën</w:t>
      </w:r>
      <w:r w:rsidR="006E7662" w:rsidRPr="006E7662">
        <w:rPr>
          <w:lang w:val="nl-BE"/>
        </w:rPr>
        <w:t xml:space="preserve"> van personen zijn</w:t>
      </w:r>
      <w:r w:rsidR="009215AA" w:rsidRPr="006E7662">
        <w:rPr>
          <w:lang w:val="nl-BE"/>
        </w:rPr>
        <w:t xml:space="preserve"> de meningen in het comité verdeeld. </w:t>
      </w:r>
      <w:r w:rsidR="00795377" w:rsidRPr="006E7662">
        <w:rPr>
          <w:lang w:val="nl-BE"/>
        </w:rPr>
        <w:t>Sommige commissieleden zijn tegen dergelijke wettelijke regeling omdat ze ofwel absoluut tegen euthanasie in het algemeen zijn of omdat ze vinden dat de onmogelijkheid tot wilsuiting van de patiënt een grote kwetsbaarheid en afhankelijkheid van de arts meebrengt waardoor euthanasie onaanvaardbaar is en zij daarentegen beschermd moeten worden tegen elk levensbeëindigend handelen</w:t>
      </w:r>
      <w:r w:rsidR="00F24E1F">
        <w:rPr>
          <w:lang w:val="nl-BE"/>
        </w:rPr>
        <w:t>.</w:t>
      </w:r>
      <w:r w:rsidR="00CB2FE6">
        <w:rPr>
          <w:rStyle w:val="Voetnootmarkering"/>
          <w:lang w:val="nl-BE"/>
        </w:rPr>
        <w:footnoteReference w:id="20"/>
      </w:r>
      <w:r w:rsidR="00795377" w:rsidRPr="006E7662">
        <w:rPr>
          <w:lang w:val="nl-BE"/>
        </w:rPr>
        <w:t xml:space="preserve"> Andere commissieleden beschou</w:t>
      </w:r>
      <w:r w:rsidR="00382966">
        <w:rPr>
          <w:lang w:val="nl-BE"/>
        </w:rPr>
        <w:t xml:space="preserve">wen euthanasie als rechtmatig </w:t>
      </w:r>
      <w:r w:rsidR="00F24E1F">
        <w:rPr>
          <w:lang w:val="nl-BE"/>
        </w:rPr>
        <w:t xml:space="preserve">in </w:t>
      </w:r>
      <w:r w:rsidR="00382966">
        <w:rPr>
          <w:lang w:val="nl-BE"/>
        </w:rPr>
        <w:t>enkele</w:t>
      </w:r>
      <w:r w:rsidR="00795377" w:rsidRPr="006E7662">
        <w:rPr>
          <w:lang w:val="nl-BE"/>
        </w:rPr>
        <w:t xml:space="preserve"> gevallen en maken hierbij volgend dubbel onderscheid. Wanneer er een voorafgaande wilsuiting was en hierbij eventueel een ver</w:t>
      </w:r>
      <w:r w:rsidR="00F24E1F">
        <w:rPr>
          <w:lang w:val="nl-BE"/>
        </w:rPr>
        <w:t>trouwenspersoon aangewezen werd</w:t>
      </w:r>
      <w:r w:rsidR="00795377" w:rsidRPr="006E7662">
        <w:rPr>
          <w:lang w:val="nl-BE"/>
        </w:rPr>
        <w:t>, moet hiermee rekening gehouden worden en m</w:t>
      </w:r>
      <w:r w:rsidR="00F24E1F">
        <w:rPr>
          <w:lang w:val="nl-BE"/>
        </w:rPr>
        <w:t>oet euthanasie toegelaten zijn</w:t>
      </w:r>
      <w:r w:rsidR="00795377" w:rsidRPr="006E7662">
        <w:rPr>
          <w:lang w:val="nl-BE"/>
        </w:rPr>
        <w:t xml:space="preserve">. Wanneer er geen </w:t>
      </w:r>
      <w:r w:rsidR="00795377" w:rsidRPr="006E7662">
        <w:rPr>
          <w:lang w:val="nl-BE"/>
        </w:rPr>
        <w:lastRenderedPageBreak/>
        <w:t>voorafgaande wilsuiting is moet nog een bijkomend onderscheid gemaakt worden. Indien er geen voorafgaande wilsverklaring is terwijl men wel in de mogelijkheid verkeerde dit op te stellen, kan euthanasie niet toegelaten worden (tenzij in geval van uitzonderlijke noodtoestand</w:t>
      </w:r>
      <w:r w:rsidR="00F24E1F">
        <w:rPr>
          <w:lang w:val="nl-BE"/>
        </w:rPr>
        <w:t>).</w:t>
      </w:r>
      <w:r w:rsidR="00CB2FE6">
        <w:rPr>
          <w:rStyle w:val="Voetnootmarkering"/>
          <w:lang w:val="nl-BE"/>
        </w:rPr>
        <w:footnoteReference w:id="21"/>
      </w:r>
      <w:r w:rsidR="00795377" w:rsidRPr="006E7662">
        <w:rPr>
          <w:lang w:val="nl-BE"/>
        </w:rPr>
        <w:t xml:space="preserve"> Wanneer er evenwel geen voorafgaande wilsverklaring is omdat men nooit in staat was deze op te stellen (baby’s en jonge kinderen, personen met mentale of fysieke handicap) zou men in bepaalde omstandigheden levensbeëindigend moeten kunnen handelen</w:t>
      </w:r>
      <w:r w:rsidR="00F24E1F">
        <w:rPr>
          <w:lang w:val="nl-BE"/>
        </w:rPr>
        <w:t>.</w:t>
      </w:r>
      <w:r w:rsidR="00CB2FE6">
        <w:rPr>
          <w:rStyle w:val="Voetnootmarkering"/>
          <w:lang w:val="nl-BE"/>
        </w:rPr>
        <w:footnoteReference w:id="22"/>
      </w:r>
      <w:r w:rsidR="00795377" w:rsidRPr="006E7662">
        <w:rPr>
          <w:lang w:val="nl-BE"/>
        </w:rPr>
        <w:t xml:space="preserve"> </w:t>
      </w:r>
      <w:r w:rsidR="009215AA" w:rsidRPr="006E7662">
        <w:rPr>
          <w:lang w:val="nl-BE"/>
        </w:rPr>
        <w:t>V</w:t>
      </w:r>
      <w:r w:rsidRPr="006E7662">
        <w:rPr>
          <w:lang w:val="nl-BE"/>
        </w:rPr>
        <w:t xml:space="preserve">olgens de voorstanders van euthanasie </w:t>
      </w:r>
      <w:r w:rsidR="009215AA" w:rsidRPr="006E7662">
        <w:rPr>
          <w:lang w:val="nl-BE"/>
        </w:rPr>
        <w:t xml:space="preserve">kan het </w:t>
      </w:r>
      <w:r w:rsidR="00CC66D1">
        <w:rPr>
          <w:lang w:val="nl-BE"/>
        </w:rPr>
        <w:t xml:space="preserve">dus </w:t>
      </w:r>
      <w:r w:rsidRPr="006E7662">
        <w:rPr>
          <w:lang w:val="nl-BE"/>
        </w:rPr>
        <w:t>ethisch verantwoord</w:t>
      </w:r>
      <w:r w:rsidR="009215AA" w:rsidRPr="006E7662">
        <w:rPr>
          <w:lang w:val="nl-BE"/>
        </w:rPr>
        <w:t xml:space="preserve"> </w:t>
      </w:r>
      <w:r w:rsidR="00DB67F7">
        <w:rPr>
          <w:lang w:val="nl-BE"/>
        </w:rPr>
        <w:t>zijn</w:t>
      </w:r>
      <w:r w:rsidRPr="006E7662">
        <w:rPr>
          <w:lang w:val="nl-BE"/>
        </w:rPr>
        <w:t xml:space="preserve"> om euthanasie toe te passen bij zwaar gehandicapte baby’s en zinloos lijdende kinderen</w:t>
      </w:r>
      <w:r w:rsidR="00CB2FE6">
        <w:rPr>
          <w:lang w:val="nl-BE"/>
        </w:rPr>
        <w:t xml:space="preserve"> in geval van een</w:t>
      </w:r>
      <w:r w:rsidR="008242B2">
        <w:rPr>
          <w:lang w:val="nl-BE"/>
        </w:rPr>
        <w:t xml:space="preserve"> uitzichtloze medische situatie op vraag van de ouders of voogd en na samenspraak met het verzorgingsteam</w:t>
      </w:r>
      <w:r w:rsidR="00F24E1F">
        <w:rPr>
          <w:lang w:val="nl-BE"/>
        </w:rPr>
        <w:t>.</w:t>
      </w:r>
      <w:r w:rsidR="00C06C4F">
        <w:rPr>
          <w:rStyle w:val="Voetnootmarkering"/>
          <w:lang w:val="nl-BE"/>
        </w:rPr>
        <w:footnoteReference w:id="23"/>
      </w:r>
      <w:r w:rsidR="00607C50">
        <w:rPr>
          <w:lang w:val="nl-BE"/>
        </w:rPr>
        <w:t xml:space="preserve"> Hierbij wordt een enorme rol toebedeeld aan de ouders</w:t>
      </w:r>
      <w:r w:rsidR="00F24E1F">
        <w:rPr>
          <w:lang w:val="nl-BE"/>
        </w:rPr>
        <w:t>.</w:t>
      </w:r>
      <w:r w:rsidR="00CB2FE6">
        <w:rPr>
          <w:rStyle w:val="Voetnootmarkering"/>
          <w:lang w:val="nl-BE"/>
        </w:rPr>
        <w:footnoteReference w:id="24"/>
      </w:r>
      <w:r w:rsidR="00CB2FE6">
        <w:rPr>
          <w:lang w:val="nl-BE"/>
        </w:rPr>
        <w:t xml:space="preserve"> </w:t>
      </w:r>
    </w:p>
    <w:p w:rsidR="005134AD" w:rsidRPr="006E7662" w:rsidRDefault="005134AD" w:rsidP="00FD3FA2">
      <w:pPr>
        <w:spacing w:line="360" w:lineRule="auto"/>
        <w:jc w:val="both"/>
        <w:rPr>
          <w:lang w:val="nl-BE"/>
        </w:rPr>
      </w:pPr>
    </w:p>
    <w:p w:rsidR="00FD3FA2" w:rsidRPr="006E7662" w:rsidRDefault="00FD3FA2" w:rsidP="004D710F">
      <w:pPr>
        <w:pStyle w:val="Kop3"/>
      </w:pPr>
      <w:r w:rsidRPr="006E7662">
        <w:tab/>
      </w:r>
      <w:bookmarkStart w:id="9" w:name="_Toc287994231"/>
      <w:r w:rsidRPr="006E7662">
        <w:t xml:space="preserve">2.1.3 Voorstel </w:t>
      </w:r>
      <w:r w:rsidR="00F24E1F">
        <w:t xml:space="preserve">Nationale </w:t>
      </w:r>
      <w:r w:rsidRPr="006E7662">
        <w:t xml:space="preserve">Raad van </w:t>
      </w:r>
      <w:r w:rsidR="00F24E1F">
        <w:t>de Orde van g</w:t>
      </w:r>
      <w:r w:rsidRPr="006E7662">
        <w:t>eneesheren</w:t>
      </w:r>
      <w:bookmarkEnd w:id="9"/>
    </w:p>
    <w:p w:rsidR="006E7662" w:rsidRDefault="006E7662" w:rsidP="00EC7F8D">
      <w:pPr>
        <w:autoSpaceDE w:val="0"/>
        <w:autoSpaceDN w:val="0"/>
        <w:adjustRightInd w:val="0"/>
        <w:spacing w:line="360" w:lineRule="auto"/>
        <w:jc w:val="both"/>
        <w:rPr>
          <w:lang w:val="nl-BE"/>
        </w:rPr>
      </w:pPr>
    </w:p>
    <w:p w:rsidR="004731A3" w:rsidRDefault="00EC7F8D" w:rsidP="00EC7F8D">
      <w:pPr>
        <w:autoSpaceDE w:val="0"/>
        <w:autoSpaceDN w:val="0"/>
        <w:adjustRightInd w:val="0"/>
        <w:spacing w:line="360" w:lineRule="auto"/>
        <w:jc w:val="both"/>
        <w:rPr>
          <w:rFonts w:eastAsia="Times New Roman"/>
          <w:lang w:eastAsia="ja-JP"/>
        </w:rPr>
      </w:pPr>
      <w:r w:rsidRPr="006E7662">
        <w:rPr>
          <w:lang w:val="nl-BE"/>
        </w:rPr>
        <w:t xml:space="preserve">Ook de </w:t>
      </w:r>
      <w:r w:rsidR="00DF5910">
        <w:rPr>
          <w:lang w:val="nl-BE"/>
        </w:rPr>
        <w:t>Nationale Raad van de Orde van g</w:t>
      </w:r>
      <w:r w:rsidRPr="006E7662">
        <w:rPr>
          <w:lang w:val="nl-BE"/>
        </w:rPr>
        <w:t>eneesheren stelde in zijn advies van 15 januari 2000 ‘</w:t>
      </w:r>
      <w:r w:rsidRPr="006E7662">
        <w:rPr>
          <w:lang w:val="nl-BE" w:eastAsia="ja-JP"/>
        </w:rPr>
        <w:t>betreffende de medische betrokkenheid bij het naderende levenseinde – euthanasie’</w:t>
      </w:r>
      <w:r w:rsidR="00795377" w:rsidRPr="006E7662">
        <w:rPr>
          <w:rStyle w:val="Voetnootmarkering"/>
          <w:lang w:val="nl-BE" w:eastAsia="ja-JP"/>
        </w:rPr>
        <w:footnoteReference w:id="25"/>
      </w:r>
      <w:r w:rsidRPr="006E7662">
        <w:rPr>
          <w:lang w:val="nl-BE" w:eastAsia="ja-JP"/>
        </w:rPr>
        <w:t xml:space="preserve">, dat </w:t>
      </w:r>
      <w:r w:rsidR="00DF5910">
        <w:rPr>
          <w:lang w:val="nl-BE" w:eastAsia="ja-JP"/>
        </w:rPr>
        <w:t>“</w:t>
      </w:r>
      <w:r w:rsidR="00795377" w:rsidRPr="006E7662">
        <w:rPr>
          <w:rFonts w:eastAsia="Times New Roman"/>
          <w:i/>
          <w:lang w:eastAsia="ja-JP"/>
        </w:rPr>
        <w:t xml:space="preserve">De Nationale Raad vanuit </w:t>
      </w:r>
      <w:proofErr w:type="spellStart"/>
      <w:r w:rsidR="00795377" w:rsidRPr="006E7662">
        <w:rPr>
          <w:rFonts w:eastAsia="Times New Roman"/>
          <w:i/>
          <w:lang w:eastAsia="ja-JP"/>
        </w:rPr>
        <w:t>deontologisch</w:t>
      </w:r>
      <w:proofErr w:type="spellEnd"/>
      <w:r w:rsidR="00795377" w:rsidRPr="006E7662">
        <w:rPr>
          <w:rFonts w:eastAsia="Times New Roman"/>
          <w:i/>
          <w:lang w:eastAsia="ja-JP"/>
        </w:rPr>
        <w:t xml:space="preserve"> standpunt nooit de noodzaak ervaren heeft een fundamenteel onderscheid te maken tussen </w:t>
      </w:r>
      <w:proofErr w:type="spellStart"/>
      <w:r w:rsidR="00795377" w:rsidRPr="006E7662">
        <w:rPr>
          <w:rFonts w:eastAsia="Times New Roman"/>
          <w:i/>
          <w:lang w:eastAsia="ja-JP"/>
        </w:rPr>
        <w:t>wilsbekwamen</w:t>
      </w:r>
      <w:proofErr w:type="spellEnd"/>
      <w:r w:rsidR="00795377" w:rsidRPr="006E7662">
        <w:rPr>
          <w:rFonts w:eastAsia="Times New Roman"/>
          <w:i/>
          <w:lang w:eastAsia="ja-JP"/>
        </w:rPr>
        <w:t xml:space="preserve"> en </w:t>
      </w:r>
      <w:proofErr w:type="spellStart"/>
      <w:r w:rsidR="00795377" w:rsidRPr="006E7662">
        <w:rPr>
          <w:rFonts w:eastAsia="Times New Roman"/>
          <w:i/>
          <w:lang w:eastAsia="ja-JP"/>
        </w:rPr>
        <w:t>wilsonbekwamen</w:t>
      </w:r>
      <w:proofErr w:type="spellEnd"/>
      <w:r w:rsidR="00685CC8" w:rsidRPr="006E7662">
        <w:rPr>
          <w:rFonts w:eastAsia="Times New Roman"/>
          <w:i/>
          <w:lang w:eastAsia="ja-JP"/>
        </w:rPr>
        <w:t>,</w:t>
      </w:r>
      <w:r w:rsidR="00795377" w:rsidRPr="006E7662">
        <w:rPr>
          <w:rFonts w:eastAsia="Times New Roman"/>
          <w:i/>
          <w:lang w:eastAsia="ja-JP"/>
        </w:rPr>
        <w:t xml:space="preserve"> daar een noodtoestand zich bij beide groepen kan voordoen.</w:t>
      </w:r>
      <w:r w:rsidR="00DF5910">
        <w:rPr>
          <w:rFonts w:eastAsia="Times New Roman"/>
          <w:lang w:eastAsia="ja-JP"/>
        </w:rPr>
        <w:t>”</w:t>
      </w:r>
      <w:r w:rsidR="00647FE3">
        <w:rPr>
          <w:rFonts w:eastAsia="Times New Roman"/>
          <w:lang w:eastAsia="ja-JP"/>
        </w:rPr>
        <w:t xml:space="preserve"> </w:t>
      </w:r>
    </w:p>
    <w:p w:rsidR="004731A3" w:rsidRDefault="004731A3" w:rsidP="00EC7F8D">
      <w:pPr>
        <w:autoSpaceDE w:val="0"/>
        <w:autoSpaceDN w:val="0"/>
        <w:adjustRightInd w:val="0"/>
        <w:spacing w:line="360" w:lineRule="auto"/>
        <w:jc w:val="both"/>
        <w:rPr>
          <w:rFonts w:eastAsia="Times New Roman"/>
          <w:lang w:eastAsia="ja-JP"/>
        </w:rPr>
      </w:pPr>
    </w:p>
    <w:p w:rsidR="00647FE3" w:rsidRPr="006E7662" w:rsidRDefault="004731A3" w:rsidP="00EC7F8D">
      <w:pPr>
        <w:autoSpaceDE w:val="0"/>
        <w:autoSpaceDN w:val="0"/>
        <w:adjustRightInd w:val="0"/>
        <w:spacing w:line="360" w:lineRule="auto"/>
        <w:jc w:val="both"/>
        <w:rPr>
          <w:rFonts w:eastAsia="Times New Roman"/>
          <w:lang w:eastAsia="ja-JP"/>
        </w:rPr>
      </w:pPr>
      <w:r>
        <w:rPr>
          <w:rFonts w:eastAsia="Times New Roman"/>
          <w:lang w:eastAsia="ja-JP"/>
        </w:rPr>
        <w:t>In zijn advies van 1</w:t>
      </w:r>
      <w:r w:rsidR="00DF5910">
        <w:rPr>
          <w:rFonts w:eastAsia="Times New Roman"/>
          <w:lang w:eastAsia="ja-JP"/>
        </w:rPr>
        <w:t>7 november 2001 noemde de Nationale R</w:t>
      </w:r>
      <w:r>
        <w:rPr>
          <w:rFonts w:eastAsia="Times New Roman"/>
          <w:lang w:eastAsia="ja-JP"/>
        </w:rPr>
        <w:t xml:space="preserve">aad </w:t>
      </w:r>
      <w:r w:rsidR="00647FE3">
        <w:rPr>
          <w:rFonts w:eastAsia="Times New Roman"/>
          <w:lang w:eastAsia="ja-JP"/>
        </w:rPr>
        <w:t>het ‘</w:t>
      </w:r>
      <w:r w:rsidR="00647FE3" w:rsidRPr="002F4F55">
        <w:rPr>
          <w:rFonts w:eastAsia="Times New Roman"/>
          <w:i/>
          <w:lang w:eastAsia="ja-JP"/>
        </w:rPr>
        <w:t xml:space="preserve">een markante leemte’ </w:t>
      </w:r>
      <w:r w:rsidR="00647FE3">
        <w:rPr>
          <w:rFonts w:eastAsia="Times New Roman"/>
          <w:lang w:eastAsia="ja-JP"/>
        </w:rPr>
        <w:t xml:space="preserve">dat minderjarigen uitgesloten worden en zegt verder: </w:t>
      </w:r>
      <w:r w:rsidR="00DF5910">
        <w:rPr>
          <w:rFonts w:eastAsia="Times New Roman"/>
          <w:lang w:eastAsia="ja-JP"/>
        </w:rPr>
        <w:t>“</w:t>
      </w:r>
      <w:r w:rsidR="00647FE3" w:rsidRPr="002F4F55">
        <w:rPr>
          <w:rFonts w:eastAsia="Times New Roman"/>
          <w:i/>
          <w:lang w:eastAsia="ja-JP"/>
        </w:rPr>
        <w:t xml:space="preserve">De deontologie heeft altijd voorgestaan </w:t>
      </w:r>
      <w:r w:rsidRPr="002F4F55">
        <w:rPr>
          <w:rFonts w:eastAsia="Times New Roman"/>
          <w:i/>
          <w:lang w:eastAsia="ja-JP"/>
        </w:rPr>
        <w:t>dat ook vragen v</w:t>
      </w:r>
      <w:r w:rsidR="00DF5910">
        <w:rPr>
          <w:rFonts w:eastAsia="Times New Roman"/>
          <w:i/>
          <w:lang w:eastAsia="ja-JP"/>
        </w:rPr>
        <w:t xml:space="preserve">an minderjarigen ernstig moeten </w:t>
      </w:r>
      <w:r w:rsidRPr="002F4F55">
        <w:rPr>
          <w:rFonts w:eastAsia="Times New Roman"/>
          <w:i/>
          <w:lang w:eastAsia="ja-JP"/>
        </w:rPr>
        <w:t xml:space="preserve">onderzocht </w:t>
      </w:r>
      <w:r w:rsidRPr="002F4F55">
        <w:rPr>
          <w:rFonts w:eastAsia="Times New Roman"/>
          <w:i/>
          <w:lang w:eastAsia="ja-JP"/>
        </w:rPr>
        <w:lastRenderedPageBreak/>
        <w:t>worden, waarbij, natuurlijk in functie van de vraag, de graad van mentale volwassenheid dient beoordeeld te worden</w:t>
      </w:r>
      <w:r w:rsidR="00DF5910">
        <w:rPr>
          <w:rFonts w:eastAsia="Times New Roman"/>
          <w:i/>
          <w:lang w:eastAsia="ja-JP"/>
        </w:rPr>
        <w:t>”.</w:t>
      </w:r>
      <w:r>
        <w:rPr>
          <w:rStyle w:val="Voetnootmarkering"/>
          <w:rFonts w:eastAsia="Times New Roman"/>
          <w:lang w:eastAsia="ja-JP"/>
        </w:rPr>
        <w:footnoteReference w:id="26"/>
      </w:r>
    </w:p>
    <w:p w:rsidR="004731A3" w:rsidRDefault="004731A3" w:rsidP="00EC7F8D">
      <w:pPr>
        <w:autoSpaceDE w:val="0"/>
        <w:autoSpaceDN w:val="0"/>
        <w:adjustRightInd w:val="0"/>
        <w:spacing w:line="360" w:lineRule="auto"/>
        <w:jc w:val="both"/>
        <w:rPr>
          <w:rFonts w:eastAsia="Times New Roman"/>
          <w:lang w:eastAsia="ja-JP"/>
        </w:rPr>
      </w:pPr>
    </w:p>
    <w:p w:rsidR="00793673" w:rsidRPr="006E7662" w:rsidRDefault="00685CC8" w:rsidP="00EC7F8D">
      <w:pPr>
        <w:autoSpaceDE w:val="0"/>
        <w:autoSpaceDN w:val="0"/>
        <w:adjustRightInd w:val="0"/>
        <w:spacing w:line="360" w:lineRule="auto"/>
        <w:jc w:val="both"/>
        <w:rPr>
          <w:rFonts w:eastAsia="Times New Roman"/>
          <w:lang w:eastAsia="ja-JP"/>
        </w:rPr>
      </w:pPr>
      <w:r w:rsidRPr="006E7662">
        <w:rPr>
          <w:rFonts w:eastAsia="Times New Roman"/>
          <w:lang w:eastAsia="ja-JP"/>
        </w:rPr>
        <w:t xml:space="preserve">Bij een later advies van 22 maart 2003 </w:t>
      </w:r>
      <w:r w:rsidR="006E7662">
        <w:rPr>
          <w:rFonts w:eastAsia="Times New Roman"/>
          <w:lang w:eastAsia="ja-JP"/>
        </w:rPr>
        <w:t>‘</w:t>
      </w:r>
      <w:r w:rsidRPr="006E7662">
        <w:rPr>
          <w:rFonts w:eastAsia="Times New Roman"/>
          <w:lang w:eastAsia="ja-JP"/>
        </w:rPr>
        <w:t xml:space="preserve">betreffende de </w:t>
      </w:r>
      <w:proofErr w:type="spellStart"/>
      <w:r w:rsidRPr="006E7662">
        <w:rPr>
          <w:rFonts w:eastAsia="Times New Roman"/>
          <w:lang w:eastAsia="ja-JP"/>
        </w:rPr>
        <w:t>palliatieve</w:t>
      </w:r>
      <w:proofErr w:type="spellEnd"/>
      <w:r w:rsidRPr="006E7662">
        <w:rPr>
          <w:rFonts w:eastAsia="Times New Roman"/>
          <w:lang w:eastAsia="ja-JP"/>
        </w:rPr>
        <w:t xml:space="preserve"> zorg</w:t>
      </w:r>
      <w:r w:rsidR="00793673" w:rsidRPr="006E7662">
        <w:rPr>
          <w:rFonts w:eastAsia="Times New Roman"/>
          <w:lang w:eastAsia="ja-JP"/>
        </w:rPr>
        <w:t xml:space="preserve">, euthanasie en </w:t>
      </w:r>
      <w:r w:rsidRPr="006E7662">
        <w:rPr>
          <w:rFonts w:eastAsia="Times New Roman"/>
          <w:lang w:eastAsia="ja-JP"/>
        </w:rPr>
        <w:t xml:space="preserve">andere </w:t>
      </w:r>
      <w:r w:rsidR="00793673" w:rsidRPr="006E7662">
        <w:rPr>
          <w:rFonts w:eastAsia="Times New Roman"/>
          <w:lang w:eastAsia="ja-JP"/>
        </w:rPr>
        <w:t>medische beslissingen omtrent</w:t>
      </w:r>
      <w:r w:rsidRPr="006E7662">
        <w:rPr>
          <w:rFonts w:eastAsia="Times New Roman"/>
          <w:lang w:eastAsia="ja-JP"/>
        </w:rPr>
        <w:t xml:space="preserve"> het levenseinde</w:t>
      </w:r>
      <w:r w:rsidR="006E7662">
        <w:rPr>
          <w:rFonts w:eastAsia="Times New Roman"/>
          <w:lang w:eastAsia="ja-JP"/>
        </w:rPr>
        <w:t>’</w:t>
      </w:r>
      <w:r w:rsidRPr="006E7662">
        <w:rPr>
          <w:rStyle w:val="Voetnootmarkering"/>
          <w:rFonts w:eastAsia="Times New Roman"/>
          <w:lang w:eastAsia="ja-JP"/>
        </w:rPr>
        <w:footnoteReference w:id="27"/>
      </w:r>
      <w:r w:rsidR="00793673" w:rsidRPr="006E7662">
        <w:rPr>
          <w:rFonts w:eastAsia="Times New Roman"/>
          <w:lang w:eastAsia="ja-JP"/>
        </w:rPr>
        <w:t>, onderzocht de Nationale Raad</w:t>
      </w:r>
      <w:r w:rsidR="004F4303">
        <w:rPr>
          <w:rFonts w:eastAsia="Times New Roman"/>
          <w:lang w:eastAsia="ja-JP"/>
        </w:rPr>
        <w:t xml:space="preserve"> onder andere de impact van de e</w:t>
      </w:r>
      <w:r w:rsidR="00793673" w:rsidRPr="006E7662">
        <w:rPr>
          <w:rFonts w:eastAsia="Times New Roman"/>
          <w:lang w:eastAsia="ja-JP"/>
        </w:rPr>
        <w:t xml:space="preserve">uthanasiewet op de medische deontologie. Met betrekking tot minderjarigen benadrukt de Raad dat volgens de medische deontologie de </w:t>
      </w:r>
      <w:r w:rsidR="00DF5910">
        <w:rPr>
          <w:rFonts w:eastAsia="Times New Roman"/>
          <w:lang w:eastAsia="ja-JP"/>
        </w:rPr>
        <w:t>“</w:t>
      </w:r>
      <w:r w:rsidR="00793673" w:rsidRPr="00DF5910">
        <w:rPr>
          <w:rFonts w:eastAsia="Times New Roman"/>
          <w:i/>
          <w:lang w:eastAsia="ja-JP"/>
        </w:rPr>
        <w:t xml:space="preserve">mentale leeftijd primeert </w:t>
      </w:r>
      <w:r w:rsidR="00160873" w:rsidRPr="00DF5910">
        <w:rPr>
          <w:rFonts w:eastAsia="Times New Roman"/>
          <w:i/>
          <w:lang w:eastAsia="ja-JP"/>
        </w:rPr>
        <w:t>op de kalenderleeftijd</w:t>
      </w:r>
      <w:r w:rsidR="00DF5910">
        <w:rPr>
          <w:rFonts w:eastAsia="Times New Roman"/>
          <w:i/>
          <w:lang w:eastAsia="ja-JP"/>
        </w:rPr>
        <w:t>”</w:t>
      </w:r>
      <w:r w:rsidR="00BB47EC" w:rsidRPr="00DF5910">
        <w:rPr>
          <w:rStyle w:val="Voetnootmarkering"/>
          <w:rFonts w:eastAsia="Times New Roman"/>
          <w:lang w:eastAsia="ja-JP"/>
        </w:rPr>
        <w:footnoteReference w:id="28"/>
      </w:r>
      <w:r w:rsidR="00160873" w:rsidRPr="00DF5910">
        <w:rPr>
          <w:rFonts w:eastAsia="Times New Roman"/>
          <w:lang w:eastAsia="ja-JP"/>
        </w:rPr>
        <w:t>.</w:t>
      </w:r>
      <w:r w:rsidR="00160873" w:rsidRPr="006E7662">
        <w:rPr>
          <w:rFonts w:eastAsia="Times New Roman"/>
          <w:lang w:eastAsia="ja-JP"/>
        </w:rPr>
        <w:t xml:space="preserve"> De Raad treedt hiermee het </w:t>
      </w:r>
      <w:r w:rsidR="00160873" w:rsidRPr="006E7662">
        <w:t>Internationaal Verdrag inzake de Rechten van het Kind</w:t>
      </w:r>
      <w:r w:rsidR="00160873" w:rsidRPr="006E7662">
        <w:rPr>
          <w:rStyle w:val="Voetnootmarkering"/>
        </w:rPr>
        <w:footnoteReference w:id="29"/>
      </w:r>
      <w:r w:rsidR="00DB67F7">
        <w:t xml:space="preserve"> en de W</w:t>
      </w:r>
      <w:r w:rsidR="00160873" w:rsidRPr="006E7662">
        <w:t>et betreffende de rechten van de patiënt</w:t>
      </w:r>
      <w:r w:rsidR="00160873" w:rsidRPr="006E7662">
        <w:rPr>
          <w:rStyle w:val="Voetnootmarkering"/>
        </w:rPr>
        <w:footnoteReference w:id="30"/>
      </w:r>
      <w:r w:rsidR="00160873" w:rsidRPr="006E7662">
        <w:t xml:space="preserve"> bij. </w:t>
      </w:r>
      <w:r w:rsidR="00CC254C" w:rsidRPr="006E7662">
        <w:t>Ook al wordt euthanasie bij (niet-ontvoogde) minderjarigen niet toegelaten, toch doet dit geen afbreuk aan de door de Orde reeds aanvaarde noodtoestand die nog steeds ingeroepen kan worden. De Nationale Raad verwijst in dit advies naar de volgende passage uit het advies van 15 januari 2000: “</w:t>
      </w:r>
      <w:r w:rsidR="00CC254C" w:rsidRPr="006E7662">
        <w:rPr>
          <w:i/>
        </w:rPr>
        <w:t>dat de arts in uitzonderlijke omstandigheden voor een conflict van waarden en daaruit voortvloeiende beslissingen kan geplaatst worden, zijnde het niet met opzet doden of de nodige adequate middelen aanwenden om een patiënt waardig te laten sterven. In dergelijke omstandigheden dient de arts in eer en geweten, in samenspraak met de patiënt een beslissing te nemen die hij steeds moet kunnen verantwoorden</w:t>
      </w:r>
      <w:r w:rsidR="00CC254C" w:rsidRPr="006E7662">
        <w:t>”. De arts dient wel steeds minstens één collega en desgevallend nabestaanden alsook het verplegend team te consulteren.</w:t>
      </w:r>
      <w:r w:rsidR="00DF5910">
        <w:rPr>
          <w:rStyle w:val="Voetnootmarkering"/>
        </w:rPr>
        <w:footnoteReference w:id="31"/>
      </w:r>
      <w:r w:rsidR="00DF5910">
        <w:t xml:space="preserve"> De O</w:t>
      </w:r>
      <w:r w:rsidR="00B431F2">
        <w:t>rde raad</w:t>
      </w:r>
      <w:r w:rsidR="00DF5910">
        <w:t>t</w:t>
      </w:r>
      <w:r w:rsidR="00B431F2">
        <w:t xml:space="preserve"> de arts aan dezelfde zorgvuldigheidsvoorwaarden te respecteren zoals die vereist zijn bij volwassenen en </w:t>
      </w:r>
      <w:r w:rsidR="00B431F2">
        <w:lastRenderedPageBreak/>
        <w:t>ontvoogde minderjarigen, met uitzondering van de rapportering aan de evaluatiecommissie.</w:t>
      </w:r>
      <w:r w:rsidR="00B431F2">
        <w:rPr>
          <w:rStyle w:val="Voetnootmarkering"/>
        </w:rPr>
        <w:footnoteReference w:id="32"/>
      </w:r>
    </w:p>
    <w:p w:rsidR="00EC7F8D" w:rsidRDefault="00EC7F8D" w:rsidP="00E76ECC">
      <w:pPr>
        <w:jc w:val="both"/>
        <w:rPr>
          <w:lang w:val="nl-BE"/>
        </w:rPr>
      </w:pPr>
    </w:p>
    <w:p w:rsidR="000F39CC" w:rsidRPr="006E7662" w:rsidRDefault="000F39CC" w:rsidP="00E76ECC">
      <w:pPr>
        <w:jc w:val="both"/>
        <w:rPr>
          <w:lang w:val="nl-BE"/>
        </w:rPr>
      </w:pPr>
    </w:p>
    <w:p w:rsidR="00382966" w:rsidRDefault="00FD3FA2" w:rsidP="004D710F">
      <w:pPr>
        <w:pStyle w:val="Kop2"/>
      </w:pPr>
      <w:bookmarkStart w:id="10" w:name="_Toc287994232"/>
      <w:r w:rsidRPr="006E7662">
        <w:t>2.2 De uitzondering: ontvoogde minderjarigen</w:t>
      </w:r>
      <w:bookmarkEnd w:id="10"/>
    </w:p>
    <w:p w:rsidR="00402E2D" w:rsidRPr="00402E2D" w:rsidRDefault="00402E2D" w:rsidP="00402E2D">
      <w:pPr>
        <w:rPr>
          <w:lang w:val="nl-BE"/>
        </w:rPr>
      </w:pPr>
    </w:p>
    <w:p w:rsidR="00393F3C" w:rsidRDefault="00393F3C" w:rsidP="000F39CC">
      <w:pPr>
        <w:pStyle w:val="Kop3"/>
      </w:pPr>
      <w:r>
        <w:tab/>
      </w:r>
      <w:bookmarkStart w:id="11" w:name="_Toc287994233"/>
      <w:r>
        <w:t>2.2.1 Wat is ontvoogding?</w:t>
      </w:r>
      <w:bookmarkEnd w:id="11"/>
    </w:p>
    <w:p w:rsidR="000F39CC" w:rsidRDefault="000F39CC" w:rsidP="000F39CC">
      <w:pPr>
        <w:pStyle w:val="Kop3"/>
      </w:pPr>
    </w:p>
    <w:p w:rsidR="00393F3C" w:rsidRDefault="00393F3C" w:rsidP="00393F3C">
      <w:pPr>
        <w:spacing w:line="360" w:lineRule="auto"/>
        <w:jc w:val="both"/>
        <w:rPr>
          <w:lang w:val="nl-BE"/>
        </w:rPr>
      </w:pPr>
      <w:r w:rsidRPr="006E7662">
        <w:rPr>
          <w:lang w:val="nl-BE"/>
        </w:rPr>
        <w:t>Niet alle minderjarigen zijn uitgesloten. Minderjarigen die ontvoogd zijn vallen namelijk wel onde</w:t>
      </w:r>
      <w:r w:rsidR="004F4303">
        <w:rPr>
          <w:lang w:val="nl-BE"/>
        </w:rPr>
        <w:t>r het toepassingsgebied van de e</w:t>
      </w:r>
      <w:r w:rsidRPr="006E7662">
        <w:rPr>
          <w:lang w:val="nl-BE"/>
        </w:rPr>
        <w:t>uthanasiewet</w:t>
      </w:r>
      <w:r>
        <w:rPr>
          <w:lang w:val="nl-BE"/>
        </w:rPr>
        <w:t>.</w:t>
      </w:r>
      <w:r w:rsidRPr="006E7662">
        <w:rPr>
          <w:rStyle w:val="Voetnootmarkering"/>
          <w:lang w:val="nl-BE"/>
        </w:rPr>
        <w:footnoteReference w:id="33"/>
      </w:r>
      <w:r>
        <w:rPr>
          <w:lang w:val="nl-BE"/>
        </w:rPr>
        <w:t xml:space="preserve"> </w:t>
      </w:r>
    </w:p>
    <w:p w:rsidR="00393F3C" w:rsidRDefault="00393F3C" w:rsidP="00393F3C">
      <w:pPr>
        <w:spacing w:line="360" w:lineRule="auto"/>
        <w:jc w:val="both"/>
        <w:rPr>
          <w:lang w:val="nl-BE"/>
        </w:rPr>
      </w:pPr>
    </w:p>
    <w:p w:rsidR="00393F3C" w:rsidRDefault="00393F3C" w:rsidP="00393F3C">
      <w:pPr>
        <w:spacing w:line="360" w:lineRule="auto"/>
        <w:jc w:val="both"/>
        <w:rPr>
          <w:lang w:val="nl-BE"/>
        </w:rPr>
      </w:pPr>
      <w:r>
        <w:rPr>
          <w:lang w:val="nl-BE"/>
        </w:rPr>
        <w:t xml:space="preserve">Ontvoogding is een </w:t>
      </w:r>
      <w:r w:rsidRPr="00FB31BC">
        <w:rPr>
          <w:i/>
          <w:lang w:val="nl-BE"/>
        </w:rPr>
        <w:t xml:space="preserve">instelling waarbij de gevolgen van de minderjarigheid gedeeltelijk ongedaan gemaakt worden zonder </w:t>
      </w:r>
      <w:r>
        <w:rPr>
          <w:i/>
          <w:lang w:val="nl-BE"/>
        </w:rPr>
        <w:t xml:space="preserve">evenwel </w:t>
      </w:r>
      <w:r w:rsidRPr="00FB31BC">
        <w:rPr>
          <w:i/>
          <w:lang w:val="nl-BE"/>
        </w:rPr>
        <w:t>een vervroegde meerderjarigverklaring in te houden</w:t>
      </w:r>
      <w:r w:rsidRPr="00402E2D">
        <w:rPr>
          <w:rStyle w:val="Voetnootmarkering"/>
          <w:lang w:val="nl-BE"/>
        </w:rPr>
        <w:footnoteReference w:id="34"/>
      </w:r>
      <w:r w:rsidRPr="00FB31BC">
        <w:rPr>
          <w:i/>
          <w:lang w:val="nl-BE"/>
        </w:rPr>
        <w:t>.</w:t>
      </w:r>
      <w:r>
        <w:rPr>
          <w:lang w:val="nl-BE"/>
        </w:rPr>
        <w:t xml:space="preserve"> Ontvoogding is geregeld in de artikelen 477 </w:t>
      </w:r>
      <w:r w:rsidR="00402E2D">
        <w:rPr>
          <w:lang w:val="nl-BE"/>
        </w:rPr>
        <w:t xml:space="preserve">BW </w:t>
      </w:r>
      <w:r>
        <w:rPr>
          <w:lang w:val="nl-BE"/>
        </w:rPr>
        <w:t xml:space="preserve">en 478 BW en kan vanaf het kind de leeftijd van 15 jaar bereikt heeft. </w:t>
      </w:r>
      <w:r w:rsidRPr="006E7662">
        <w:rPr>
          <w:lang w:val="nl-BE"/>
        </w:rPr>
        <w:t xml:space="preserve">De ontvoogding is </w:t>
      </w:r>
      <w:r>
        <w:rPr>
          <w:lang w:val="nl-BE"/>
        </w:rPr>
        <w:t xml:space="preserve">voornamelijk </w:t>
      </w:r>
      <w:r w:rsidRPr="006E7662">
        <w:rPr>
          <w:lang w:val="nl-BE"/>
        </w:rPr>
        <w:t>gericht op de overdracht van het beheer van de goederen van de minderjarige</w:t>
      </w:r>
      <w:r>
        <w:rPr>
          <w:rStyle w:val="Voetnootmarkering"/>
          <w:lang w:val="nl-BE"/>
        </w:rPr>
        <w:footnoteReference w:id="35"/>
      </w:r>
      <w:r w:rsidRPr="006E7662">
        <w:rPr>
          <w:lang w:val="nl-BE"/>
        </w:rPr>
        <w:t xml:space="preserve"> aan deze laatste en stelt de minderjarige in staat om zelf handelsdaden te stellen.</w:t>
      </w:r>
      <w:r>
        <w:rPr>
          <w:lang w:val="nl-BE"/>
        </w:rPr>
        <w:t xml:space="preserve"> Het statuut wordt toegekend aan minderjarigen die al gedeeltelijk in staat worden geacht hun belangen zelf of zelfstandig te behartigen</w:t>
      </w:r>
      <w:r w:rsidR="00402E2D">
        <w:rPr>
          <w:lang w:val="nl-BE"/>
        </w:rPr>
        <w:t>.</w:t>
      </w:r>
      <w:r>
        <w:rPr>
          <w:rStyle w:val="Voetnootmarkering"/>
          <w:lang w:val="nl-BE"/>
        </w:rPr>
        <w:footnoteReference w:id="36"/>
      </w:r>
      <w:r>
        <w:rPr>
          <w:lang w:val="nl-BE"/>
        </w:rPr>
        <w:t xml:space="preserve"> Ook het ouderlijk gezag of het voogdijgezag valt grotendeels weg</w:t>
      </w:r>
      <w:r w:rsidR="00402E2D">
        <w:rPr>
          <w:lang w:val="nl-BE"/>
        </w:rPr>
        <w:t>.</w:t>
      </w:r>
      <w:r>
        <w:rPr>
          <w:rStyle w:val="Voetnootmarkering"/>
          <w:lang w:val="nl-BE"/>
        </w:rPr>
        <w:footnoteReference w:id="37"/>
      </w:r>
      <w:r>
        <w:rPr>
          <w:lang w:val="nl-BE"/>
        </w:rPr>
        <w:t xml:space="preserve"> </w:t>
      </w:r>
    </w:p>
    <w:p w:rsidR="00393F3C" w:rsidRDefault="00393F3C" w:rsidP="00393F3C">
      <w:pPr>
        <w:spacing w:line="360" w:lineRule="auto"/>
        <w:jc w:val="both"/>
        <w:rPr>
          <w:lang w:val="nl-BE"/>
        </w:rPr>
      </w:pPr>
    </w:p>
    <w:p w:rsidR="00393F3C" w:rsidRDefault="00393F3C" w:rsidP="00393F3C">
      <w:pPr>
        <w:spacing w:line="360" w:lineRule="auto"/>
        <w:jc w:val="both"/>
        <w:rPr>
          <w:lang w:val="nl-BE"/>
        </w:rPr>
      </w:pPr>
      <w:r>
        <w:rPr>
          <w:lang w:val="nl-BE"/>
        </w:rPr>
        <w:t>Ontvoogding kan op twee manieren. De eerste manier is door het aangaan van een huwelijk als minderjarige</w:t>
      </w:r>
      <w:r w:rsidR="00402E2D">
        <w:rPr>
          <w:lang w:val="nl-BE"/>
        </w:rPr>
        <w:t>.</w:t>
      </w:r>
      <w:r>
        <w:rPr>
          <w:rStyle w:val="Voetnootmarkering"/>
          <w:lang w:val="nl-BE"/>
        </w:rPr>
        <w:footnoteReference w:id="38"/>
      </w:r>
      <w:r>
        <w:rPr>
          <w:lang w:val="nl-BE"/>
        </w:rPr>
        <w:t xml:space="preserve"> De tweede manier is via een gerechtelijke uitspraak van de jeugdrechtbank.</w:t>
      </w:r>
      <w:r w:rsidR="00402E2D">
        <w:rPr>
          <w:rStyle w:val="Voetnootmarkering"/>
          <w:lang w:val="nl-BE"/>
        </w:rPr>
        <w:footnoteReference w:id="39"/>
      </w:r>
      <w:r w:rsidR="00402E2D">
        <w:rPr>
          <w:lang w:val="nl-BE"/>
        </w:rPr>
        <w:t xml:space="preserve"> Het verzoek kan niet van</w:t>
      </w:r>
      <w:r>
        <w:rPr>
          <w:lang w:val="nl-BE"/>
        </w:rPr>
        <w:t xml:space="preserve"> de minderjarige zelf uitgaan, en gaat in </w:t>
      </w:r>
      <w:r>
        <w:rPr>
          <w:lang w:val="nl-BE"/>
        </w:rPr>
        <w:lastRenderedPageBreak/>
        <w:t>principe uit van de ouder(s) of voogd</w:t>
      </w:r>
      <w:r w:rsidR="00402E2D">
        <w:rPr>
          <w:lang w:val="nl-BE"/>
        </w:rPr>
        <w:t>.</w:t>
      </w:r>
      <w:r>
        <w:rPr>
          <w:rStyle w:val="Voetnootmarkering"/>
          <w:lang w:val="nl-BE"/>
        </w:rPr>
        <w:footnoteReference w:id="40"/>
      </w:r>
      <w:r>
        <w:rPr>
          <w:lang w:val="nl-BE"/>
        </w:rPr>
        <w:t xml:space="preserve"> Door ontvoogding wordt men niet volledig handelingsbekwaam. Men is enkel bekwaam zelfstandig de rechtshandelingen te stellen die in de wet opgenomen zijn</w:t>
      </w:r>
      <w:r w:rsidR="00402E2D">
        <w:rPr>
          <w:lang w:val="nl-BE"/>
        </w:rPr>
        <w:t>.</w:t>
      </w:r>
      <w:r>
        <w:rPr>
          <w:rStyle w:val="Voetnootmarkering"/>
          <w:lang w:val="nl-BE"/>
        </w:rPr>
        <w:footnoteReference w:id="41"/>
      </w:r>
      <w:r>
        <w:rPr>
          <w:lang w:val="nl-BE"/>
        </w:rPr>
        <w:t xml:space="preserve"> </w:t>
      </w:r>
      <w:r w:rsidRPr="006E7662">
        <w:rPr>
          <w:lang w:val="nl-BE"/>
        </w:rPr>
        <w:t xml:space="preserve">De ontvoogding is bovendien een rechtsfiguur die nog maar zelden in ons recht toegepast wordt, zeker sinds de meerderjarigheidsleeftijd </w:t>
      </w:r>
      <w:r>
        <w:rPr>
          <w:lang w:val="nl-BE"/>
        </w:rPr>
        <w:t xml:space="preserve">bij de Wet van 19 januari 1990 </w:t>
      </w:r>
      <w:r w:rsidRPr="006E7662">
        <w:rPr>
          <w:lang w:val="nl-BE"/>
        </w:rPr>
        <w:t>van 21 jaar naar 18 jaar gebracht werd</w:t>
      </w:r>
      <w:r w:rsidR="00402E2D">
        <w:rPr>
          <w:lang w:val="nl-BE"/>
        </w:rPr>
        <w:t>.</w:t>
      </w:r>
      <w:r w:rsidRPr="006E7662">
        <w:rPr>
          <w:rStyle w:val="Voetnootmarkering"/>
          <w:lang w:val="nl-BE"/>
        </w:rPr>
        <w:footnoteReference w:id="42"/>
      </w:r>
      <w:r w:rsidRPr="006E7662">
        <w:rPr>
          <w:lang w:val="nl-BE"/>
        </w:rPr>
        <w:t xml:space="preserve"> </w:t>
      </w:r>
    </w:p>
    <w:p w:rsidR="005134AD" w:rsidRDefault="005134AD" w:rsidP="00393F3C">
      <w:pPr>
        <w:spacing w:line="360" w:lineRule="auto"/>
        <w:jc w:val="both"/>
        <w:rPr>
          <w:lang w:val="nl-BE"/>
        </w:rPr>
      </w:pPr>
    </w:p>
    <w:p w:rsidR="00FD3FA2" w:rsidRDefault="000F4EC1" w:rsidP="004D710F">
      <w:pPr>
        <w:pStyle w:val="Kop3"/>
        <w:ind w:left="708"/>
      </w:pPr>
      <w:bookmarkStart w:id="12" w:name="_Toc287994234"/>
      <w:r>
        <w:t>2.2.2</w:t>
      </w:r>
      <w:r w:rsidR="00FD3FA2" w:rsidRPr="006E7662">
        <w:t xml:space="preserve"> Waarom bij deze categorie wel euthanasie?</w:t>
      </w:r>
      <w:bookmarkEnd w:id="12"/>
    </w:p>
    <w:p w:rsidR="006E7662" w:rsidRDefault="006E7662" w:rsidP="00FD3FA2">
      <w:pPr>
        <w:spacing w:line="360" w:lineRule="auto"/>
        <w:jc w:val="both"/>
        <w:rPr>
          <w:lang w:val="nl-BE"/>
        </w:rPr>
      </w:pPr>
    </w:p>
    <w:p w:rsidR="006E7662" w:rsidRDefault="00393F3C" w:rsidP="00FD3FA2">
      <w:pPr>
        <w:spacing w:line="360" w:lineRule="auto"/>
        <w:jc w:val="both"/>
        <w:rPr>
          <w:lang w:val="nl-BE"/>
        </w:rPr>
      </w:pPr>
      <w:r>
        <w:rPr>
          <w:lang w:val="nl-BE"/>
        </w:rPr>
        <w:t xml:space="preserve">Dat euthanasie bij ontvoogde minderjarige wettelijk geregeld is, is </w:t>
      </w:r>
      <w:r w:rsidR="006E7662" w:rsidRPr="006E7662">
        <w:rPr>
          <w:lang w:val="nl-BE"/>
        </w:rPr>
        <w:t>een merkwaardige uitzondering. Het niet helemaal duidelijk waarom deze categorie</w:t>
      </w:r>
      <w:r>
        <w:rPr>
          <w:lang w:val="nl-BE"/>
        </w:rPr>
        <w:t>,</w:t>
      </w:r>
      <w:r w:rsidR="006E7662" w:rsidRPr="006E7662">
        <w:rPr>
          <w:lang w:val="nl-BE"/>
        </w:rPr>
        <w:t xml:space="preserve"> </w:t>
      </w:r>
      <w:r>
        <w:rPr>
          <w:lang w:val="nl-BE"/>
        </w:rPr>
        <w:t>in tegenstelling tot andere minderjarigen, wel opgenomen werd</w:t>
      </w:r>
      <w:r w:rsidR="004F4303">
        <w:rPr>
          <w:lang w:val="nl-BE"/>
        </w:rPr>
        <w:t xml:space="preserve"> in de e</w:t>
      </w:r>
      <w:r w:rsidR="006E7662" w:rsidRPr="006E7662">
        <w:rPr>
          <w:lang w:val="nl-BE"/>
        </w:rPr>
        <w:t>uthanasiewet. Het zou een compromis zijn voor de uitsluiting van alle andere minderjarigen</w:t>
      </w:r>
      <w:r w:rsidR="00CC66D1">
        <w:rPr>
          <w:lang w:val="nl-BE"/>
        </w:rPr>
        <w:t>.</w:t>
      </w:r>
      <w:r w:rsidR="006E7662" w:rsidRPr="006E7662">
        <w:rPr>
          <w:rStyle w:val="Voetnootmarkering"/>
          <w:lang w:val="nl-BE"/>
        </w:rPr>
        <w:footnoteReference w:id="43"/>
      </w:r>
      <w:r w:rsidR="00921AE2">
        <w:rPr>
          <w:lang w:val="nl-BE"/>
        </w:rPr>
        <w:t xml:space="preserve"> </w:t>
      </w:r>
      <w:r>
        <w:rPr>
          <w:lang w:val="nl-BE"/>
        </w:rPr>
        <w:t xml:space="preserve">Sommige auteurs benadrukken dat </w:t>
      </w:r>
      <w:r w:rsidR="00921AE2">
        <w:rPr>
          <w:lang w:val="nl-BE"/>
        </w:rPr>
        <w:t xml:space="preserve">we hier niet echt te maken hebben met een ‘uitzondering’ aangezien ontvoogde minderjarigen </w:t>
      </w:r>
      <w:r w:rsidR="000F4EC1">
        <w:rPr>
          <w:lang w:val="nl-BE"/>
        </w:rPr>
        <w:t>‘</w:t>
      </w:r>
      <w:r w:rsidR="00921AE2">
        <w:rPr>
          <w:lang w:val="nl-BE"/>
        </w:rPr>
        <w:t>in beginsel</w:t>
      </w:r>
      <w:r w:rsidR="000F4EC1">
        <w:rPr>
          <w:lang w:val="nl-BE"/>
        </w:rPr>
        <w:t>’</w:t>
      </w:r>
      <w:r w:rsidR="00921AE2">
        <w:rPr>
          <w:lang w:val="nl-BE"/>
        </w:rPr>
        <w:t xml:space="preserve"> handelingsbekwaam zijn</w:t>
      </w:r>
      <w:r w:rsidR="00CC66D1">
        <w:rPr>
          <w:lang w:val="nl-BE"/>
        </w:rPr>
        <w:t>.</w:t>
      </w:r>
      <w:r w:rsidR="00A44C75">
        <w:rPr>
          <w:rStyle w:val="Voetnootmarkering"/>
          <w:lang w:val="nl-BE"/>
        </w:rPr>
        <w:footnoteReference w:id="44"/>
      </w:r>
    </w:p>
    <w:p w:rsidR="005134AD" w:rsidRDefault="005134AD" w:rsidP="00FD3FA2">
      <w:pPr>
        <w:spacing w:line="360" w:lineRule="auto"/>
        <w:jc w:val="both"/>
        <w:rPr>
          <w:lang w:val="nl-BE"/>
        </w:rPr>
      </w:pPr>
    </w:p>
    <w:p w:rsidR="00B24F29" w:rsidRDefault="000F4EC1" w:rsidP="004D710F">
      <w:pPr>
        <w:pStyle w:val="Kop3"/>
      </w:pPr>
      <w:r>
        <w:tab/>
      </w:r>
      <w:bookmarkStart w:id="13" w:name="_Toc287994235"/>
      <w:r>
        <w:t>2.2.3</w:t>
      </w:r>
      <w:r w:rsidR="00FD3FA2" w:rsidRPr="006E7662">
        <w:t xml:space="preserve"> Oneigenlijk gebruik rechtsfiguur ontvoogding</w:t>
      </w:r>
      <w:bookmarkEnd w:id="13"/>
      <w:r w:rsidR="004731A3">
        <w:t xml:space="preserve"> </w:t>
      </w:r>
    </w:p>
    <w:p w:rsidR="00393F3C" w:rsidRDefault="00393F3C" w:rsidP="00FD3FA2">
      <w:pPr>
        <w:spacing w:line="360" w:lineRule="auto"/>
        <w:jc w:val="both"/>
        <w:rPr>
          <w:lang w:val="nl-BE"/>
        </w:rPr>
      </w:pPr>
    </w:p>
    <w:p w:rsidR="006E7662" w:rsidRDefault="006E7662" w:rsidP="00FD3FA2">
      <w:pPr>
        <w:spacing w:line="360" w:lineRule="auto"/>
        <w:jc w:val="both"/>
        <w:rPr>
          <w:lang w:val="nl-BE"/>
        </w:rPr>
      </w:pPr>
      <w:r>
        <w:rPr>
          <w:lang w:val="nl-BE"/>
        </w:rPr>
        <w:t>Brengt ontvoogding</w:t>
      </w:r>
      <w:r w:rsidR="00FD3FA2" w:rsidRPr="006E7662">
        <w:rPr>
          <w:lang w:val="nl-BE"/>
        </w:rPr>
        <w:t xml:space="preserve"> dan een uitweg mee voor 15-plussers die euthanasie wensen te ondergaan? Nee. De ontvoogding kent een specifiek toepassingsgebied.</w:t>
      </w:r>
      <w:r w:rsidR="004731A3">
        <w:rPr>
          <w:lang w:val="nl-BE"/>
        </w:rPr>
        <w:t xml:space="preserve"> </w:t>
      </w:r>
      <w:r w:rsidR="00FD3FA2" w:rsidRPr="006E7662">
        <w:rPr>
          <w:lang w:val="nl-BE"/>
        </w:rPr>
        <w:t xml:space="preserve">De rechter moet steeds nagaan of de toepassingsvoorwaarden vervuld zijn en zal zo verhinderen dat men deze rechtsfiguur louter zou aanwenden om onder het toepassingsgebied van </w:t>
      </w:r>
      <w:r w:rsidR="00FD3FA2" w:rsidRPr="006E7662">
        <w:rPr>
          <w:lang w:val="nl-BE"/>
        </w:rPr>
        <w:lastRenderedPageBreak/>
        <w:t>euthanasie te vallen</w:t>
      </w:r>
      <w:r w:rsidR="000F4EC1">
        <w:rPr>
          <w:lang w:val="nl-BE"/>
        </w:rPr>
        <w:t>.</w:t>
      </w:r>
      <w:r w:rsidR="007F41E7" w:rsidRPr="006E7662">
        <w:rPr>
          <w:rStyle w:val="Voetnootmarkering"/>
          <w:lang w:val="nl-BE"/>
        </w:rPr>
        <w:footnoteReference w:id="45"/>
      </w:r>
      <w:r w:rsidR="000F4EC1">
        <w:rPr>
          <w:lang w:val="nl-BE"/>
        </w:rPr>
        <w:t xml:space="preserve"> </w:t>
      </w:r>
      <w:r w:rsidR="00FD3FA2" w:rsidRPr="006E7662">
        <w:rPr>
          <w:lang w:val="nl-BE"/>
        </w:rPr>
        <w:t>Zo wordt het ‘oneigenlijk gebruik’ van de ontvoogding uitgesloten</w:t>
      </w:r>
      <w:r w:rsidR="000F4EC1">
        <w:rPr>
          <w:lang w:val="nl-BE"/>
        </w:rPr>
        <w:t>.</w:t>
      </w:r>
      <w:r w:rsidR="007F41E7" w:rsidRPr="006E7662">
        <w:rPr>
          <w:rStyle w:val="Voetnootmarkering"/>
          <w:lang w:val="nl-BE"/>
        </w:rPr>
        <w:footnoteReference w:id="46"/>
      </w:r>
    </w:p>
    <w:p w:rsidR="005134AD" w:rsidRDefault="005134AD" w:rsidP="00FD3FA2">
      <w:pPr>
        <w:spacing w:line="360" w:lineRule="auto"/>
        <w:jc w:val="both"/>
        <w:rPr>
          <w:lang w:val="nl-BE"/>
        </w:rPr>
      </w:pPr>
    </w:p>
    <w:p w:rsidR="006E7662" w:rsidRDefault="000F4EC1" w:rsidP="004D710F">
      <w:pPr>
        <w:pStyle w:val="Kop3"/>
        <w:ind w:left="708"/>
      </w:pPr>
      <w:bookmarkStart w:id="14" w:name="_Toc287994236"/>
      <w:r>
        <w:t>2.2.4</w:t>
      </w:r>
      <w:r w:rsidR="006E7662">
        <w:t xml:space="preserve"> Is deze uitzondering verantwoord?</w:t>
      </w:r>
      <w:bookmarkEnd w:id="14"/>
    </w:p>
    <w:p w:rsidR="006E7662" w:rsidRDefault="006E7662" w:rsidP="00FD3FA2">
      <w:pPr>
        <w:spacing w:line="360" w:lineRule="auto"/>
        <w:jc w:val="both"/>
        <w:rPr>
          <w:lang w:val="nl-BE"/>
        </w:rPr>
      </w:pPr>
    </w:p>
    <w:p w:rsidR="00075D46" w:rsidRPr="006E7662" w:rsidRDefault="00FD3FA2" w:rsidP="00FD3FA2">
      <w:pPr>
        <w:spacing w:line="360" w:lineRule="auto"/>
        <w:jc w:val="both"/>
        <w:rPr>
          <w:lang w:val="nl-BE"/>
        </w:rPr>
      </w:pPr>
      <w:r w:rsidRPr="006E7662">
        <w:rPr>
          <w:lang w:val="nl-BE"/>
        </w:rPr>
        <w:t>Door de invoering van deze afzonderlijke categorie moet men zich niet enkel afvragen of het verantwoord is een onderscheid te maken tussen meerderjarigen en personen die de leeftijd van 18 jaar nog niet bereikten</w:t>
      </w:r>
      <w:r w:rsidR="00CE18F2">
        <w:rPr>
          <w:lang w:val="nl-BE"/>
        </w:rPr>
        <w:t>,</w:t>
      </w:r>
      <w:r w:rsidRPr="006E7662">
        <w:rPr>
          <w:lang w:val="nl-BE"/>
        </w:rPr>
        <w:t xml:space="preserve"> maar ook of het niet onverantwoord is een onderscheid te maken tussen minderjarigen onderlin</w:t>
      </w:r>
      <w:r w:rsidR="000F4EC1">
        <w:rPr>
          <w:lang w:val="nl-BE"/>
        </w:rPr>
        <w:t>g.</w:t>
      </w:r>
      <w:r w:rsidR="006A5FB9">
        <w:rPr>
          <w:rStyle w:val="Voetnootmarkering"/>
          <w:lang w:val="nl-BE"/>
        </w:rPr>
        <w:footnoteReference w:id="47"/>
      </w:r>
      <w:r w:rsidR="00876692" w:rsidRPr="006E7662">
        <w:rPr>
          <w:lang w:val="nl-BE"/>
        </w:rPr>
        <w:t xml:space="preserve"> Kritiek </w:t>
      </w:r>
      <w:r w:rsidR="00075D46" w:rsidRPr="006E7662">
        <w:rPr>
          <w:lang w:val="nl-BE"/>
        </w:rPr>
        <w:t>op de ontvoogding als onderscheidingscriterium bleef dan ook niet uit</w:t>
      </w:r>
      <w:r w:rsidR="000F4EC1">
        <w:rPr>
          <w:lang w:val="nl-BE"/>
        </w:rPr>
        <w:t>.</w:t>
      </w:r>
      <w:r w:rsidR="00075D46" w:rsidRPr="006E7662">
        <w:rPr>
          <w:rStyle w:val="Voetnootmarkering"/>
          <w:lang w:val="nl-BE"/>
        </w:rPr>
        <w:footnoteReference w:id="48"/>
      </w:r>
      <w:r w:rsidR="00075D46" w:rsidRPr="006E7662">
        <w:rPr>
          <w:lang w:val="nl-BE"/>
        </w:rPr>
        <w:t xml:space="preserve"> </w:t>
      </w:r>
      <w:r w:rsidR="00464F0A" w:rsidRPr="006E7662">
        <w:rPr>
          <w:lang w:val="nl-BE"/>
        </w:rPr>
        <w:t>Enerzijds wilde men tijdens de parlementaire voorbereiding alle minderjarigen uitsluiten</w:t>
      </w:r>
      <w:r w:rsidR="000F4EC1">
        <w:rPr>
          <w:lang w:val="nl-BE"/>
        </w:rPr>
        <w:t>.</w:t>
      </w:r>
      <w:r w:rsidR="002D7F03" w:rsidRPr="006E7662">
        <w:rPr>
          <w:rStyle w:val="Voetnootmarkering"/>
          <w:lang w:val="nl-BE"/>
        </w:rPr>
        <w:footnoteReference w:id="49"/>
      </w:r>
      <w:r w:rsidR="00464F0A" w:rsidRPr="006E7662">
        <w:rPr>
          <w:lang w:val="nl-BE"/>
        </w:rPr>
        <w:t xml:space="preserve"> Anderzijds werd de discriminatie tussen het aanhoudend en ondraaglijk fysiek of psychisch lijden bij minderjarigen en meerderjarigen aangekaart</w:t>
      </w:r>
      <w:r w:rsidR="000F4EC1">
        <w:rPr>
          <w:lang w:val="nl-BE"/>
        </w:rPr>
        <w:t>.</w:t>
      </w:r>
      <w:r w:rsidR="002D7F03" w:rsidRPr="006E7662">
        <w:rPr>
          <w:rStyle w:val="Voetnootmarkering"/>
          <w:lang w:val="nl-BE"/>
        </w:rPr>
        <w:footnoteReference w:id="50"/>
      </w:r>
      <w:r w:rsidR="00BB47EC">
        <w:rPr>
          <w:lang w:val="nl-BE"/>
        </w:rPr>
        <w:t xml:space="preserve"> </w:t>
      </w:r>
      <w:r w:rsidR="00E02245">
        <w:rPr>
          <w:lang w:val="nl-BE"/>
        </w:rPr>
        <w:t>Er werd namelij</w:t>
      </w:r>
      <w:r w:rsidR="000F4EC1">
        <w:rPr>
          <w:lang w:val="nl-BE"/>
        </w:rPr>
        <w:t>k aandacht gevraagd voor het</w:t>
      </w:r>
      <w:r w:rsidR="00E02245">
        <w:rPr>
          <w:lang w:val="nl-BE"/>
        </w:rPr>
        <w:t xml:space="preserve"> gegeven dat 200 kinderen jaarlijks kanker krijgen waarvan er ieder jaar een derde sterft</w:t>
      </w:r>
      <w:r w:rsidR="000F4EC1">
        <w:rPr>
          <w:lang w:val="nl-BE"/>
        </w:rPr>
        <w:t>.</w:t>
      </w:r>
      <w:r w:rsidR="000F4EC1">
        <w:rPr>
          <w:rStyle w:val="Voetnootmarkering"/>
          <w:lang w:val="nl-BE"/>
        </w:rPr>
        <w:footnoteReference w:id="51"/>
      </w:r>
      <w:r w:rsidR="00E02245">
        <w:rPr>
          <w:lang w:val="nl-BE"/>
        </w:rPr>
        <w:t xml:space="preserve"> Daarom wordt gepleit rekening te houden met het ondraaglijk lijden van deze kinderen e</w:t>
      </w:r>
      <w:r w:rsidR="002557EE">
        <w:rPr>
          <w:lang w:val="nl-BE"/>
        </w:rPr>
        <w:t>n hun vermogen en rijpheid om, eventueel samen met de ouders en afhankelijk van hun leeftijd, om euthanasie te verzoeken</w:t>
      </w:r>
      <w:r w:rsidR="00CE18F2">
        <w:rPr>
          <w:lang w:val="nl-BE"/>
        </w:rPr>
        <w:t>.</w:t>
      </w:r>
      <w:r w:rsidR="000F4EC1">
        <w:rPr>
          <w:rStyle w:val="Voetnootmarkering"/>
          <w:lang w:val="nl-BE"/>
        </w:rPr>
        <w:footnoteReference w:id="52"/>
      </w:r>
      <w:r w:rsidR="002557EE">
        <w:rPr>
          <w:lang w:val="nl-BE"/>
        </w:rPr>
        <w:t xml:space="preserve"> </w:t>
      </w:r>
      <w:r w:rsidR="00BB47EC">
        <w:rPr>
          <w:lang w:val="nl-BE"/>
        </w:rPr>
        <w:t xml:space="preserve">Niets waarborgt </w:t>
      </w:r>
      <w:r w:rsidR="00BB47EC">
        <w:rPr>
          <w:lang w:val="nl-BE"/>
        </w:rPr>
        <w:lastRenderedPageBreak/>
        <w:t>bovendien dat de ontvoogde minderjarige wel over de nodige capaciteiten beschikt om een volwaardig verzoekt tot euthanasie in te dienen</w:t>
      </w:r>
      <w:r w:rsidR="00CE18F2">
        <w:rPr>
          <w:lang w:val="nl-BE"/>
        </w:rPr>
        <w:t>.</w:t>
      </w:r>
      <w:r w:rsidR="00BB47EC">
        <w:rPr>
          <w:rStyle w:val="Voetnootmarkering"/>
          <w:lang w:val="nl-BE"/>
        </w:rPr>
        <w:footnoteReference w:id="53"/>
      </w:r>
    </w:p>
    <w:p w:rsidR="005134AD" w:rsidRDefault="005134AD" w:rsidP="00E76ECC">
      <w:pPr>
        <w:jc w:val="both"/>
        <w:rPr>
          <w:lang w:val="nl-BE"/>
        </w:rPr>
      </w:pPr>
    </w:p>
    <w:p w:rsidR="005134AD" w:rsidRPr="006E7662" w:rsidRDefault="005134AD" w:rsidP="00E76ECC">
      <w:pPr>
        <w:jc w:val="both"/>
        <w:rPr>
          <w:lang w:val="nl-BE"/>
        </w:rPr>
      </w:pPr>
    </w:p>
    <w:p w:rsidR="00FD3FA2" w:rsidRPr="006E7662" w:rsidRDefault="00FD3FA2" w:rsidP="004D710F">
      <w:pPr>
        <w:pStyle w:val="Kop2"/>
      </w:pPr>
      <w:bookmarkStart w:id="15" w:name="_Toc287994237"/>
      <w:r w:rsidRPr="006E7662">
        <w:t xml:space="preserve">2.3 </w:t>
      </w:r>
      <w:r w:rsidR="00F34258">
        <w:t>De</w:t>
      </w:r>
      <w:r w:rsidRPr="006E7662">
        <w:t xml:space="preserve"> noodtoestand</w:t>
      </w:r>
      <w:bookmarkEnd w:id="15"/>
    </w:p>
    <w:p w:rsidR="006F665A" w:rsidRPr="006E7662" w:rsidRDefault="006F665A" w:rsidP="00781AE6">
      <w:pPr>
        <w:spacing w:line="360" w:lineRule="auto"/>
        <w:jc w:val="both"/>
      </w:pPr>
    </w:p>
    <w:p w:rsidR="00E419E9" w:rsidRDefault="006F665A" w:rsidP="00781AE6">
      <w:pPr>
        <w:autoSpaceDE w:val="0"/>
        <w:autoSpaceDN w:val="0"/>
        <w:adjustRightInd w:val="0"/>
        <w:spacing w:line="360" w:lineRule="auto"/>
        <w:jc w:val="both"/>
        <w:rPr>
          <w:lang w:val="nl-BE" w:eastAsia="ja-JP"/>
        </w:rPr>
      </w:pPr>
      <w:r w:rsidRPr="006E7662">
        <w:t xml:space="preserve">Minderjarigen zijn voorlopig nog steeds uitgesloten van het toepassingsgebied. </w:t>
      </w:r>
      <w:r w:rsidR="00F251CD">
        <w:t xml:space="preserve">Een arts die euthanasie pleegt op een minderjarige brengt dus in principe </w:t>
      </w:r>
      <w:r w:rsidR="00781AE6">
        <w:t xml:space="preserve">nog </w:t>
      </w:r>
      <w:r w:rsidR="00F251CD">
        <w:t>steeds zijn strafrechtelijke aansprakelijkhe</w:t>
      </w:r>
      <w:r w:rsidR="00E419E9">
        <w:t>id in het gedrang en pleegt dus een misdrijf.</w:t>
      </w:r>
      <w:r w:rsidR="00F251CD">
        <w:rPr>
          <w:rStyle w:val="Voetnootmarkering"/>
        </w:rPr>
        <w:footnoteReference w:id="54"/>
      </w:r>
      <w:r w:rsidR="00F251CD">
        <w:t xml:space="preserve"> </w:t>
      </w:r>
      <w:r w:rsidRPr="006E7662">
        <w:t>Toch is men er van overtuigd dat minderjarigen ook euthanasie kunnen plegen, indien de situatie een beroep op de noodtoestand voor de arts rechtvaardigt</w:t>
      </w:r>
      <w:r w:rsidR="00E419E9">
        <w:t>.</w:t>
      </w:r>
      <w:r w:rsidRPr="006E7662">
        <w:rPr>
          <w:rStyle w:val="Voetnootmarkering"/>
        </w:rPr>
        <w:footnoteReference w:id="55"/>
      </w:r>
      <w:r w:rsidRPr="006E7662">
        <w:t xml:space="preserve"> </w:t>
      </w:r>
      <w:r w:rsidR="00781AE6">
        <w:t>Voor euthanasie bij minderjarigen blijft de situatie dus dezelfde als v</w:t>
      </w:r>
      <w:r w:rsidR="00E419E9">
        <w:rPr>
          <w:lang w:val="nl-BE" w:eastAsia="ja-JP"/>
        </w:rPr>
        <w:t>oor de invoerin</w:t>
      </w:r>
      <w:r w:rsidR="004F4303">
        <w:rPr>
          <w:lang w:val="nl-BE" w:eastAsia="ja-JP"/>
        </w:rPr>
        <w:t>g van de e</w:t>
      </w:r>
      <w:r w:rsidR="00781AE6">
        <w:rPr>
          <w:lang w:val="nl-BE" w:eastAsia="ja-JP"/>
        </w:rPr>
        <w:t xml:space="preserve">uthanasiewet. </w:t>
      </w:r>
    </w:p>
    <w:p w:rsidR="00E419E9" w:rsidRDefault="00E419E9" w:rsidP="00781AE6">
      <w:pPr>
        <w:autoSpaceDE w:val="0"/>
        <w:autoSpaceDN w:val="0"/>
        <w:adjustRightInd w:val="0"/>
        <w:spacing w:line="360" w:lineRule="auto"/>
        <w:jc w:val="both"/>
        <w:rPr>
          <w:lang w:val="nl-BE" w:eastAsia="ja-JP"/>
        </w:rPr>
      </w:pPr>
    </w:p>
    <w:p w:rsidR="005134AD" w:rsidRDefault="00781AE6" w:rsidP="00582BA3">
      <w:pPr>
        <w:autoSpaceDE w:val="0"/>
        <w:autoSpaceDN w:val="0"/>
        <w:adjustRightInd w:val="0"/>
        <w:spacing w:line="360" w:lineRule="auto"/>
        <w:jc w:val="both"/>
      </w:pPr>
      <w:r>
        <w:rPr>
          <w:lang w:val="nl-BE" w:eastAsia="ja-JP"/>
        </w:rPr>
        <w:t xml:space="preserve">De noodtoestand </w:t>
      </w:r>
      <w:r w:rsidR="00F251CD">
        <w:rPr>
          <w:lang w:val="nl-BE" w:eastAsia="ja-JP"/>
        </w:rPr>
        <w:t>zal voorhanden zijn als</w:t>
      </w:r>
      <w:r w:rsidR="00F251CD" w:rsidRPr="00F251CD">
        <w:rPr>
          <w:lang w:val="nl-BE" w:eastAsia="ja-JP"/>
        </w:rPr>
        <w:t xml:space="preserve"> d</w:t>
      </w:r>
      <w:r w:rsidR="00F251CD">
        <w:rPr>
          <w:lang w:val="nl-BE" w:eastAsia="ja-JP"/>
        </w:rPr>
        <w:t xml:space="preserve">e arts geconfronteerd wordt met </w:t>
      </w:r>
      <w:r w:rsidR="00F251CD" w:rsidRPr="00F251CD">
        <w:rPr>
          <w:lang w:val="nl-BE" w:eastAsia="ja-JP"/>
        </w:rPr>
        <w:t>een echt belan</w:t>
      </w:r>
      <w:r w:rsidR="00F251CD">
        <w:rPr>
          <w:lang w:val="nl-BE" w:eastAsia="ja-JP"/>
        </w:rPr>
        <w:t xml:space="preserve">genconflict waarbij hij/zij een </w:t>
      </w:r>
      <w:r w:rsidR="00F251CD" w:rsidRPr="00F251CD">
        <w:rPr>
          <w:lang w:val="nl-BE" w:eastAsia="ja-JP"/>
        </w:rPr>
        <w:t>strafrechtelijke norm overtreedt om een hoger</w:t>
      </w:r>
      <w:r>
        <w:rPr>
          <w:lang w:val="nl-BE" w:eastAsia="ja-JP"/>
        </w:rPr>
        <w:t xml:space="preserve"> </w:t>
      </w:r>
      <w:r w:rsidR="00F251CD" w:rsidRPr="00F251CD">
        <w:rPr>
          <w:lang w:val="nl-BE" w:eastAsia="ja-JP"/>
        </w:rPr>
        <w:t xml:space="preserve">belang te vrijwaren, </w:t>
      </w:r>
      <w:r w:rsidR="00F251CD" w:rsidRPr="00F251CD">
        <w:rPr>
          <w:i/>
          <w:iCs/>
          <w:lang w:val="nl-BE" w:eastAsia="ja-JP"/>
        </w:rPr>
        <w:t xml:space="preserve">in </w:t>
      </w:r>
      <w:proofErr w:type="spellStart"/>
      <w:r w:rsidR="00F251CD" w:rsidRPr="00F251CD">
        <w:rPr>
          <w:i/>
          <w:iCs/>
          <w:lang w:val="nl-BE" w:eastAsia="ja-JP"/>
        </w:rPr>
        <w:t>casu</w:t>
      </w:r>
      <w:proofErr w:type="spellEnd"/>
      <w:r w:rsidR="00F251CD" w:rsidRPr="00F251CD">
        <w:rPr>
          <w:i/>
          <w:iCs/>
          <w:lang w:val="nl-BE" w:eastAsia="ja-JP"/>
        </w:rPr>
        <w:t xml:space="preserve"> </w:t>
      </w:r>
      <w:r w:rsidR="00F251CD">
        <w:rPr>
          <w:lang w:val="nl-BE" w:eastAsia="ja-JP"/>
        </w:rPr>
        <w:t xml:space="preserve">wanneer hij het verbod </w:t>
      </w:r>
      <w:r w:rsidR="00F251CD" w:rsidRPr="00F251CD">
        <w:rPr>
          <w:lang w:val="nl-BE" w:eastAsia="ja-JP"/>
        </w:rPr>
        <w:t>te doden ove</w:t>
      </w:r>
      <w:r w:rsidR="00F251CD">
        <w:rPr>
          <w:lang w:val="nl-BE" w:eastAsia="ja-JP"/>
        </w:rPr>
        <w:t xml:space="preserve">rtreedt om een patiënt uit zijn </w:t>
      </w:r>
      <w:r w:rsidR="00F251CD" w:rsidRPr="00F251CD">
        <w:rPr>
          <w:lang w:val="nl-BE" w:eastAsia="ja-JP"/>
        </w:rPr>
        <w:t>ondraaglijk lijden te verlossen</w:t>
      </w:r>
      <w:r w:rsidR="00DB67F7">
        <w:rPr>
          <w:lang w:val="nl-BE" w:eastAsia="ja-JP"/>
        </w:rPr>
        <w:t>.</w:t>
      </w:r>
      <w:r w:rsidR="00F251CD">
        <w:rPr>
          <w:rStyle w:val="Voetnootmarkering"/>
          <w:lang w:val="nl-BE" w:eastAsia="ja-JP"/>
        </w:rPr>
        <w:footnoteReference w:id="56"/>
      </w:r>
      <w:r w:rsidR="00F251CD">
        <w:rPr>
          <w:lang w:val="nl-BE" w:eastAsia="ja-JP"/>
        </w:rPr>
        <w:t xml:space="preserve"> </w:t>
      </w:r>
      <w:r w:rsidR="0075725B">
        <w:t xml:space="preserve">Het </w:t>
      </w:r>
      <w:proofErr w:type="spellStart"/>
      <w:r w:rsidR="0075725B">
        <w:t>verderzetten</w:t>
      </w:r>
      <w:proofErr w:type="spellEnd"/>
      <w:r w:rsidR="0075725B">
        <w:t xml:space="preserve"> van de toenmalige theorie van een beroep op de noodtoestand</w:t>
      </w:r>
      <w:r w:rsidR="006F665A" w:rsidRPr="00F251CD">
        <w:t xml:space="preserve"> werd ook </w:t>
      </w:r>
      <w:r>
        <w:t xml:space="preserve">uitdrukkelijk </w:t>
      </w:r>
      <w:r w:rsidR="006F665A" w:rsidRPr="00F251CD">
        <w:t>opgenomen in de</w:t>
      </w:r>
      <w:r w:rsidR="006F665A" w:rsidRPr="006E7662">
        <w:t xml:space="preserve"> parlementaire voorbereiding</w:t>
      </w:r>
      <w:r w:rsidR="00CE18F2">
        <w:t>.</w:t>
      </w:r>
      <w:r w:rsidR="006F665A" w:rsidRPr="006E7662">
        <w:rPr>
          <w:rStyle w:val="Voetnootmarkering"/>
        </w:rPr>
        <w:footnoteReference w:id="57"/>
      </w:r>
      <w:r w:rsidR="006F665A" w:rsidRPr="006E7662">
        <w:t xml:space="preserve"> Zoals reeds a</w:t>
      </w:r>
      <w:r w:rsidR="00CE18F2">
        <w:t>angehaald, erkent de Nationale Raad van de Orde van g</w:t>
      </w:r>
      <w:r w:rsidR="006F665A" w:rsidRPr="006E7662">
        <w:t>eneesheren dat euthanasie bij minderjarigen in sommige gevallen gerechtvaardigd kan zijn</w:t>
      </w:r>
      <w:r w:rsidR="00CE18F2">
        <w:t>.</w:t>
      </w:r>
      <w:r w:rsidR="006F665A" w:rsidRPr="006E7662">
        <w:rPr>
          <w:rStyle w:val="Voetnootmarkering"/>
        </w:rPr>
        <w:footnoteReference w:id="58"/>
      </w:r>
    </w:p>
    <w:p w:rsidR="00E76ECC" w:rsidRPr="006E7662" w:rsidRDefault="00E76ECC" w:rsidP="00582BA3">
      <w:pPr>
        <w:autoSpaceDE w:val="0"/>
        <w:autoSpaceDN w:val="0"/>
        <w:adjustRightInd w:val="0"/>
        <w:spacing w:line="360" w:lineRule="auto"/>
        <w:jc w:val="both"/>
      </w:pPr>
    </w:p>
    <w:p w:rsidR="00013600" w:rsidRDefault="00FD3FA2" w:rsidP="00E76ECC">
      <w:pPr>
        <w:pStyle w:val="Kop2"/>
      </w:pPr>
      <w:bookmarkStart w:id="16" w:name="_Toc287994238"/>
      <w:r w:rsidRPr="006E7662">
        <w:lastRenderedPageBreak/>
        <w:t>2.4 Noodzaak regeling euthanasie</w:t>
      </w:r>
      <w:bookmarkStart w:id="17" w:name="_Toc287994239"/>
      <w:bookmarkEnd w:id="16"/>
    </w:p>
    <w:p w:rsidR="00E76ECC" w:rsidRDefault="00E76ECC" w:rsidP="00E76ECC">
      <w:pPr>
        <w:pStyle w:val="Kop3"/>
        <w:spacing w:line="240" w:lineRule="auto"/>
        <w:ind w:left="709"/>
      </w:pPr>
    </w:p>
    <w:p w:rsidR="00FD3FA2" w:rsidRPr="006E7662" w:rsidRDefault="005E2768" w:rsidP="004D710F">
      <w:pPr>
        <w:pStyle w:val="Kop3"/>
        <w:ind w:left="708"/>
      </w:pPr>
      <w:r>
        <w:t>2.4.1 Artikel</w:t>
      </w:r>
      <w:r w:rsidR="00FD3FA2" w:rsidRPr="006E7662">
        <w:t xml:space="preserve"> 12 Kinderrechtenverdrag</w:t>
      </w:r>
      <w:bookmarkEnd w:id="17"/>
    </w:p>
    <w:p w:rsidR="00123FD2" w:rsidRPr="006E7662" w:rsidRDefault="00123FD2" w:rsidP="00FD3FA2">
      <w:pPr>
        <w:spacing w:line="360" w:lineRule="auto"/>
        <w:jc w:val="both"/>
        <w:rPr>
          <w:lang w:val="nl-BE"/>
        </w:rPr>
      </w:pPr>
    </w:p>
    <w:p w:rsidR="00A85BE0" w:rsidRDefault="002B2429" w:rsidP="00A85BE0">
      <w:pPr>
        <w:spacing w:line="360" w:lineRule="auto"/>
        <w:jc w:val="both"/>
        <w:rPr>
          <w:lang w:val="nl-BE"/>
        </w:rPr>
      </w:pPr>
      <w:r>
        <w:rPr>
          <w:lang w:val="nl-BE"/>
        </w:rPr>
        <w:t>In het K</w:t>
      </w:r>
      <w:r w:rsidR="00F34258">
        <w:rPr>
          <w:lang w:val="nl-BE"/>
        </w:rPr>
        <w:t>inderrechtenverdrag</w:t>
      </w:r>
      <w:r w:rsidR="005E2768" w:rsidRPr="006E7662">
        <w:rPr>
          <w:rStyle w:val="Voetnootmarkering"/>
          <w:lang w:val="nl-BE"/>
        </w:rPr>
        <w:footnoteReference w:id="59"/>
      </w:r>
      <w:r w:rsidR="005E2768">
        <w:rPr>
          <w:lang w:val="nl-BE"/>
        </w:rPr>
        <w:t xml:space="preserve"> </w:t>
      </w:r>
      <w:r w:rsidR="00F34258">
        <w:rPr>
          <w:lang w:val="nl-BE"/>
        </w:rPr>
        <w:t>vin</w:t>
      </w:r>
      <w:r w:rsidR="00A85BE0">
        <w:rPr>
          <w:lang w:val="nl-BE"/>
        </w:rPr>
        <w:t>den we drie soorten rechten. Het recht op bescherming (o.a. het recht op leven</w:t>
      </w:r>
      <w:r w:rsidR="00EC52BB">
        <w:rPr>
          <w:rStyle w:val="Voetnootmarkering"/>
          <w:lang w:val="nl-BE"/>
        </w:rPr>
        <w:footnoteReference w:id="60"/>
      </w:r>
      <w:r w:rsidR="00A85BE0">
        <w:rPr>
          <w:lang w:val="nl-BE"/>
        </w:rPr>
        <w:t>, het verbod van foltering</w:t>
      </w:r>
      <w:r w:rsidR="00EC52BB">
        <w:rPr>
          <w:lang w:val="nl-BE"/>
        </w:rPr>
        <w:t xml:space="preserve"> en een</w:t>
      </w:r>
      <w:r w:rsidR="00A85BE0">
        <w:rPr>
          <w:lang w:val="nl-BE"/>
        </w:rPr>
        <w:t xml:space="preserve"> mensonterende behandeling</w:t>
      </w:r>
      <w:r w:rsidR="00EC52BB">
        <w:rPr>
          <w:rStyle w:val="Voetnootmarkering"/>
          <w:lang w:val="nl-BE"/>
        </w:rPr>
        <w:footnoteReference w:id="61"/>
      </w:r>
      <w:r w:rsidR="00A85BE0">
        <w:rPr>
          <w:lang w:val="nl-BE"/>
        </w:rPr>
        <w:t xml:space="preserve">), het recht op voorzieningen (o.a. het recht op </w:t>
      </w:r>
      <w:r w:rsidR="00EC52BB">
        <w:rPr>
          <w:lang w:val="nl-BE"/>
        </w:rPr>
        <w:t>het genot van de</w:t>
      </w:r>
      <w:r w:rsidR="00A85BE0">
        <w:rPr>
          <w:lang w:val="nl-BE"/>
        </w:rPr>
        <w:t xml:space="preserve"> groot</w:t>
      </w:r>
      <w:r w:rsidR="00EC52BB">
        <w:rPr>
          <w:lang w:val="nl-BE"/>
        </w:rPr>
        <w:t>st</w:t>
      </w:r>
      <w:r w:rsidR="00A85BE0">
        <w:rPr>
          <w:lang w:val="nl-BE"/>
        </w:rPr>
        <w:t xml:space="preserve"> mogelijke</w:t>
      </w:r>
      <w:r w:rsidR="00EC52BB">
        <w:rPr>
          <w:lang w:val="nl-BE"/>
        </w:rPr>
        <w:t xml:space="preserve"> mate van </w:t>
      </w:r>
      <w:r w:rsidR="00A85BE0">
        <w:rPr>
          <w:lang w:val="nl-BE"/>
        </w:rPr>
        <w:t>gezondh</w:t>
      </w:r>
      <w:r w:rsidR="00EC52BB">
        <w:rPr>
          <w:lang w:val="nl-BE"/>
        </w:rPr>
        <w:t xml:space="preserve">eid en </w:t>
      </w:r>
      <w:r w:rsidR="00A85BE0">
        <w:rPr>
          <w:lang w:val="nl-BE"/>
        </w:rPr>
        <w:t>toegang tot gezondheidsvoorzieningen</w:t>
      </w:r>
      <w:r w:rsidR="00EC52BB">
        <w:rPr>
          <w:rStyle w:val="Voetnootmarkering"/>
          <w:lang w:val="nl-BE"/>
        </w:rPr>
        <w:footnoteReference w:id="62"/>
      </w:r>
      <w:r w:rsidR="00A85BE0">
        <w:rPr>
          <w:lang w:val="nl-BE"/>
        </w:rPr>
        <w:t xml:space="preserve">, waaronder ook </w:t>
      </w:r>
      <w:proofErr w:type="spellStart"/>
      <w:r w:rsidR="00A85BE0">
        <w:rPr>
          <w:lang w:val="nl-BE"/>
        </w:rPr>
        <w:t>palliatieve</w:t>
      </w:r>
      <w:proofErr w:type="spellEnd"/>
      <w:r w:rsidR="00A85BE0">
        <w:rPr>
          <w:lang w:val="nl-BE"/>
        </w:rPr>
        <w:t xml:space="preserve"> hulp) en het recht op participatie (o.a. artikelen 12 en 13 Kinderrechtenverdrag waarbij een minderjarige naargelang zijn leeftijd inspraak geniet)</w:t>
      </w:r>
      <w:r w:rsidR="00013600">
        <w:rPr>
          <w:lang w:val="nl-BE"/>
        </w:rPr>
        <w:t>.</w:t>
      </w:r>
      <w:r w:rsidR="00EC52BB">
        <w:rPr>
          <w:rStyle w:val="Voetnootmarkering"/>
          <w:lang w:val="nl-BE"/>
        </w:rPr>
        <w:footnoteReference w:id="63"/>
      </w:r>
      <w:r w:rsidR="00A85BE0">
        <w:rPr>
          <w:lang w:val="nl-BE"/>
        </w:rPr>
        <w:t xml:space="preserve"> </w:t>
      </w:r>
    </w:p>
    <w:p w:rsidR="00577BC8" w:rsidRDefault="00577BC8" w:rsidP="00A85BE0">
      <w:pPr>
        <w:spacing w:line="360" w:lineRule="auto"/>
        <w:jc w:val="both"/>
        <w:rPr>
          <w:lang w:val="nl-BE"/>
        </w:rPr>
      </w:pPr>
    </w:p>
    <w:p w:rsidR="00A85BE0" w:rsidRPr="006E7662" w:rsidRDefault="005E2768" w:rsidP="00A85BE0">
      <w:pPr>
        <w:spacing w:line="360" w:lineRule="auto"/>
        <w:jc w:val="both"/>
        <w:rPr>
          <w:lang w:val="nl-BE"/>
        </w:rPr>
      </w:pPr>
      <w:r>
        <w:rPr>
          <w:lang w:val="nl-BE"/>
        </w:rPr>
        <w:t xml:space="preserve">Artikel </w:t>
      </w:r>
      <w:r w:rsidR="00A85BE0" w:rsidRPr="006E7662">
        <w:rPr>
          <w:lang w:val="nl-BE"/>
        </w:rPr>
        <w:t>12 Kinderrechtenverdrag</w:t>
      </w:r>
      <w:r>
        <w:rPr>
          <w:lang w:val="nl-BE"/>
        </w:rPr>
        <w:t xml:space="preserve"> </w:t>
      </w:r>
      <w:r w:rsidR="00577BC8">
        <w:rPr>
          <w:lang w:val="nl-BE"/>
        </w:rPr>
        <w:t xml:space="preserve">als emanatie van het zelfbeschikkingsrecht voor minderjarigen bij medische behandelingen </w:t>
      </w:r>
      <w:r w:rsidR="00A85BE0" w:rsidRPr="006E7662">
        <w:rPr>
          <w:lang w:val="nl-BE"/>
        </w:rPr>
        <w:t>bepaalt het volgende:</w:t>
      </w:r>
    </w:p>
    <w:p w:rsidR="00A85BE0" w:rsidRPr="006E7662" w:rsidRDefault="00A85BE0" w:rsidP="00A85BE0">
      <w:pPr>
        <w:spacing w:line="360" w:lineRule="auto"/>
        <w:jc w:val="both"/>
        <w:rPr>
          <w:lang w:val="nl-BE"/>
        </w:rPr>
      </w:pPr>
    </w:p>
    <w:p w:rsidR="00A85BE0" w:rsidRPr="006E7662" w:rsidRDefault="00A85BE0" w:rsidP="00A85BE0">
      <w:pPr>
        <w:spacing w:line="360" w:lineRule="auto"/>
        <w:jc w:val="both"/>
        <w:rPr>
          <w:i/>
          <w:lang w:val="nl-BE"/>
        </w:rPr>
      </w:pPr>
      <w:r w:rsidRPr="006E7662">
        <w:rPr>
          <w:lang w:val="nl-BE"/>
        </w:rPr>
        <w:t>‘</w:t>
      </w:r>
      <w:r w:rsidRPr="006E7662">
        <w:rPr>
          <w:i/>
          <w:lang w:val="nl-BE"/>
        </w:rPr>
        <w:t>1. De staten die partij zijn, verzekeren het kind dat in staat is zijn of haar eigen mening te vormen, het recht die mening vrijelijk te uiten in alle aangelegenheden die het kind betreffen, waarbij aan die mening van het kind passend belang wordt gehecht in overeenstemming met zijn of haar leeftijd en rijpheid.</w:t>
      </w:r>
    </w:p>
    <w:p w:rsidR="00A85BE0" w:rsidRPr="006E7662" w:rsidRDefault="00A85BE0" w:rsidP="00A85BE0">
      <w:pPr>
        <w:spacing w:line="360" w:lineRule="auto"/>
        <w:jc w:val="both"/>
        <w:rPr>
          <w:i/>
          <w:lang w:val="nl-BE"/>
        </w:rPr>
      </w:pPr>
    </w:p>
    <w:p w:rsidR="00A85BE0" w:rsidRPr="006E7662" w:rsidRDefault="00A85BE0" w:rsidP="00A85BE0">
      <w:pPr>
        <w:spacing w:line="360" w:lineRule="auto"/>
        <w:jc w:val="both"/>
        <w:rPr>
          <w:lang w:val="nl-BE"/>
        </w:rPr>
      </w:pPr>
      <w:r w:rsidRPr="006E7662">
        <w:rPr>
          <w:i/>
          <w:lang w:val="nl-BE"/>
        </w:rPr>
        <w:t>2. Hiertoe wordt het kind met name in de gelegenheid gesteld te worden verhoord in iedere gerechtelijke en bestuurlijke procedure die het kind betreft, hetzij rechtstreeks, hetzij door tussenkomst van een vertegenwoordiger o</w:t>
      </w:r>
      <w:r w:rsidR="00013600">
        <w:rPr>
          <w:i/>
          <w:lang w:val="nl-BE"/>
        </w:rPr>
        <w:t>f een daarvoor geschikte instel</w:t>
      </w:r>
      <w:r w:rsidRPr="006E7662">
        <w:rPr>
          <w:i/>
          <w:lang w:val="nl-BE"/>
        </w:rPr>
        <w:t>ling, op een wijze die verenigbaar is met de procedureregels van het nationale recht.</w:t>
      </w:r>
      <w:r w:rsidRPr="006E7662">
        <w:rPr>
          <w:lang w:val="nl-BE"/>
        </w:rPr>
        <w:t>’</w:t>
      </w:r>
    </w:p>
    <w:p w:rsidR="00577BC8" w:rsidRDefault="00577BC8" w:rsidP="00577BC8">
      <w:pPr>
        <w:spacing w:line="360" w:lineRule="auto"/>
        <w:jc w:val="both"/>
        <w:rPr>
          <w:lang w:val="nl-BE"/>
        </w:rPr>
      </w:pPr>
    </w:p>
    <w:p w:rsidR="00577BC8" w:rsidRPr="006E7662" w:rsidRDefault="00577BC8" w:rsidP="00577BC8">
      <w:pPr>
        <w:spacing w:line="360" w:lineRule="auto"/>
        <w:jc w:val="both"/>
        <w:rPr>
          <w:lang w:val="nl-BE"/>
        </w:rPr>
      </w:pPr>
      <w:r>
        <w:rPr>
          <w:lang w:val="nl-BE"/>
        </w:rPr>
        <w:lastRenderedPageBreak/>
        <w:t xml:space="preserve">De plicht tot bescherming van een kind waartoe een verdragspartij zich verbindt, verhindert niet dat een staat een </w:t>
      </w:r>
      <w:r w:rsidR="00E15DC4">
        <w:rPr>
          <w:lang w:val="nl-BE"/>
        </w:rPr>
        <w:t>euthanasie</w:t>
      </w:r>
      <w:r>
        <w:rPr>
          <w:lang w:val="nl-BE"/>
        </w:rPr>
        <w:t>regeling voor minderjarigen uitwerkt</w:t>
      </w:r>
      <w:r w:rsidR="00BA5C45">
        <w:rPr>
          <w:lang w:val="nl-BE"/>
        </w:rPr>
        <w:t>.</w:t>
      </w:r>
      <w:r>
        <w:rPr>
          <w:rStyle w:val="Voetnootmarkering"/>
          <w:lang w:val="nl-BE"/>
        </w:rPr>
        <w:footnoteReference w:id="64"/>
      </w:r>
      <w:r>
        <w:rPr>
          <w:lang w:val="nl-BE"/>
        </w:rPr>
        <w:t xml:space="preserve"> </w:t>
      </w:r>
      <w:r w:rsidR="00E15DC4">
        <w:rPr>
          <w:lang w:val="nl-BE"/>
        </w:rPr>
        <w:t>Uit het v</w:t>
      </w:r>
      <w:r w:rsidR="00013600">
        <w:rPr>
          <w:lang w:val="nl-BE"/>
        </w:rPr>
        <w:t>erdrag kan geen verplichting noch</w:t>
      </w:r>
      <w:r w:rsidR="00E15DC4">
        <w:rPr>
          <w:lang w:val="nl-BE"/>
        </w:rPr>
        <w:t xml:space="preserve"> een verbod afgeleid worden. Het komt dus aan de staat zelf toe om, gelet op zijn beleidsvrijheid, te beslissen over de opportuniteit van een euthanasiewet voor minderjarigen</w:t>
      </w:r>
      <w:r w:rsidR="00E419E9">
        <w:rPr>
          <w:lang w:val="nl-BE"/>
        </w:rPr>
        <w:t>.</w:t>
      </w:r>
      <w:r w:rsidR="00E15DC4">
        <w:rPr>
          <w:rStyle w:val="Voetnootmarkering"/>
          <w:lang w:val="nl-BE"/>
        </w:rPr>
        <w:footnoteReference w:id="65"/>
      </w:r>
      <w:r w:rsidR="00E15DC4">
        <w:rPr>
          <w:lang w:val="nl-BE"/>
        </w:rPr>
        <w:t xml:space="preserve"> </w:t>
      </w:r>
      <w:r>
        <w:rPr>
          <w:lang w:val="nl-BE"/>
        </w:rPr>
        <w:t>De staat zal de beschermings</w:t>
      </w:r>
      <w:r w:rsidR="00E15DC4">
        <w:rPr>
          <w:lang w:val="nl-BE"/>
        </w:rPr>
        <w:t>rechten</w:t>
      </w:r>
      <w:r>
        <w:rPr>
          <w:lang w:val="nl-BE"/>
        </w:rPr>
        <w:t xml:space="preserve"> moeten afwegen tegen het aangehaalde zelfbeschikkingsrecht van de minderjarige</w:t>
      </w:r>
      <w:r w:rsidR="00E419E9">
        <w:rPr>
          <w:lang w:val="nl-BE"/>
        </w:rPr>
        <w:t>.</w:t>
      </w:r>
      <w:r>
        <w:rPr>
          <w:rStyle w:val="Voetnootmarkering"/>
          <w:lang w:val="nl-BE"/>
        </w:rPr>
        <w:footnoteReference w:id="66"/>
      </w:r>
      <w:r>
        <w:rPr>
          <w:lang w:val="nl-BE"/>
        </w:rPr>
        <w:t xml:space="preserve"> </w:t>
      </w:r>
    </w:p>
    <w:p w:rsidR="00A85BE0" w:rsidRDefault="00A85BE0" w:rsidP="002C59DD">
      <w:pPr>
        <w:spacing w:line="360" w:lineRule="auto"/>
        <w:jc w:val="both"/>
        <w:rPr>
          <w:lang w:val="nl-BE"/>
        </w:rPr>
      </w:pPr>
    </w:p>
    <w:p w:rsidR="002C59DD" w:rsidRPr="006E7662" w:rsidRDefault="002C59DD" w:rsidP="002C59DD">
      <w:pPr>
        <w:spacing w:line="360" w:lineRule="auto"/>
        <w:jc w:val="both"/>
        <w:rPr>
          <w:lang w:val="nl-BE"/>
        </w:rPr>
      </w:pPr>
      <w:r w:rsidRPr="006E7662">
        <w:rPr>
          <w:lang w:val="nl-BE"/>
        </w:rPr>
        <w:t>Op basis van het Kinderrechtenverdrag werd België ver</w:t>
      </w:r>
      <w:r w:rsidR="00013600">
        <w:rPr>
          <w:lang w:val="nl-BE"/>
        </w:rPr>
        <w:t>plicht om artikel 12</w:t>
      </w:r>
      <w:r w:rsidR="00237ABC" w:rsidRPr="006E7662">
        <w:rPr>
          <w:lang w:val="nl-BE"/>
        </w:rPr>
        <w:t xml:space="preserve"> op te nemen in het nationale rech</w:t>
      </w:r>
      <w:r w:rsidR="00E419E9">
        <w:rPr>
          <w:lang w:val="nl-BE"/>
        </w:rPr>
        <w:t>t.</w:t>
      </w:r>
      <w:r w:rsidR="00237ABC" w:rsidRPr="006E7662">
        <w:rPr>
          <w:rStyle w:val="Voetnootmarkering"/>
          <w:lang w:val="nl-BE"/>
        </w:rPr>
        <w:footnoteReference w:id="67"/>
      </w:r>
      <w:r w:rsidR="00237ABC" w:rsidRPr="006E7662">
        <w:rPr>
          <w:lang w:val="nl-BE"/>
        </w:rPr>
        <w:t xml:space="preserve"> Dit gebeurde uiteindelijk in art</w:t>
      </w:r>
      <w:r w:rsidR="00E419E9">
        <w:rPr>
          <w:lang w:val="nl-BE"/>
        </w:rPr>
        <w:t>ikel</w:t>
      </w:r>
      <w:r w:rsidR="00237ABC" w:rsidRPr="006E7662">
        <w:rPr>
          <w:lang w:val="nl-BE"/>
        </w:rPr>
        <w:t xml:space="preserve"> 12 </w:t>
      </w:r>
      <w:r w:rsidR="00E419E9" w:rsidRPr="006E7662">
        <w:rPr>
          <w:lang w:val="nl-BE"/>
        </w:rPr>
        <w:t>Wet van 22 augustus 2002 betreffende de rechten van de patiënt</w:t>
      </w:r>
      <w:r w:rsidR="00E419E9">
        <w:rPr>
          <w:rStyle w:val="Voetnootmarkering"/>
          <w:lang w:val="nl-BE"/>
        </w:rPr>
        <w:footnoteReference w:id="68"/>
      </w:r>
      <w:r w:rsidR="00013600">
        <w:rPr>
          <w:lang w:val="nl-BE"/>
        </w:rPr>
        <w:t>.</w:t>
      </w:r>
    </w:p>
    <w:p w:rsidR="00237ABC" w:rsidRPr="006E7662" w:rsidRDefault="00237ABC" w:rsidP="002C59DD">
      <w:pPr>
        <w:spacing w:line="360" w:lineRule="auto"/>
        <w:jc w:val="both"/>
        <w:rPr>
          <w:lang w:val="nl-BE"/>
        </w:rPr>
      </w:pPr>
    </w:p>
    <w:p w:rsidR="00FD3FA2" w:rsidRPr="006E7662" w:rsidRDefault="00FD3FA2" w:rsidP="004D710F">
      <w:pPr>
        <w:pStyle w:val="Kop3"/>
      </w:pPr>
      <w:r w:rsidRPr="006E7662">
        <w:tab/>
      </w:r>
      <w:bookmarkStart w:id="18" w:name="_Toc287994240"/>
      <w:r w:rsidR="005E2768">
        <w:t>2.4.2 Artikel</w:t>
      </w:r>
      <w:r w:rsidRPr="006E7662">
        <w:t xml:space="preserve"> 12 Wet </w:t>
      </w:r>
      <w:r w:rsidR="00E419E9">
        <w:t>Patiëntenrechten</w:t>
      </w:r>
      <w:bookmarkEnd w:id="18"/>
    </w:p>
    <w:p w:rsidR="00123FD2" w:rsidRPr="006E7662" w:rsidRDefault="00123FD2" w:rsidP="00FD3FA2">
      <w:pPr>
        <w:spacing w:line="360" w:lineRule="auto"/>
        <w:jc w:val="both"/>
        <w:rPr>
          <w:lang w:val="nl-BE"/>
        </w:rPr>
      </w:pPr>
    </w:p>
    <w:p w:rsidR="00123FD2" w:rsidRPr="006E7662" w:rsidRDefault="00123FD2" w:rsidP="00FD3FA2">
      <w:pPr>
        <w:spacing w:line="360" w:lineRule="auto"/>
        <w:jc w:val="both"/>
        <w:rPr>
          <w:lang w:val="nl-BE"/>
        </w:rPr>
      </w:pPr>
      <w:r w:rsidRPr="006E7662">
        <w:rPr>
          <w:lang w:val="nl-BE"/>
        </w:rPr>
        <w:t xml:space="preserve">Art 12 Wet Patiëntenrechten bepaalt het volgende: </w:t>
      </w:r>
      <w:r w:rsidRPr="006E7662">
        <w:rPr>
          <w:lang w:val="nl-BE"/>
        </w:rPr>
        <w:tab/>
      </w:r>
    </w:p>
    <w:p w:rsidR="00237ABC" w:rsidRPr="006E7662" w:rsidRDefault="00237ABC" w:rsidP="00237ABC">
      <w:pPr>
        <w:spacing w:line="360" w:lineRule="auto"/>
        <w:jc w:val="both"/>
        <w:rPr>
          <w:i/>
          <w:lang w:val="nl-BE"/>
        </w:rPr>
      </w:pPr>
    </w:p>
    <w:p w:rsidR="00123FD2" w:rsidRPr="006E7662" w:rsidRDefault="002C59DD" w:rsidP="00237ABC">
      <w:pPr>
        <w:spacing w:line="360" w:lineRule="auto"/>
        <w:jc w:val="both"/>
        <w:rPr>
          <w:i/>
          <w:lang w:val="nl-BE"/>
        </w:rPr>
      </w:pPr>
      <w:r w:rsidRPr="006E7662">
        <w:rPr>
          <w:i/>
          <w:lang w:val="nl-BE"/>
        </w:rPr>
        <w:t>‘</w:t>
      </w:r>
      <w:r w:rsidR="00123FD2" w:rsidRPr="006E7662">
        <w:rPr>
          <w:i/>
          <w:lang w:val="nl-BE"/>
        </w:rPr>
        <w:t>§1 Bij een patiënt die minderjarig is, worden de rechten zoals vastgesteld door deze wet uitgeoefend door de ouders die het gezag over de minderjarige uitoefenen of door zijn voogd.</w:t>
      </w:r>
    </w:p>
    <w:p w:rsidR="002C59DD" w:rsidRPr="006E7662" w:rsidRDefault="002C59DD" w:rsidP="002C59DD">
      <w:pPr>
        <w:spacing w:line="360" w:lineRule="auto"/>
        <w:ind w:left="708"/>
        <w:jc w:val="both"/>
        <w:rPr>
          <w:i/>
          <w:lang w:val="nl-BE"/>
        </w:rPr>
      </w:pPr>
    </w:p>
    <w:p w:rsidR="00123FD2" w:rsidRPr="006E7662" w:rsidRDefault="00123FD2" w:rsidP="00237ABC">
      <w:pPr>
        <w:spacing w:line="360" w:lineRule="auto"/>
        <w:jc w:val="both"/>
        <w:rPr>
          <w:i/>
          <w:lang w:val="nl-BE"/>
        </w:rPr>
      </w:pPr>
      <w:r w:rsidRPr="006E7662">
        <w:rPr>
          <w:i/>
          <w:lang w:val="nl-BE"/>
        </w:rPr>
        <w:t>§2 De patiënt wordt betrokken bij de uitoefening van zijn rechten rekening houdend met zijn leeftijd en maturiteit. De in deze wet opgesomde rechten kunnen door de minderjarige patiënt die tot een r</w:t>
      </w:r>
      <w:r w:rsidR="002C59DD" w:rsidRPr="006E7662">
        <w:rPr>
          <w:i/>
          <w:lang w:val="nl-BE"/>
        </w:rPr>
        <w:t>edelijke beoordeling van zijn belangen in staat kan worden geacht, zelfstandig worden uitgeoefend.’</w:t>
      </w:r>
    </w:p>
    <w:p w:rsidR="00123FD2" w:rsidRPr="006E7662" w:rsidRDefault="00123FD2" w:rsidP="00FD3FA2">
      <w:pPr>
        <w:spacing w:line="360" w:lineRule="auto"/>
        <w:jc w:val="both"/>
        <w:rPr>
          <w:lang w:val="nl-BE"/>
        </w:rPr>
      </w:pPr>
    </w:p>
    <w:p w:rsidR="00914C0F" w:rsidRPr="00E76ECC" w:rsidRDefault="00914C0F" w:rsidP="00E76ECC">
      <w:pPr>
        <w:autoSpaceDE w:val="0"/>
        <w:autoSpaceDN w:val="0"/>
        <w:adjustRightInd w:val="0"/>
        <w:spacing w:line="360" w:lineRule="auto"/>
        <w:jc w:val="both"/>
        <w:rPr>
          <w:lang w:val="nl-BE"/>
        </w:rPr>
      </w:pPr>
      <w:r w:rsidRPr="00E76ECC">
        <w:rPr>
          <w:lang w:val="nl-BE"/>
        </w:rPr>
        <w:lastRenderedPageBreak/>
        <w:t>Een minderjarige patiënt heeft op basis van artikel 12 §1 dezelfde rechten als een meerderjarige.</w:t>
      </w:r>
      <w:r w:rsidRPr="00E76ECC">
        <w:rPr>
          <w:rStyle w:val="Voetnootmarkering"/>
          <w:lang w:val="nl-BE"/>
        </w:rPr>
        <w:footnoteReference w:id="69"/>
      </w:r>
      <w:r w:rsidRPr="00E76ECC">
        <w:rPr>
          <w:lang w:val="nl-BE"/>
        </w:rPr>
        <w:t xml:space="preserve"> Alleen kan de minderjarige deze rechten niet zelfstandig uitoefenen</w:t>
      </w:r>
      <w:r w:rsidR="00E419E9" w:rsidRPr="00E76ECC">
        <w:rPr>
          <w:lang w:val="nl-BE"/>
        </w:rPr>
        <w:t>.</w:t>
      </w:r>
      <w:r w:rsidRPr="00E76ECC">
        <w:rPr>
          <w:rStyle w:val="Voetnootmarkering"/>
          <w:lang w:val="nl-BE"/>
        </w:rPr>
        <w:footnoteReference w:id="70"/>
      </w:r>
      <w:r w:rsidRPr="00E76ECC">
        <w:rPr>
          <w:lang w:val="nl-BE"/>
        </w:rPr>
        <w:t xml:space="preserve"> Dit wordt echter afgezwakt door artikel 12 §2</w:t>
      </w:r>
      <w:r w:rsidR="00E419E9" w:rsidRPr="00E76ECC">
        <w:rPr>
          <w:lang w:val="nl-BE"/>
        </w:rPr>
        <w:t>.</w:t>
      </w:r>
      <w:r w:rsidR="004F4133" w:rsidRPr="00E76ECC">
        <w:rPr>
          <w:rStyle w:val="Voetnootmarkering"/>
          <w:lang w:val="nl-BE"/>
        </w:rPr>
        <w:footnoteReference w:id="71"/>
      </w:r>
    </w:p>
    <w:p w:rsidR="00914C0F" w:rsidRPr="00E76ECC" w:rsidRDefault="00914C0F" w:rsidP="00E76ECC">
      <w:pPr>
        <w:autoSpaceDE w:val="0"/>
        <w:autoSpaceDN w:val="0"/>
        <w:adjustRightInd w:val="0"/>
        <w:spacing w:line="360" w:lineRule="auto"/>
        <w:jc w:val="both"/>
        <w:rPr>
          <w:lang w:val="nl-BE"/>
        </w:rPr>
      </w:pPr>
    </w:p>
    <w:p w:rsidR="00BD65D0" w:rsidRPr="00E76ECC" w:rsidRDefault="00FD3FA2" w:rsidP="00E76ECC">
      <w:pPr>
        <w:autoSpaceDE w:val="0"/>
        <w:autoSpaceDN w:val="0"/>
        <w:adjustRightInd w:val="0"/>
        <w:spacing w:line="360" w:lineRule="auto"/>
        <w:jc w:val="both"/>
        <w:rPr>
          <w:lang w:val="nl-BE" w:eastAsia="ja-JP"/>
        </w:rPr>
      </w:pPr>
      <w:r w:rsidRPr="00E76ECC">
        <w:rPr>
          <w:lang w:val="nl-BE"/>
        </w:rPr>
        <w:t>In het</w:t>
      </w:r>
      <w:r w:rsidR="00781AE6" w:rsidRPr="00E76ECC">
        <w:rPr>
          <w:lang w:val="nl-BE"/>
        </w:rPr>
        <w:t xml:space="preserve"> Kinderrechtenverdrag en in artikel</w:t>
      </w:r>
      <w:r w:rsidRPr="00E76ECC">
        <w:rPr>
          <w:lang w:val="nl-BE"/>
        </w:rPr>
        <w:t xml:space="preserve"> 12 §2 van de wet betreffende de rechten van de </w:t>
      </w:r>
      <w:r w:rsidR="002B2429" w:rsidRPr="00E76ECC">
        <w:rPr>
          <w:lang w:val="nl-BE"/>
        </w:rPr>
        <w:t>patiënt ter uitvoering van dit K</w:t>
      </w:r>
      <w:r w:rsidRPr="00E76ECC">
        <w:rPr>
          <w:lang w:val="nl-BE"/>
        </w:rPr>
        <w:t>inderrechtenverdrag wordt duidelijk gesteld dat een kind op basis van zijn maturiteit en leeftijd betrokken wordt bij zijn behandeling en zelfstandig de in de wet o</w:t>
      </w:r>
      <w:r w:rsidR="001710F2" w:rsidRPr="00E76ECC">
        <w:rPr>
          <w:lang w:val="nl-BE"/>
        </w:rPr>
        <w:t>pgesomd</w:t>
      </w:r>
      <w:r w:rsidR="00BD1AD7" w:rsidRPr="00E76ECC">
        <w:rPr>
          <w:lang w:val="nl-BE"/>
        </w:rPr>
        <w:t xml:space="preserve">e rechten kan uitoefenen </w:t>
      </w:r>
      <w:r w:rsidRPr="00E76ECC">
        <w:rPr>
          <w:lang w:val="nl-BE"/>
        </w:rPr>
        <w:t xml:space="preserve">vanaf het moment dat hij </w:t>
      </w:r>
      <w:r w:rsidR="006F665A" w:rsidRPr="00E76ECC">
        <w:rPr>
          <w:lang w:val="nl-BE"/>
        </w:rPr>
        <w:t xml:space="preserve">of zij </w:t>
      </w:r>
      <w:r w:rsidRPr="00E76ECC">
        <w:rPr>
          <w:lang w:val="nl-BE"/>
        </w:rPr>
        <w:t xml:space="preserve">hiertoe in staat is. </w:t>
      </w:r>
      <w:r w:rsidR="00D51576" w:rsidRPr="00E76ECC">
        <w:rPr>
          <w:lang w:val="nl-BE"/>
        </w:rPr>
        <w:t xml:space="preserve">Hierbij kan rekening gehouden worden met </w:t>
      </w:r>
      <w:r w:rsidR="00D51576" w:rsidRPr="00E76ECC">
        <w:rPr>
          <w:lang w:val="nl-BE" w:eastAsia="ja-JP"/>
        </w:rPr>
        <w:t>de aard en de ernst van de medische interventie, de leeftijd van de minderjarige, de capaciteiten tot begrijpen en de emotionele en intellectuele maturiteit van de betrokkene</w:t>
      </w:r>
      <w:r w:rsidR="00E419E9" w:rsidRPr="00E76ECC">
        <w:rPr>
          <w:lang w:val="nl-BE" w:eastAsia="ja-JP"/>
        </w:rPr>
        <w:t>.</w:t>
      </w:r>
      <w:r w:rsidR="00D51576" w:rsidRPr="00E76ECC">
        <w:rPr>
          <w:rStyle w:val="Voetnootmarkering"/>
          <w:lang w:val="nl-BE" w:eastAsia="ja-JP"/>
        </w:rPr>
        <w:footnoteReference w:id="72"/>
      </w:r>
      <w:r w:rsidR="00D51576" w:rsidRPr="00E76ECC">
        <w:rPr>
          <w:sz w:val="12"/>
          <w:szCs w:val="12"/>
          <w:lang w:val="nl-BE" w:eastAsia="ja-JP"/>
        </w:rPr>
        <w:t xml:space="preserve"> </w:t>
      </w:r>
      <w:r w:rsidR="002557EE" w:rsidRPr="00E76ECC">
        <w:rPr>
          <w:sz w:val="12"/>
          <w:szCs w:val="12"/>
          <w:lang w:val="nl-BE" w:eastAsia="ja-JP"/>
        </w:rPr>
        <w:t xml:space="preserve"> </w:t>
      </w:r>
      <w:r w:rsidR="003E0B58" w:rsidRPr="00E76ECC">
        <w:rPr>
          <w:lang w:val="nl-BE" w:eastAsia="ja-JP"/>
        </w:rPr>
        <w:t>Het is de arts die een oordeel zal vellen.</w:t>
      </w:r>
      <w:r w:rsidR="00EF5931" w:rsidRPr="00E76ECC">
        <w:rPr>
          <w:rStyle w:val="Voetnootmarkering"/>
          <w:lang w:val="nl-BE" w:eastAsia="ja-JP"/>
        </w:rPr>
        <w:footnoteReference w:id="73"/>
      </w:r>
      <w:r w:rsidR="00E419E9" w:rsidRPr="00E76ECC">
        <w:rPr>
          <w:lang w:val="nl-BE" w:eastAsia="ja-JP"/>
        </w:rPr>
        <w:t xml:space="preserve"> Indien </w:t>
      </w:r>
      <w:r w:rsidR="00EF5931" w:rsidRPr="00E76ECC">
        <w:rPr>
          <w:lang w:val="nl-BE" w:eastAsia="ja-JP"/>
        </w:rPr>
        <w:t xml:space="preserve">de minderjarige bekwaam geacht wordt kan de minderjarige zijn gezondheidsrechten persoonlijk en zelfstandig uitoefenen, </w:t>
      </w:r>
      <w:r w:rsidR="00914C0F" w:rsidRPr="00E76ECC">
        <w:rPr>
          <w:lang w:val="nl-BE" w:eastAsia="ja-JP"/>
        </w:rPr>
        <w:t>dus zonder de ouders of voogd en zel</w:t>
      </w:r>
      <w:r w:rsidR="00EF5931" w:rsidRPr="00E76ECC">
        <w:rPr>
          <w:lang w:val="nl-BE" w:eastAsia="ja-JP"/>
        </w:rPr>
        <w:t>fs teg</w:t>
      </w:r>
      <w:r w:rsidR="00914C0F" w:rsidRPr="00E76ECC">
        <w:rPr>
          <w:lang w:val="nl-BE" w:eastAsia="ja-JP"/>
        </w:rPr>
        <w:t xml:space="preserve">en de wensen van deze </w:t>
      </w:r>
      <w:proofErr w:type="spellStart"/>
      <w:r w:rsidR="00914C0F" w:rsidRPr="00E76ECC">
        <w:rPr>
          <w:lang w:val="nl-BE" w:eastAsia="ja-JP"/>
        </w:rPr>
        <w:t>laatsten</w:t>
      </w:r>
      <w:proofErr w:type="spellEnd"/>
      <w:r w:rsidR="00EF5931" w:rsidRPr="00E76ECC">
        <w:rPr>
          <w:lang w:val="nl-BE" w:eastAsia="ja-JP"/>
        </w:rPr>
        <w:t xml:space="preserve"> in</w:t>
      </w:r>
      <w:r w:rsidR="00013600" w:rsidRPr="00E76ECC">
        <w:rPr>
          <w:lang w:val="nl-BE" w:eastAsia="ja-JP"/>
        </w:rPr>
        <w:t>.</w:t>
      </w:r>
      <w:r w:rsidR="00EF5931" w:rsidRPr="00E76ECC">
        <w:rPr>
          <w:rStyle w:val="Voetnootmarkering"/>
          <w:lang w:val="nl-BE" w:eastAsia="ja-JP"/>
        </w:rPr>
        <w:footnoteReference w:id="74"/>
      </w:r>
    </w:p>
    <w:p w:rsidR="00BD65D0" w:rsidRPr="00E76ECC" w:rsidRDefault="00BD65D0" w:rsidP="00E76ECC">
      <w:pPr>
        <w:autoSpaceDE w:val="0"/>
        <w:autoSpaceDN w:val="0"/>
        <w:adjustRightInd w:val="0"/>
        <w:spacing w:line="360" w:lineRule="auto"/>
        <w:jc w:val="both"/>
        <w:rPr>
          <w:sz w:val="12"/>
          <w:szCs w:val="12"/>
          <w:lang w:val="nl-BE" w:eastAsia="ja-JP"/>
        </w:rPr>
      </w:pPr>
    </w:p>
    <w:p w:rsidR="00E1444A" w:rsidRDefault="004917DC" w:rsidP="00E76ECC">
      <w:pPr>
        <w:autoSpaceDE w:val="0"/>
        <w:autoSpaceDN w:val="0"/>
        <w:adjustRightInd w:val="0"/>
        <w:spacing w:line="360" w:lineRule="auto"/>
        <w:jc w:val="both"/>
        <w:rPr>
          <w:lang w:val="nl-BE" w:eastAsia="ja-JP"/>
        </w:rPr>
      </w:pPr>
      <w:r w:rsidRPr="00E76ECC">
        <w:rPr>
          <w:lang w:val="nl-BE" w:eastAsia="ja-JP"/>
        </w:rPr>
        <w:t>Er wordt aangenomen dat art</w:t>
      </w:r>
      <w:r w:rsidR="009A19D5" w:rsidRPr="00E76ECC">
        <w:rPr>
          <w:lang w:val="nl-BE" w:eastAsia="ja-JP"/>
        </w:rPr>
        <w:t>ikel</w:t>
      </w:r>
      <w:r w:rsidRPr="00E76ECC">
        <w:rPr>
          <w:lang w:val="nl-BE" w:eastAsia="ja-JP"/>
        </w:rPr>
        <w:t xml:space="preserve"> 12 §2 </w:t>
      </w:r>
      <w:r w:rsidR="003E0B58" w:rsidRPr="00E76ECC">
        <w:rPr>
          <w:lang w:val="nl-BE" w:eastAsia="ja-JP"/>
        </w:rPr>
        <w:t xml:space="preserve">ook van toepassing </w:t>
      </w:r>
      <w:r w:rsidR="000B16D4" w:rsidRPr="00E76ECC">
        <w:rPr>
          <w:lang w:val="nl-BE" w:eastAsia="ja-JP"/>
        </w:rPr>
        <w:t xml:space="preserve">is </w:t>
      </w:r>
      <w:r w:rsidR="003E0B58" w:rsidRPr="00E76ECC">
        <w:rPr>
          <w:lang w:val="nl-BE" w:eastAsia="ja-JP"/>
        </w:rPr>
        <w:t>bij</w:t>
      </w:r>
      <w:r w:rsidR="00CB575B" w:rsidRPr="00E76ECC">
        <w:rPr>
          <w:lang w:val="nl-BE" w:eastAsia="ja-JP"/>
        </w:rPr>
        <w:t xml:space="preserve"> beslissingen met betrekking tot het levenseinde</w:t>
      </w:r>
      <w:r w:rsidR="003E0B58" w:rsidRPr="00E76ECC">
        <w:rPr>
          <w:lang w:val="nl-BE" w:eastAsia="ja-JP"/>
        </w:rPr>
        <w:t>.</w:t>
      </w:r>
      <w:r w:rsidR="00CB575B" w:rsidRPr="00E76ECC">
        <w:rPr>
          <w:rStyle w:val="Voetnootmarkering"/>
          <w:lang w:val="nl-BE" w:eastAsia="ja-JP"/>
        </w:rPr>
        <w:footnoteReference w:id="75"/>
      </w:r>
      <w:r w:rsidR="00CB575B" w:rsidRPr="00E76ECC">
        <w:rPr>
          <w:lang w:val="nl-BE" w:eastAsia="ja-JP"/>
        </w:rPr>
        <w:t xml:space="preserve"> D</w:t>
      </w:r>
      <w:r w:rsidR="009A19D5" w:rsidRPr="00E76ECC">
        <w:rPr>
          <w:lang w:val="nl-BE" w:eastAsia="ja-JP"/>
        </w:rPr>
        <w:t>eze bepaling</w:t>
      </w:r>
      <w:r w:rsidR="00CB575B" w:rsidRPr="00E76ECC">
        <w:rPr>
          <w:lang w:val="nl-BE" w:eastAsia="ja-JP"/>
        </w:rPr>
        <w:t xml:space="preserve"> </w:t>
      </w:r>
      <w:r w:rsidR="003E0B58" w:rsidRPr="00E76ECC">
        <w:rPr>
          <w:lang w:val="nl-BE" w:eastAsia="ja-JP"/>
        </w:rPr>
        <w:t>garandeert voor een minderjarige</w:t>
      </w:r>
      <w:r w:rsidRPr="00E76ECC">
        <w:rPr>
          <w:lang w:val="nl-BE" w:eastAsia="ja-JP"/>
        </w:rPr>
        <w:t xml:space="preserve"> het recht van </w:t>
      </w:r>
      <w:proofErr w:type="spellStart"/>
      <w:r w:rsidRPr="00E76ECC">
        <w:rPr>
          <w:lang w:val="nl-BE" w:eastAsia="ja-JP"/>
        </w:rPr>
        <w:t>palliatieve</w:t>
      </w:r>
      <w:proofErr w:type="spellEnd"/>
      <w:r w:rsidRPr="00E76ECC">
        <w:rPr>
          <w:lang w:val="nl-BE" w:eastAsia="ja-JP"/>
        </w:rPr>
        <w:t xml:space="preserve"> zorg</w:t>
      </w:r>
      <w:r w:rsidRPr="00E76ECC">
        <w:rPr>
          <w:rStyle w:val="Voetnootmarkering"/>
          <w:lang w:val="nl-BE" w:eastAsia="ja-JP"/>
        </w:rPr>
        <w:footnoteReference w:id="76"/>
      </w:r>
      <w:r w:rsidR="00CB575B" w:rsidRPr="00E76ECC">
        <w:rPr>
          <w:lang w:val="nl-BE" w:eastAsia="ja-JP"/>
        </w:rPr>
        <w:t xml:space="preserve"> en u</w:t>
      </w:r>
      <w:r w:rsidR="003E0B58" w:rsidRPr="00E76ECC">
        <w:rPr>
          <w:lang w:val="nl-BE" w:eastAsia="ja-JP"/>
        </w:rPr>
        <w:t>it het bereik van de W</w:t>
      </w:r>
      <w:r w:rsidR="00BD65D0" w:rsidRPr="00E76ECC">
        <w:rPr>
          <w:lang w:val="nl-BE" w:eastAsia="ja-JP"/>
        </w:rPr>
        <w:t xml:space="preserve">et </w:t>
      </w:r>
      <w:r w:rsidR="003E0B58" w:rsidRPr="00E76ECC">
        <w:rPr>
          <w:lang w:val="nl-BE" w:eastAsia="ja-JP"/>
        </w:rPr>
        <w:t xml:space="preserve">Patiëntenrechten </w:t>
      </w:r>
      <w:r w:rsidR="00BD65D0" w:rsidRPr="00E76ECC">
        <w:rPr>
          <w:lang w:val="nl-BE" w:eastAsia="ja-JP"/>
        </w:rPr>
        <w:t xml:space="preserve">valt ook af te </w:t>
      </w:r>
      <w:r w:rsidR="003E0B58" w:rsidRPr="00E76ECC">
        <w:rPr>
          <w:lang w:val="nl-BE" w:eastAsia="ja-JP"/>
        </w:rPr>
        <w:t>leiden dat de uitoefening van d</w:t>
      </w:r>
      <w:r w:rsidR="00BD65D0" w:rsidRPr="00E76ECC">
        <w:rPr>
          <w:lang w:val="nl-BE" w:eastAsia="ja-JP"/>
        </w:rPr>
        <w:t xml:space="preserve">e </w:t>
      </w:r>
      <w:r w:rsidR="003E0B58" w:rsidRPr="00E76ECC">
        <w:rPr>
          <w:lang w:val="nl-BE" w:eastAsia="ja-JP"/>
        </w:rPr>
        <w:t xml:space="preserve">aldaar geregelde </w:t>
      </w:r>
      <w:r w:rsidR="00BD65D0" w:rsidRPr="00E76ECC">
        <w:rPr>
          <w:lang w:val="nl-BE" w:eastAsia="ja-JP"/>
        </w:rPr>
        <w:t>rechten ook slaat op de weigering van behandelingen</w:t>
      </w:r>
      <w:r w:rsidR="00BD65D0" w:rsidRPr="00E76ECC">
        <w:rPr>
          <w:rStyle w:val="Voetnootmarkering"/>
          <w:lang w:val="nl-BE" w:eastAsia="ja-JP"/>
        </w:rPr>
        <w:footnoteReference w:id="77"/>
      </w:r>
      <w:r w:rsidR="00BD65D0" w:rsidRPr="00E76ECC">
        <w:rPr>
          <w:lang w:val="nl-BE" w:eastAsia="ja-JP"/>
        </w:rPr>
        <w:t xml:space="preserve">. </w:t>
      </w:r>
      <w:r w:rsidR="005B672B" w:rsidRPr="00E76ECC">
        <w:rPr>
          <w:lang w:val="nl-BE"/>
        </w:rPr>
        <w:t xml:space="preserve">De </w:t>
      </w:r>
      <w:r w:rsidR="004F4303">
        <w:rPr>
          <w:lang w:val="nl-BE"/>
        </w:rPr>
        <w:t>e</w:t>
      </w:r>
      <w:r w:rsidR="005B672B" w:rsidRPr="00E76ECC">
        <w:rPr>
          <w:lang w:val="nl-BE"/>
        </w:rPr>
        <w:t>uthanasiewet houdt met deze bepaling echter geen</w:t>
      </w:r>
      <w:r w:rsidR="005B672B" w:rsidRPr="006E7662">
        <w:rPr>
          <w:lang w:val="nl-BE"/>
        </w:rPr>
        <w:t xml:space="preserve"> </w:t>
      </w:r>
      <w:r w:rsidR="005B672B" w:rsidRPr="006E7662">
        <w:rPr>
          <w:lang w:val="nl-BE"/>
        </w:rPr>
        <w:lastRenderedPageBreak/>
        <w:t>rekening</w:t>
      </w:r>
      <w:r w:rsidR="003E0B58">
        <w:rPr>
          <w:lang w:val="nl-BE"/>
        </w:rPr>
        <w:t>.</w:t>
      </w:r>
      <w:r w:rsidR="00136F5A">
        <w:rPr>
          <w:rStyle w:val="Voetnootmarkering"/>
          <w:lang w:val="nl-BE"/>
        </w:rPr>
        <w:footnoteReference w:id="78"/>
      </w:r>
      <w:r w:rsidR="005B672B" w:rsidRPr="006E7662">
        <w:rPr>
          <w:lang w:val="nl-BE"/>
        </w:rPr>
        <w:t xml:space="preserve"> Zoals vermeld sluiten de artikelen 3 §1 en 4 §1 (niet-ontvoogde) minderjarigen uit van het toepassingsgebied. </w:t>
      </w:r>
      <w:r w:rsidR="00136F5A">
        <w:rPr>
          <w:lang w:val="nl-BE"/>
        </w:rPr>
        <w:t xml:space="preserve">Als </w:t>
      </w:r>
      <w:proofErr w:type="spellStart"/>
      <w:r w:rsidR="00136F5A" w:rsidRPr="00136F5A">
        <w:rPr>
          <w:i/>
          <w:lang w:val="nl-BE"/>
        </w:rPr>
        <w:t>lex</w:t>
      </w:r>
      <w:proofErr w:type="spellEnd"/>
      <w:r w:rsidR="00136F5A" w:rsidRPr="00136F5A">
        <w:rPr>
          <w:i/>
          <w:lang w:val="nl-BE"/>
        </w:rPr>
        <w:t xml:space="preserve"> </w:t>
      </w:r>
      <w:proofErr w:type="spellStart"/>
      <w:r w:rsidR="00136F5A" w:rsidRPr="00136F5A">
        <w:rPr>
          <w:i/>
          <w:lang w:val="nl-BE"/>
        </w:rPr>
        <w:t>specialis</w:t>
      </w:r>
      <w:proofErr w:type="spellEnd"/>
      <w:r w:rsidR="00136F5A">
        <w:rPr>
          <w:lang w:val="nl-BE"/>
        </w:rPr>
        <w:t xml:space="preserve"> op de Wet Patiëntenrechten primeert de </w:t>
      </w:r>
      <w:r w:rsidR="004F4303">
        <w:rPr>
          <w:lang w:val="nl-BE"/>
        </w:rPr>
        <w:t>e</w:t>
      </w:r>
      <w:r w:rsidR="00136F5A">
        <w:rPr>
          <w:lang w:val="nl-BE"/>
        </w:rPr>
        <w:t>uthanasiewet</w:t>
      </w:r>
      <w:r w:rsidR="00E8595C">
        <w:rPr>
          <w:lang w:val="nl-BE"/>
        </w:rPr>
        <w:t>.</w:t>
      </w:r>
      <w:r w:rsidR="00136F5A">
        <w:rPr>
          <w:rStyle w:val="Voetnootmarkering"/>
          <w:lang w:val="nl-BE"/>
        </w:rPr>
        <w:footnoteReference w:id="79"/>
      </w:r>
      <w:r w:rsidR="00136F5A">
        <w:rPr>
          <w:lang w:val="nl-BE"/>
        </w:rPr>
        <w:t xml:space="preserve"> </w:t>
      </w:r>
      <w:r w:rsidR="005B672B" w:rsidRPr="006E7662">
        <w:rPr>
          <w:lang w:val="nl-BE" w:eastAsia="ja-JP"/>
        </w:rPr>
        <w:t xml:space="preserve">Een doodziek kind dat over de nodige maturiteit beschikt kan dus perfect een behandeling weigeren maar kan er niet voor opteren een middel toegediend te krijgen om zijn leven te beëindigen. Zelfs al zou er op het eerste zicht moreel een onderscheid gemaakt kunnen worden tussen beide, het verschil tussen laten sterven en doden kan </w:t>
      </w:r>
      <w:r w:rsidR="001735BC">
        <w:rPr>
          <w:lang w:val="nl-BE" w:eastAsia="ja-JP"/>
        </w:rPr>
        <w:t xml:space="preserve">volgens sommige auteurs </w:t>
      </w:r>
      <w:r w:rsidR="005B672B" w:rsidRPr="006E7662">
        <w:rPr>
          <w:lang w:val="nl-BE" w:eastAsia="ja-JP"/>
        </w:rPr>
        <w:t>tot een minimum herleid worden wanneer de uitdrukkelijke wil om te sterven in hoofd</w:t>
      </w:r>
      <w:r w:rsidR="009A19D5">
        <w:rPr>
          <w:lang w:val="nl-BE" w:eastAsia="ja-JP"/>
        </w:rPr>
        <w:t>e van het kind aanwezig is</w:t>
      </w:r>
      <w:r w:rsidR="00E8595C">
        <w:rPr>
          <w:lang w:val="nl-BE" w:eastAsia="ja-JP"/>
        </w:rPr>
        <w:t>.</w:t>
      </w:r>
      <w:r w:rsidR="009A19D5">
        <w:rPr>
          <w:rStyle w:val="Voetnootmarkering"/>
          <w:lang w:val="nl-BE" w:eastAsia="ja-JP"/>
        </w:rPr>
        <w:footnoteReference w:id="80"/>
      </w:r>
      <w:r w:rsidR="009A19D5">
        <w:rPr>
          <w:lang w:val="nl-BE" w:eastAsia="ja-JP"/>
        </w:rPr>
        <w:t xml:space="preserve"> </w:t>
      </w:r>
    </w:p>
    <w:p w:rsidR="00E1444A" w:rsidRDefault="00E1444A" w:rsidP="00025B03">
      <w:pPr>
        <w:autoSpaceDE w:val="0"/>
        <w:autoSpaceDN w:val="0"/>
        <w:adjustRightInd w:val="0"/>
        <w:spacing w:line="360" w:lineRule="auto"/>
        <w:jc w:val="both"/>
        <w:rPr>
          <w:lang w:val="nl-BE" w:eastAsia="ja-JP"/>
        </w:rPr>
      </w:pPr>
    </w:p>
    <w:p w:rsidR="00FD3FA2" w:rsidRDefault="009A19D5" w:rsidP="009A19D5">
      <w:pPr>
        <w:autoSpaceDE w:val="0"/>
        <w:autoSpaceDN w:val="0"/>
        <w:adjustRightInd w:val="0"/>
        <w:spacing w:line="360" w:lineRule="auto"/>
        <w:jc w:val="both"/>
        <w:rPr>
          <w:lang w:val="nl-BE"/>
        </w:rPr>
      </w:pPr>
      <w:r>
        <w:rPr>
          <w:lang w:val="nl-BE" w:eastAsia="ja-JP"/>
        </w:rPr>
        <w:t>Artikel</w:t>
      </w:r>
      <w:r w:rsidR="005B672B" w:rsidRPr="006E7662">
        <w:rPr>
          <w:lang w:val="nl-BE" w:eastAsia="ja-JP"/>
        </w:rPr>
        <w:t xml:space="preserve"> 12 </w:t>
      </w:r>
      <w:r w:rsidR="00EF5931">
        <w:rPr>
          <w:lang w:val="nl-BE" w:eastAsia="ja-JP"/>
        </w:rPr>
        <w:t>§2 kan dus vragen</w:t>
      </w:r>
      <w:r w:rsidR="00025B03" w:rsidRPr="006E7662">
        <w:rPr>
          <w:lang w:val="nl-BE" w:eastAsia="ja-JP"/>
        </w:rPr>
        <w:t xml:space="preserve"> doen rijzen bij het onderscheid dat gemaakt wordt tussen de inspraak van kinderen bij hun medische behandelingen</w:t>
      </w:r>
      <w:r w:rsidR="00E1444A">
        <w:rPr>
          <w:lang w:val="nl-BE" w:eastAsia="ja-JP"/>
        </w:rPr>
        <w:t xml:space="preserve"> met betrekking tot het levenseinde</w:t>
      </w:r>
      <w:r w:rsidR="00025B03" w:rsidRPr="006E7662">
        <w:rPr>
          <w:lang w:val="nl-BE" w:eastAsia="ja-JP"/>
        </w:rPr>
        <w:t xml:space="preserve"> en de mogelijkheid tot euthanasie.</w:t>
      </w:r>
      <w:r w:rsidR="00E1444A">
        <w:rPr>
          <w:lang w:val="nl-BE" w:eastAsia="ja-JP"/>
        </w:rPr>
        <w:t xml:space="preserve"> </w:t>
      </w:r>
      <w:r w:rsidR="00FD3FA2" w:rsidRPr="006E7662">
        <w:rPr>
          <w:lang w:val="nl-BE"/>
        </w:rPr>
        <w:t xml:space="preserve">In zijn advies van 22 maart 2003 ‘betreffende de euthanasie, de </w:t>
      </w:r>
      <w:proofErr w:type="spellStart"/>
      <w:r w:rsidR="00FD3FA2" w:rsidRPr="006E7662">
        <w:rPr>
          <w:lang w:val="nl-BE"/>
        </w:rPr>
        <w:t>palliatieve</w:t>
      </w:r>
      <w:proofErr w:type="spellEnd"/>
      <w:r w:rsidR="00FD3FA2" w:rsidRPr="006E7662">
        <w:rPr>
          <w:lang w:val="nl-BE"/>
        </w:rPr>
        <w:t xml:space="preserve"> zorg en de rechten van de patiënt’ benadrukt ook de </w:t>
      </w:r>
      <w:r w:rsidR="00E8595C">
        <w:rPr>
          <w:lang w:val="nl-BE"/>
        </w:rPr>
        <w:t>Nationale Raad van de Orde van g</w:t>
      </w:r>
      <w:r w:rsidR="00FD3FA2" w:rsidRPr="006E7662">
        <w:rPr>
          <w:lang w:val="nl-BE"/>
        </w:rPr>
        <w:t xml:space="preserve">eneesheren dat de afwezigheid van een regeling voor minderjarigen in de </w:t>
      </w:r>
      <w:r w:rsidR="004F4303">
        <w:rPr>
          <w:lang w:val="nl-BE"/>
        </w:rPr>
        <w:t>e</w:t>
      </w:r>
      <w:r w:rsidR="00FD3FA2" w:rsidRPr="006E7662">
        <w:rPr>
          <w:lang w:val="nl-BE"/>
        </w:rPr>
        <w:t xml:space="preserve">uthanasiewet </w:t>
      </w:r>
      <w:r w:rsidR="00E8595C">
        <w:rPr>
          <w:lang w:val="nl-BE"/>
        </w:rPr>
        <w:t>ingaat tegen de logica van het K</w:t>
      </w:r>
      <w:r w:rsidR="00FD3FA2" w:rsidRPr="006E7662">
        <w:rPr>
          <w:lang w:val="nl-BE"/>
        </w:rPr>
        <w:t xml:space="preserve">inderrechtenverdrag en de </w:t>
      </w:r>
      <w:r w:rsidR="00D51576" w:rsidRPr="006E7662">
        <w:rPr>
          <w:lang w:val="nl-BE"/>
        </w:rPr>
        <w:t>Wet Patiëntenrechten</w:t>
      </w:r>
      <w:r w:rsidR="00E8595C">
        <w:rPr>
          <w:lang w:val="nl-BE"/>
        </w:rPr>
        <w:t>.</w:t>
      </w:r>
      <w:r w:rsidR="001710F2" w:rsidRPr="006E7662">
        <w:rPr>
          <w:rStyle w:val="Voetnootmarkering"/>
          <w:lang w:val="nl-BE"/>
        </w:rPr>
        <w:footnoteReference w:id="81"/>
      </w:r>
      <w:r w:rsidR="005D06D0" w:rsidRPr="006E7662">
        <w:rPr>
          <w:lang w:val="nl-BE"/>
        </w:rPr>
        <w:t xml:space="preserve"> </w:t>
      </w:r>
    </w:p>
    <w:p w:rsidR="00BB47EC" w:rsidRDefault="00BB47EC" w:rsidP="001C2E8B">
      <w:pPr>
        <w:autoSpaceDE w:val="0"/>
        <w:autoSpaceDN w:val="0"/>
        <w:adjustRightInd w:val="0"/>
        <w:jc w:val="both"/>
        <w:rPr>
          <w:lang w:val="nl-BE"/>
        </w:rPr>
      </w:pPr>
    </w:p>
    <w:p w:rsidR="005134AD" w:rsidRDefault="005134AD" w:rsidP="001C2E8B">
      <w:pPr>
        <w:autoSpaceDE w:val="0"/>
        <w:autoSpaceDN w:val="0"/>
        <w:adjustRightInd w:val="0"/>
        <w:jc w:val="both"/>
        <w:rPr>
          <w:lang w:val="nl-BE"/>
        </w:rPr>
      </w:pPr>
    </w:p>
    <w:p w:rsidR="007F6EA6" w:rsidRDefault="00E1444A" w:rsidP="005134AD">
      <w:pPr>
        <w:pStyle w:val="Kop2"/>
      </w:pPr>
      <w:bookmarkStart w:id="19" w:name="_Toc287994241"/>
      <w:r>
        <w:t xml:space="preserve">2.5 </w:t>
      </w:r>
      <w:r w:rsidR="007F6EA6">
        <w:t>Naar een Belgische</w:t>
      </w:r>
      <w:r w:rsidR="00BB47EC" w:rsidRPr="00E1444A">
        <w:t xml:space="preserve"> euthanasieregeling </w:t>
      </w:r>
      <w:r w:rsidR="007F6EA6">
        <w:t xml:space="preserve">voor </w:t>
      </w:r>
      <w:r w:rsidR="00BB47EC" w:rsidRPr="00E1444A">
        <w:t>minderjarigen</w:t>
      </w:r>
      <w:bookmarkEnd w:id="19"/>
    </w:p>
    <w:p w:rsidR="00E8595C" w:rsidRDefault="00E8595C" w:rsidP="00E76ECC">
      <w:pPr>
        <w:pStyle w:val="Kop3"/>
        <w:spacing w:line="240" w:lineRule="auto"/>
        <w:ind w:left="709"/>
      </w:pPr>
      <w:bookmarkStart w:id="20" w:name="_Toc287994242"/>
    </w:p>
    <w:p w:rsidR="00E1444A" w:rsidRDefault="007F6EA6" w:rsidP="005134AD">
      <w:pPr>
        <w:pStyle w:val="Kop3"/>
        <w:ind w:left="708"/>
      </w:pPr>
      <w:r>
        <w:t>2.5.1 Een nieuw onderscheidingscriterium?</w:t>
      </w:r>
      <w:bookmarkEnd w:id="20"/>
    </w:p>
    <w:p w:rsidR="007F6EA6" w:rsidRDefault="007F6EA6" w:rsidP="00042013">
      <w:pPr>
        <w:autoSpaceDE w:val="0"/>
        <w:autoSpaceDN w:val="0"/>
        <w:adjustRightInd w:val="0"/>
        <w:spacing w:line="360" w:lineRule="auto"/>
        <w:jc w:val="both"/>
        <w:rPr>
          <w:lang w:val="nl-BE"/>
        </w:rPr>
      </w:pPr>
    </w:p>
    <w:p w:rsidR="00042013" w:rsidRDefault="00BB47EC" w:rsidP="007F6EA6">
      <w:pPr>
        <w:spacing w:line="360" w:lineRule="auto"/>
        <w:jc w:val="both"/>
        <w:rPr>
          <w:lang w:val="nl-BE"/>
        </w:rPr>
      </w:pPr>
      <w:r w:rsidRPr="006E7662">
        <w:rPr>
          <w:lang w:val="nl-BE"/>
        </w:rPr>
        <w:t xml:space="preserve">Het </w:t>
      </w:r>
      <w:r>
        <w:rPr>
          <w:lang w:val="nl-BE"/>
        </w:rPr>
        <w:t>is ondertussen duidelijk dat het onderscheid dat men bij</w:t>
      </w:r>
      <w:r w:rsidRPr="006E7662">
        <w:rPr>
          <w:lang w:val="nl-BE"/>
        </w:rPr>
        <w:t xml:space="preserve"> euthanasie naar toepassingsgebie</w:t>
      </w:r>
      <w:r w:rsidR="00042013">
        <w:rPr>
          <w:lang w:val="nl-BE"/>
        </w:rPr>
        <w:t xml:space="preserve">d maakt tussen (niet-ontvoogde) minderjarigen en </w:t>
      </w:r>
      <w:r w:rsidRPr="006E7662">
        <w:rPr>
          <w:lang w:val="nl-BE"/>
        </w:rPr>
        <w:t xml:space="preserve">meerderjarigen als onrechtvaardig </w:t>
      </w:r>
      <w:r>
        <w:rPr>
          <w:lang w:val="nl-BE"/>
        </w:rPr>
        <w:t xml:space="preserve">wordt </w:t>
      </w:r>
      <w:r w:rsidR="00042013">
        <w:rPr>
          <w:lang w:val="nl-BE"/>
        </w:rPr>
        <w:t>ervaren. Na de totstandkoming van de huidige</w:t>
      </w:r>
      <w:r>
        <w:rPr>
          <w:lang w:val="nl-BE"/>
        </w:rPr>
        <w:t xml:space="preserve"> </w:t>
      </w:r>
      <w:r w:rsidR="00042013">
        <w:rPr>
          <w:lang w:val="nl-BE"/>
        </w:rPr>
        <w:t xml:space="preserve">euthanasiewet </w:t>
      </w:r>
      <w:r w:rsidR="00CE4F2A">
        <w:rPr>
          <w:lang w:val="nl-BE"/>
        </w:rPr>
        <w:t xml:space="preserve">werden dan ook </w:t>
      </w:r>
      <w:r>
        <w:rPr>
          <w:lang w:val="nl-BE"/>
        </w:rPr>
        <w:t xml:space="preserve">wetsvoorstellen uitgewerkt </w:t>
      </w:r>
      <w:r w:rsidR="00042013">
        <w:rPr>
          <w:lang w:val="nl-BE"/>
        </w:rPr>
        <w:t>die het betwiste toepassingsgebied wens</w:t>
      </w:r>
      <w:r w:rsidR="00CE4F2A">
        <w:rPr>
          <w:lang w:val="nl-BE"/>
        </w:rPr>
        <w:t>t</w:t>
      </w:r>
      <w:r w:rsidR="00042013">
        <w:rPr>
          <w:lang w:val="nl-BE"/>
        </w:rPr>
        <w:t xml:space="preserve">en uit te breiden. Voorlopig zonder resultaat. </w:t>
      </w:r>
      <w:r w:rsidR="00042013" w:rsidRPr="006E7662">
        <w:rPr>
          <w:lang w:val="nl-BE"/>
        </w:rPr>
        <w:t xml:space="preserve">Vele voorstellen konden niet aangenomen worden door de ontbinding van de wetgevende kamers. Sommige </w:t>
      </w:r>
      <w:r w:rsidR="00042013" w:rsidRPr="006E7662">
        <w:rPr>
          <w:lang w:val="nl-BE"/>
        </w:rPr>
        <w:lastRenderedPageBreak/>
        <w:t>voorstellen werden re</w:t>
      </w:r>
      <w:r w:rsidR="00E1444A">
        <w:rPr>
          <w:lang w:val="nl-BE"/>
        </w:rPr>
        <w:t xml:space="preserve">cent hernomen </w:t>
      </w:r>
      <w:r w:rsidR="00042013" w:rsidRPr="006E7662">
        <w:rPr>
          <w:lang w:val="nl-BE"/>
        </w:rPr>
        <w:t xml:space="preserve">en ondertussen zijn </w:t>
      </w:r>
      <w:r w:rsidR="00E1444A">
        <w:rPr>
          <w:lang w:val="nl-BE"/>
        </w:rPr>
        <w:t xml:space="preserve">er in totaal drie </w:t>
      </w:r>
      <w:r w:rsidR="00042013" w:rsidRPr="006E7662">
        <w:rPr>
          <w:lang w:val="nl-BE"/>
        </w:rPr>
        <w:t>voorstellen hangende</w:t>
      </w:r>
      <w:r w:rsidR="00E1444A">
        <w:rPr>
          <w:lang w:val="nl-BE"/>
        </w:rPr>
        <w:t>.</w:t>
      </w:r>
    </w:p>
    <w:p w:rsidR="00E1444A" w:rsidRDefault="00E1444A" w:rsidP="00042013">
      <w:pPr>
        <w:autoSpaceDE w:val="0"/>
        <w:autoSpaceDN w:val="0"/>
        <w:adjustRightInd w:val="0"/>
        <w:spacing w:line="360" w:lineRule="auto"/>
        <w:jc w:val="both"/>
        <w:rPr>
          <w:lang w:val="nl-BE"/>
        </w:rPr>
      </w:pPr>
    </w:p>
    <w:p w:rsidR="00042013" w:rsidRDefault="007F6EA6" w:rsidP="00042013">
      <w:pPr>
        <w:autoSpaceDE w:val="0"/>
        <w:autoSpaceDN w:val="0"/>
        <w:adjustRightInd w:val="0"/>
        <w:spacing w:line="360" w:lineRule="auto"/>
        <w:jc w:val="both"/>
        <w:rPr>
          <w:lang w:val="nl-BE"/>
        </w:rPr>
      </w:pPr>
      <w:r>
        <w:rPr>
          <w:lang w:val="nl-BE"/>
        </w:rPr>
        <w:t>Alvorens deze voorstellen te bespreken dient benadrukt te worden dat h</w:t>
      </w:r>
      <w:r w:rsidR="00042013">
        <w:rPr>
          <w:lang w:val="nl-BE"/>
        </w:rPr>
        <w:t xml:space="preserve">et creëren van een </w:t>
      </w:r>
      <w:r w:rsidR="00E15DC4">
        <w:rPr>
          <w:lang w:val="nl-BE"/>
        </w:rPr>
        <w:t>euthanasie</w:t>
      </w:r>
      <w:r w:rsidR="00042013">
        <w:rPr>
          <w:lang w:val="nl-BE"/>
        </w:rPr>
        <w:t>regeli</w:t>
      </w:r>
      <w:r>
        <w:rPr>
          <w:lang w:val="nl-BE"/>
        </w:rPr>
        <w:t xml:space="preserve">ng voor minderjarigen </w:t>
      </w:r>
      <w:r w:rsidR="00042013">
        <w:rPr>
          <w:lang w:val="nl-BE"/>
        </w:rPr>
        <w:t>geen makkelijke opgave</w:t>
      </w:r>
      <w:r>
        <w:rPr>
          <w:lang w:val="nl-BE"/>
        </w:rPr>
        <w:t xml:space="preserve"> is</w:t>
      </w:r>
      <w:r w:rsidR="00042013">
        <w:rPr>
          <w:lang w:val="nl-BE"/>
        </w:rPr>
        <w:t xml:space="preserve">. </w:t>
      </w:r>
      <w:r w:rsidR="00E15DC4">
        <w:rPr>
          <w:lang w:val="nl-BE"/>
        </w:rPr>
        <w:t>Het thema euthanasie ligt ethisch heel gevoelig</w:t>
      </w:r>
      <w:r w:rsidR="00E1444A">
        <w:rPr>
          <w:lang w:val="nl-BE"/>
        </w:rPr>
        <w:t xml:space="preserve"> en e</w:t>
      </w:r>
      <w:r w:rsidR="00492FD5">
        <w:rPr>
          <w:lang w:val="nl-BE"/>
        </w:rPr>
        <w:t xml:space="preserve">en maatschappelijke consensus is onbestaande. Gezien het redigeren van een wet voor meerderjarigen reeds problematisch was, is een euthanasieregeling voor minderjarigen zeker </w:t>
      </w:r>
      <w:r w:rsidR="00E8595C">
        <w:rPr>
          <w:lang w:val="nl-BE"/>
        </w:rPr>
        <w:t>g</w:t>
      </w:r>
      <w:r w:rsidR="00492FD5">
        <w:rPr>
          <w:lang w:val="nl-BE"/>
        </w:rPr>
        <w:t>een sinecure.</w:t>
      </w:r>
      <w:r w:rsidR="00EC3BED">
        <w:rPr>
          <w:rStyle w:val="Voetnootmarkering"/>
          <w:lang w:val="nl-BE"/>
        </w:rPr>
        <w:footnoteReference w:id="82"/>
      </w:r>
      <w:r w:rsidR="00492FD5">
        <w:rPr>
          <w:lang w:val="nl-BE"/>
        </w:rPr>
        <w:t xml:space="preserve"> Bij totstandkoming </w:t>
      </w:r>
      <w:r w:rsidR="00CE4F2A">
        <w:rPr>
          <w:lang w:val="nl-BE"/>
        </w:rPr>
        <w:t>va</w:t>
      </w:r>
      <w:r w:rsidR="00906F1F">
        <w:rPr>
          <w:lang w:val="nl-BE"/>
        </w:rPr>
        <w:t xml:space="preserve">n de huidige euthanasiewet werd dit, zoals reeds uit de doeken gedaan, meer dan duidelijk. </w:t>
      </w:r>
      <w:r w:rsidR="00042013">
        <w:rPr>
          <w:lang w:val="nl-BE"/>
        </w:rPr>
        <w:t xml:space="preserve">Ook al wordt het huidige onderscheid tussen minderjarigen en meerderjarigen als arbitrair bestempeld, waar leg je de </w:t>
      </w:r>
      <w:r w:rsidR="00510BA0">
        <w:rPr>
          <w:lang w:val="nl-BE"/>
        </w:rPr>
        <w:t xml:space="preserve">nieuwe </w:t>
      </w:r>
      <w:r w:rsidR="00042013">
        <w:rPr>
          <w:lang w:val="nl-BE"/>
        </w:rPr>
        <w:t xml:space="preserve">grens dan? </w:t>
      </w:r>
      <w:r w:rsidR="00510BA0">
        <w:rPr>
          <w:lang w:val="nl-BE"/>
        </w:rPr>
        <w:t>Laat je enkel toe dat de oudste minderjarigen euthanasie plegen</w:t>
      </w:r>
      <w:r w:rsidR="00042013">
        <w:rPr>
          <w:lang w:val="nl-BE"/>
        </w:rPr>
        <w:t xml:space="preserve">? Of stap je af van het leeftijdscriterium? En zo ja, op welke criteria baseer je </w:t>
      </w:r>
      <w:proofErr w:type="spellStart"/>
      <w:r w:rsidR="00042013">
        <w:rPr>
          <w:lang w:val="nl-BE"/>
        </w:rPr>
        <w:t>je</w:t>
      </w:r>
      <w:proofErr w:type="spellEnd"/>
      <w:r w:rsidR="00042013">
        <w:rPr>
          <w:lang w:val="nl-BE"/>
        </w:rPr>
        <w:t xml:space="preserve"> dan?</w:t>
      </w:r>
      <w:r w:rsidR="00510BA0">
        <w:rPr>
          <w:lang w:val="nl-BE"/>
        </w:rPr>
        <w:t xml:space="preserve"> Moeten ouders betrokken worden of sterker nog, is hun toestemming vereist? Bij het organiseren van euthanasie zal men al deze elementen moeten afwegen.</w:t>
      </w:r>
    </w:p>
    <w:p w:rsidR="00E1444A" w:rsidRDefault="00E1444A" w:rsidP="00BB47EC">
      <w:pPr>
        <w:autoSpaceDE w:val="0"/>
        <w:autoSpaceDN w:val="0"/>
        <w:adjustRightInd w:val="0"/>
        <w:spacing w:line="360" w:lineRule="auto"/>
        <w:jc w:val="both"/>
        <w:rPr>
          <w:lang w:val="nl-BE"/>
        </w:rPr>
      </w:pPr>
    </w:p>
    <w:p w:rsidR="000B2E2D" w:rsidRDefault="00510BA0" w:rsidP="00BB47EC">
      <w:pPr>
        <w:autoSpaceDE w:val="0"/>
        <w:autoSpaceDN w:val="0"/>
        <w:adjustRightInd w:val="0"/>
        <w:spacing w:line="360" w:lineRule="auto"/>
        <w:jc w:val="both"/>
        <w:rPr>
          <w:lang w:val="nl-BE"/>
        </w:rPr>
      </w:pPr>
      <w:r>
        <w:rPr>
          <w:lang w:val="nl-BE"/>
        </w:rPr>
        <w:t xml:space="preserve">Een </w:t>
      </w:r>
      <w:r w:rsidR="00E15DC4">
        <w:rPr>
          <w:lang w:val="nl-BE"/>
        </w:rPr>
        <w:t xml:space="preserve">onderscheid maken binnen de groep van minderjarigen op basis van leeftijd wordt in de rechtsleer </w:t>
      </w:r>
      <w:proofErr w:type="spellStart"/>
      <w:r w:rsidR="00E15DC4" w:rsidRPr="00E15DC4">
        <w:rPr>
          <w:i/>
          <w:lang w:val="nl-BE"/>
        </w:rPr>
        <w:t>grosso</w:t>
      </w:r>
      <w:proofErr w:type="spellEnd"/>
      <w:r w:rsidR="00E15DC4" w:rsidRPr="00E15DC4">
        <w:rPr>
          <w:i/>
          <w:lang w:val="nl-BE"/>
        </w:rPr>
        <w:t xml:space="preserve"> </w:t>
      </w:r>
      <w:proofErr w:type="spellStart"/>
      <w:r w:rsidR="00E15DC4" w:rsidRPr="00E15DC4">
        <w:rPr>
          <w:i/>
          <w:lang w:val="nl-BE"/>
        </w:rPr>
        <w:t>modo</w:t>
      </w:r>
      <w:proofErr w:type="spellEnd"/>
      <w:r w:rsidR="00E15DC4">
        <w:rPr>
          <w:lang w:val="nl-BE"/>
        </w:rPr>
        <w:t xml:space="preserve"> afgewezen</w:t>
      </w:r>
      <w:r w:rsidR="00E8595C">
        <w:rPr>
          <w:lang w:val="nl-BE"/>
        </w:rPr>
        <w:t>.</w:t>
      </w:r>
      <w:r w:rsidR="00ED1A87">
        <w:rPr>
          <w:rStyle w:val="Voetnootmarkering"/>
          <w:lang w:val="nl-BE"/>
        </w:rPr>
        <w:footnoteReference w:id="83"/>
      </w:r>
      <w:r w:rsidR="00CE61B2">
        <w:rPr>
          <w:lang w:val="nl-BE"/>
        </w:rPr>
        <w:t xml:space="preserve"> </w:t>
      </w:r>
      <w:r w:rsidR="008E3EA6">
        <w:rPr>
          <w:lang w:val="nl-BE"/>
        </w:rPr>
        <w:t>Dit op basis van dezelfde elementen die aangehaald worden om het huidig onderscheidingscriterium aan te vallen. Een nieuwe (lagere) leeftijdsgrens is even arbitrair. Een leeftijdsgrens heeft geen intrinsieke waarde</w:t>
      </w:r>
      <w:r w:rsidR="00CE4F2A">
        <w:rPr>
          <w:lang w:val="nl-BE"/>
        </w:rPr>
        <w:t>.</w:t>
      </w:r>
      <w:r w:rsidR="008B6027">
        <w:rPr>
          <w:rStyle w:val="Voetnootmarkering"/>
          <w:lang w:val="nl-BE"/>
        </w:rPr>
        <w:footnoteReference w:id="84"/>
      </w:r>
      <w:r w:rsidR="008E3EA6">
        <w:rPr>
          <w:lang w:val="nl-BE"/>
        </w:rPr>
        <w:t xml:space="preserve"> Kinderen die onder de leeftijdsgrens vallen kunnen, getekend d</w:t>
      </w:r>
      <w:r w:rsidR="008B6027">
        <w:rPr>
          <w:lang w:val="nl-BE"/>
        </w:rPr>
        <w:t>oor een voortdurend lijden, reeds voldoende bekwaam zijn om de gevolgen van euthanasie in te schatten en hebben vaak een groot doodsbesef</w:t>
      </w:r>
      <w:r w:rsidR="00CE4F2A">
        <w:rPr>
          <w:lang w:val="nl-BE"/>
        </w:rPr>
        <w:t>.</w:t>
      </w:r>
      <w:r w:rsidR="008B6027">
        <w:rPr>
          <w:rStyle w:val="Voetnootmarkering"/>
          <w:lang w:val="nl-BE"/>
        </w:rPr>
        <w:footnoteReference w:id="85"/>
      </w:r>
      <w:r w:rsidR="008B6027">
        <w:rPr>
          <w:lang w:val="nl-BE"/>
        </w:rPr>
        <w:t xml:space="preserve"> </w:t>
      </w:r>
    </w:p>
    <w:p w:rsidR="000B2E2D" w:rsidRDefault="000B2E2D" w:rsidP="00BB47EC">
      <w:pPr>
        <w:autoSpaceDE w:val="0"/>
        <w:autoSpaceDN w:val="0"/>
        <w:adjustRightInd w:val="0"/>
        <w:spacing w:line="360" w:lineRule="auto"/>
        <w:jc w:val="both"/>
        <w:rPr>
          <w:lang w:val="nl-BE"/>
        </w:rPr>
      </w:pPr>
    </w:p>
    <w:p w:rsidR="00BB47EC" w:rsidRPr="00CE61B2" w:rsidRDefault="00FA3550" w:rsidP="00BB47EC">
      <w:pPr>
        <w:autoSpaceDE w:val="0"/>
        <w:autoSpaceDN w:val="0"/>
        <w:adjustRightInd w:val="0"/>
        <w:spacing w:line="360" w:lineRule="auto"/>
        <w:jc w:val="both"/>
        <w:rPr>
          <w:lang w:val="nl-BE"/>
        </w:rPr>
      </w:pPr>
      <w:r>
        <w:rPr>
          <w:lang w:val="nl-BE"/>
        </w:rPr>
        <w:lastRenderedPageBreak/>
        <w:t xml:space="preserve">Het leeftijdscriterium mag bij ons dan wel overwegend afgewezen worden, onze noorderburen denken er anders over. </w:t>
      </w:r>
      <w:r w:rsidR="00CC3A6F">
        <w:rPr>
          <w:lang w:val="nl-BE"/>
        </w:rPr>
        <w:t>Nederland kent als één van de weinige landen wel reeds een euthanasieregeling voor (bepaalde) minderjarigen. In de wet “toetsing levensbeëindiging op verzoek en hulp bij zelfdoding” heeft men toch geopteerd voor het leeftijdscriterium</w:t>
      </w:r>
      <w:r w:rsidR="00CE4F2A">
        <w:rPr>
          <w:lang w:val="nl-BE"/>
        </w:rPr>
        <w:t>.</w:t>
      </w:r>
      <w:r w:rsidR="00CC3A6F">
        <w:rPr>
          <w:rStyle w:val="Voetnootmarkering"/>
          <w:lang w:val="nl-BE"/>
        </w:rPr>
        <w:footnoteReference w:id="86"/>
      </w:r>
      <w:r w:rsidR="008B6027">
        <w:rPr>
          <w:lang w:val="nl-BE"/>
        </w:rPr>
        <w:t xml:space="preserve"> Er wordt een minimumleeftijd van 12 jaar ingesteld. Door ook in België te kiezen voor dergelijke ondergrens zou een meerderheid in het parlement sneller gevonden kunnen worden</w:t>
      </w:r>
      <w:r w:rsidR="008B6027">
        <w:rPr>
          <w:rStyle w:val="Voetnootmarkering"/>
          <w:lang w:val="nl-BE"/>
        </w:rPr>
        <w:footnoteReference w:id="87"/>
      </w:r>
      <w:r w:rsidR="008B6027">
        <w:rPr>
          <w:lang w:val="nl-BE"/>
        </w:rPr>
        <w:t xml:space="preserve">, wat </w:t>
      </w:r>
      <w:r>
        <w:rPr>
          <w:lang w:val="nl-BE"/>
        </w:rPr>
        <w:t xml:space="preserve">hier bij ons </w:t>
      </w:r>
      <w:r w:rsidR="008B6027">
        <w:rPr>
          <w:lang w:val="nl-BE"/>
        </w:rPr>
        <w:t>dan ook als e</w:t>
      </w:r>
      <w:r>
        <w:rPr>
          <w:lang w:val="nl-BE"/>
        </w:rPr>
        <w:t>nig voordeel ervaren wordt. Een leeftijd van 12 jaar</w:t>
      </w:r>
      <w:r w:rsidR="008B6027">
        <w:rPr>
          <w:lang w:val="nl-BE"/>
        </w:rPr>
        <w:t xml:space="preserve"> </w:t>
      </w:r>
      <w:r w:rsidR="00582BA3">
        <w:rPr>
          <w:lang w:val="nl-BE"/>
        </w:rPr>
        <w:t>is mogelijk</w:t>
      </w:r>
      <w:r>
        <w:rPr>
          <w:lang w:val="nl-BE"/>
        </w:rPr>
        <w:t xml:space="preserve"> wel niet zo arbitrair als een leeftijdsgrens van 18 jaar aangezien er een overeenkomst zou zijn</w:t>
      </w:r>
      <w:r w:rsidR="008B6027">
        <w:rPr>
          <w:lang w:val="nl-BE"/>
        </w:rPr>
        <w:t xml:space="preserve"> met het ogenblik waarop een minderjarige over voldoende oordeelsvermogen beschikt</w:t>
      </w:r>
      <w:r>
        <w:rPr>
          <w:lang w:val="nl-BE"/>
        </w:rPr>
        <w:t>.</w:t>
      </w:r>
      <w:r w:rsidR="008B6027">
        <w:rPr>
          <w:rStyle w:val="Voetnootmarkering"/>
          <w:lang w:val="nl-BE"/>
        </w:rPr>
        <w:footnoteReference w:id="88"/>
      </w:r>
    </w:p>
    <w:p w:rsidR="00CE61B2" w:rsidRDefault="00CE61B2" w:rsidP="00BB47EC">
      <w:pPr>
        <w:autoSpaceDE w:val="0"/>
        <w:autoSpaceDN w:val="0"/>
        <w:adjustRightInd w:val="0"/>
        <w:spacing w:line="360" w:lineRule="auto"/>
        <w:jc w:val="both"/>
        <w:rPr>
          <w:lang w:val="nl-BE"/>
        </w:rPr>
      </w:pPr>
    </w:p>
    <w:p w:rsidR="00CE61B2" w:rsidRDefault="00CE61B2" w:rsidP="00BB47EC">
      <w:pPr>
        <w:autoSpaceDE w:val="0"/>
        <w:autoSpaceDN w:val="0"/>
        <w:adjustRightInd w:val="0"/>
        <w:spacing w:line="360" w:lineRule="auto"/>
        <w:jc w:val="both"/>
        <w:rPr>
          <w:lang w:val="nl-BE"/>
        </w:rPr>
      </w:pPr>
      <w:r>
        <w:rPr>
          <w:lang w:val="nl-BE"/>
        </w:rPr>
        <w:t xml:space="preserve">In de rechtsleer geven de meeste auteurs voorkeur aan een euthanasieregeling voor minderjarigen afhankelijk van de maturiteit van de minderjarige in kwestie. Een onderscheid tussen wilsonbekwame en </w:t>
      </w:r>
      <w:proofErr w:type="spellStart"/>
      <w:r>
        <w:rPr>
          <w:lang w:val="nl-BE"/>
        </w:rPr>
        <w:t>wilsbekwame</w:t>
      </w:r>
      <w:proofErr w:type="spellEnd"/>
      <w:r>
        <w:rPr>
          <w:lang w:val="nl-BE"/>
        </w:rPr>
        <w:t xml:space="preserve"> minderjarigen dringt zich op. Het is dan ook deze benadering die in </w:t>
      </w:r>
      <w:r w:rsidR="00582BA3">
        <w:rPr>
          <w:lang w:val="nl-BE"/>
        </w:rPr>
        <w:t xml:space="preserve">de </w:t>
      </w:r>
      <w:r>
        <w:rPr>
          <w:lang w:val="nl-BE"/>
        </w:rPr>
        <w:t xml:space="preserve">lijn </w:t>
      </w:r>
      <w:r w:rsidR="00582BA3">
        <w:rPr>
          <w:lang w:val="nl-BE"/>
        </w:rPr>
        <w:t>ligt van</w:t>
      </w:r>
      <w:r>
        <w:rPr>
          <w:lang w:val="nl-BE"/>
        </w:rPr>
        <w:t xml:space="preserve"> het</w:t>
      </w:r>
      <w:r w:rsidR="00CE4F2A">
        <w:rPr>
          <w:lang w:val="nl-BE"/>
        </w:rPr>
        <w:t xml:space="preserve"> Kinderrechtenverdrag en de Wet P</w:t>
      </w:r>
      <w:r>
        <w:rPr>
          <w:lang w:val="nl-BE"/>
        </w:rPr>
        <w:t xml:space="preserve">atiëntenrechten. </w:t>
      </w:r>
      <w:r w:rsidR="008B6027">
        <w:rPr>
          <w:lang w:val="nl-BE"/>
        </w:rPr>
        <w:t>Ook de politici lieten zich hierdoor inspireren</w:t>
      </w:r>
      <w:r w:rsidR="00CE4F2A">
        <w:rPr>
          <w:lang w:val="nl-BE"/>
        </w:rPr>
        <w:t>.</w:t>
      </w:r>
      <w:r w:rsidR="008B6027">
        <w:rPr>
          <w:rStyle w:val="Voetnootmarkering"/>
          <w:lang w:val="nl-BE"/>
        </w:rPr>
        <w:footnoteReference w:id="89"/>
      </w:r>
    </w:p>
    <w:p w:rsidR="00DD7E82" w:rsidRDefault="00DD7E82" w:rsidP="00BB47EC">
      <w:pPr>
        <w:autoSpaceDE w:val="0"/>
        <w:autoSpaceDN w:val="0"/>
        <w:adjustRightInd w:val="0"/>
        <w:spacing w:line="360" w:lineRule="auto"/>
        <w:jc w:val="both"/>
        <w:rPr>
          <w:lang w:val="nl-BE"/>
        </w:rPr>
      </w:pPr>
    </w:p>
    <w:p w:rsidR="005134AD" w:rsidRDefault="00DD7E82" w:rsidP="00BB47EC">
      <w:pPr>
        <w:autoSpaceDE w:val="0"/>
        <w:autoSpaceDN w:val="0"/>
        <w:adjustRightInd w:val="0"/>
        <w:spacing w:line="360" w:lineRule="auto"/>
        <w:jc w:val="both"/>
        <w:rPr>
          <w:lang w:val="nl-BE"/>
        </w:rPr>
      </w:pPr>
      <w:r>
        <w:rPr>
          <w:lang w:val="nl-BE"/>
        </w:rPr>
        <w:t>Zoals we ook in de wetsvoorstellen zullen zien is er in de rechtsleer een consensus over het gegeven dat euthanasie bij minderjarigen niet onder dezelfde voorwaarden kan gebeuren als nu het geval is bij meerderjarigen</w:t>
      </w:r>
      <w:r w:rsidR="00CE4F2A">
        <w:rPr>
          <w:lang w:val="nl-BE"/>
        </w:rPr>
        <w:t>.</w:t>
      </w:r>
      <w:r>
        <w:rPr>
          <w:rStyle w:val="Voetnootmarkering"/>
          <w:lang w:val="nl-BE"/>
        </w:rPr>
        <w:footnoteReference w:id="90"/>
      </w:r>
      <w:r>
        <w:rPr>
          <w:lang w:val="nl-BE"/>
        </w:rPr>
        <w:t xml:space="preserve"> </w:t>
      </w:r>
      <w:r w:rsidR="00521E3F">
        <w:rPr>
          <w:lang w:val="nl-BE"/>
        </w:rPr>
        <w:t>Er zullen extra beschermingsmaatregelen ingebouwd moeten worden.</w:t>
      </w:r>
    </w:p>
    <w:p w:rsidR="002B310E" w:rsidRDefault="002B310E" w:rsidP="00BB47EC">
      <w:pPr>
        <w:autoSpaceDE w:val="0"/>
        <w:autoSpaceDN w:val="0"/>
        <w:adjustRightInd w:val="0"/>
        <w:spacing w:line="360" w:lineRule="auto"/>
        <w:jc w:val="both"/>
        <w:rPr>
          <w:lang w:val="nl-BE"/>
        </w:rPr>
      </w:pPr>
    </w:p>
    <w:p w:rsidR="00160873" w:rsidRDefault="007F6EA6" w:rsidP="005134AD">
      <w:pPr>
        <w:pStyle w:val="Kop3"/>
        <w:ind w:left="708"/>
      </w:pPr>
      <w:bookmarkStart w:id="21" w:name="_Toc287994243"/>
      <w:r>
        <w:t>2.5.2 Wetsvoorstellen sinds de wet van 28 mei 2002</w:t>
      </w:r>
      <w:bookmarkEnd w:id="21"/>
    </w:p>
    <w:p w:rsidR="00DD7E82" w:rsidRDefault="00DD7E82" w:rsidP="00FD3FA2">
      <w:pPr>
        <w:spacing w:line="360" w:lineRule="auto"/>
        <w:jc w:val="both"/>
        <w:rPr>
          <w:lang w:val="nl-BE"/>
        </w:rPr>
      </w:pPr>
    </w:p>
    <w:p w:rsidR="009B10B3" w:rsidRDefault="00901FBB" w:rsidP="00E76ECC">
      <w:pPr>
        <w:spacing w:line="360" w:lineRule="auto"/>
        <w:jc w:val="both"/>
        <w:rPr>
          <w:lang w:val="nl-BE" w:eastAsia="ja-JP"/>
        </w:rPr>
      </w:pPr>
      <w:r>
        <w:rPr>
          <w:lang w:val="nl-BE"/>
        </w:rPr>
        <w:t>In de S</w:t>
      </w:r>
      <w:r w:rsidR="009B10B3">
        <w:rPr>
          <w:lang w:val="nl-BE"/>
        </w:rPr>
        <w:t xml:space="preserve">enaat werden </w:t>
      </w:r>
      <w:r w:rsidR="00CE4F2A">
        <w:rPr>
          <w:lang w:val="nl-BE"/>
        </w:rPr>
        <w:t xml:space="preserve">aanvankelijk </w:t>
      </w:r>
      <w:r w:rsidR="009B10B3">
        <w:rPr>
          <w:lang w:val="nl-BE"/>
        </w:rPr>
        <w:t xml:space="preserve">de volgende drie voorstellen ingediend: Het wetsvoorstel van 28 november 2007 </w:t>
      </w:r>
      <w:r w:rsidR="009B10B3" w:rsidRPr="006E7662">
        <w:t>(</w:t>
      </w:r>
      <w:hyperlink r:id="rId11" w:history="1">
        <w:r w:rsidR="009B10B3" w:rsidRPr="006E7662">
          <w:t xml:space="preserve">M. </w:t>
        </w:r>
        <w:proofErr w:type="spellStart"/>
        <w:r w:rsidR="009B10B3" w:rsidRPr="006E7662">
          <w:t>Vanlerberghe</w:t>
        </w:r>
        <w:proofErr w:type="spellEnd"/>
      </w:hyperlink>
      <w:r w:rsidR="009B10B3" w:rsidRPr="006E7662">
        <w:t xml:space="preserve"> en </w:t>
      </w:r>
      <w:hyperlink r:id="rId12" w:history="1">
        <w:r w:rsidR="009B10B3" w:rsidRPr="006E7662">
          <w:t xml:space="preserve">A. Van </w:t>
        </w:r>
        <w:proofErr w:type="spellStart"/>
        <w:r w:rsidR="009B10B3" w:rsidRPr="006E7662">
          <w:t>Nieuwkerke</w:t>
        </w:r>
        <w:proofErr w:type="spellEnd"/>
      </w:hyperlink>
      <w:r w:rsidR="009B10B3">
        <w:t>)</w:t>
      </w:r>
      <w:r w:rsidR="009B10B3">
        <w:rPr>
          <w:rStyle w:val="Voetnootmarkering"/>
        </w:rPr>
        <w:footnoteReference w:id="91"/>
      </w:r>
      <w:r w:rsidR="009B10B3">
        <w:t xml:space="preserve">, Het </w:t>
      </w:r>
      <w:r w:rsidR="009B10B3">
        <w:lastRenderedPageBreak/>
        <w:t xml:space="preserve">wetsvoorstel van 26 mei 2008 </w:t>
      </w:r>
      <w:r w:rsidR="009B10B3" w:rsidRPr="006E7662">
        <w:t xml:space="preserve">(P. </w:t>
      </w:r>
      <w:proofErr w:type="spellStart"/>
      <w:r w:rsidR="009B10B3" w:rsidRPr="006E7662">
        <w:t>Vankrunkelsven</w:t>
      </w:r>
      <w:proofErr w:type="spellEnd"/>
      <w:r w:rsidR="009B10B3" w:rsidRPr="006E7662">
        <w:t>)</w:t>
      </w:r>
      <w:r w:rsidR="0014288E">
        <w:rPr>
          <w:rStyle w:val="Voetnootmarkering"/>
        </w:rPr>
        <w:footnoteReference w:id="92"/>
      </w:r>
      <w:r w:rsidR="009B10B3">
        <w:t xml:space="preserve"> en het wetsvoorstel van 16 september 2008 </w:t>
      </w:r>
      <w:r w:rsidR="009B10B3" w:rsidRPr="006E7662">
        <w:t>(</w:t>
      </w:r>
      <w:hyperlink r:id="rId13" w:history="1">
        <w:r w:rsidR="009B10B3" w:rsidRPr="006E7662">
          <w:rPr>
            <w:rStyle w:val="Hyperlink"/>
            <w:color w:val="auto"/>
            <w:u w:val="none"/>
          </w:rPr>
          <w:t xml:space="preserve">J-J. De </w:t>
        </w:r>
        <w:proofErr w:type="spellStart"/>
        <w:r w:rsidR="009B10B3" w:rsidRPr="006E7662">
          <w:rPr>
            <w:rStyle w:val="Hyperlink"/>
            <w:color w:val="auto"/>
            <w:u w:val="none"/>
          </w:rPr>
          <w:t>Gucht</w:t>
        </w:r>
        <w:proofErr w:type="spellEnd"/>
      </w:hyperlink>
      <w:r w:rsidR="009B10B3" w:rsidRPr="006E7662">
        <w:t xml:space="preserve">, </w:t>
      </w:r>
      <w:hyperlink r:id="rId14" w:history="1">
        <w:r w:rsidR="009B10B3" w:rsidRPr="006E7662">
          <w:rPr>
            <w:rStyle w:val="Hyperlink"/>
            <w:color w:val="auto"/>
            <w:u w:val="none"/>
          </w:rPr>
          <w:t>P. Wille</w:t>
        </w:r>
      </w:hyperlink>
      <w:r w:rsidR="009B10B3" w:rsidRPr="006E7662">
        <w:t xml:space="preserve">, </w:t>
      </w:r>
      <w:hyperlink r:id="rId15" w:history="1">
        <w:r w:rsidR="009B10B3" w:rsidRPr="006E7662">
          <w:rPr>
            <w:rStyle w:val="Hyperlink"/>
            <w:color w:val="auto"/>
            <w:u w:val="none"/>
          </w:rPr>
          <w:t xml:space="preserve">P. </w:t>
        </w:r>
        <w:proofErr w:type="spellStart"/>
        <w:r w:rsidR="009B10B3" w:rsidRPr="006E7662">
          <w:rPr>
            <w:rStyle w:val="Hyperlink"/>
            <w:color w:val="auto"/>
            <w:u w:val="none"/>
          </w:rPr>
          <w:t>Vankrunkelsven</w:t>
        </w:r>
        <w:proofErr w:type="spellEnd"/>
      </w:hyperlink>
      <w:r w:rsidR="009B10B3" w:rsidRPr="006E7662">
        <w:t xml:space="preserve"> en </w:t>
      </w:r>
      <w:hyperlink r:id="rId16" w:history="1">
        <w:r w:rsidR="009B10B3" w:rsidRPr="006E7662">
          <w:rPr>
            <w:rStyle w:val="Hyperlink"/>
            <w:color w:val="auto"/>
            <w:u w:val="none"/>
          </w:rPr>
          <w:t xml:space="preserve">M. </w:t>
        </w:r>
        <w:proofErr w:type="spellStart"/>
        <w:r w:rsidR="009B10B3" w:rsidRPr="006E7662">
          <w:rPr>
            <w:rStyle w:val="Hyperlink"/>
            <w:color w:val="auto"/>
            <w:u w:val="none"/>
          </w:rPr>
          <w:t>Taelman</w:t>
        </w:r>
        <w:proofErr w:type="spellEnd"/>
      </w:hyperlink>
      <w:r w:rsidR="009B10B3">
        <w:t>)</w:t>
      </w:r>
      <w:r w:rsidR="0014288E">
        <w:rPr>
          <w:rStyle w:val="Voetnootmarkering"/>
        </w:rPr>
        <w:footnoteReference w:id="93"/>
      </w:r>
      <w:r w:rsidR="009B10B3">
        <w:t xml:space="preserve">. </w:t>
      </w:r>
      <w:r>
        <w:t>In de K</w:t>
      </w:r>
      <w:r w:rsidR="009B10B3">
        <w:t xml:space="preserve">amer werd één voorstel ingediend, het wetsvoorstel van 19 december 2007 </w:t>
      </w:r>
      <w:r w:rsidR="009B10B3" w:rsidRPr="006E7662">
        <w:rPr>
          <w:lang w:val="nl-BE" w:eastAsia="ja-JP"/>
        </w:rPr>
        <w:t xml:space="preserve">(M. </w:t>
      </w:r>
      <w:proofErr w:type="spellStart"/>
      <w:r w:rsidR="009B10B3" w:rsidRPr="006E7662">
        <w:rPr>
          <w:lang w:val="nl-BE" w:eastAsia="ja-JP"/>
        </w:rPr>
        <w:t>Detiège</w:t>
      </w:r>
      <w:proofErr w:type="spellEnd"/>
      <w:r w:rsidR="009B10B3" w:rsidRPr="006E7662">
        <w:rPr>
          <w:lang w:val="nl-BE" w:eastAsia="ja-JP"/>
        </w:rPr>
        <w:t>)</w:t>
      </w:r>
      <w:r w:rsidR="0014288E">
        <w:rPr>
          <w:rStyle w:val="Voetnootmarkering"/>
          <w:lang w:val="nl-BE" w:eastAsia="ja-JP"/>
        </w:rPr>
        <w:footnoteReference w:id="94"/>
      </w:r>
      <w:r w:rsidR="009B10B3">
        <w:rPr>
          <w:lang w:val="nl-BE" w:eastAsia="ja-JP"/>
        </w:rPr>
        <w:t>.</w:t>
      </w:r>
    </w:p>
    <w:p w:rsidR="00ED1A87" w:rsidRDefault="00ED1A87" w:rsidP="00E76ECC">
      <w:pPr>
        <w:spacing w:line="360" w:lineRule="auto"/>
        <w:jc w:val="both"/>
      </w:pPr>
    </w:p>
    <w:p w:rsidR="003C20FB" w:rsidRPr="003C20FB" w:rsidRDefault="00ED1A87" w:rsidP="00E76ECC">
      <w:pPr>
        <w:spacing w:line="360" w:lineRule="auto"/>
        <w:jc w:val="both"/>
      </w:pPr>
      <w:r>
        <w:t>In de wetsvoorstellen wordt steeds de uitbreiding van het toepassingsgebied gemotiveerd. De meeste opgeworpen s</w:t>
      </w:r>
      <w:r w:rsidR="00521E3F">
        <w:t>tavingstukken zijn in dit werk</w:t>
      </w:r>
      <w:r>
        <w:t xml:space="preserve"> reeds aan bod gekomen. Zo wordt er in alle voorstellen geduid op het arbitraire element bij</w:t>
      </w:r>
      <w:r w:rsidR="00881691">
        <w:t xml:space="preserve"> een leeftijdsgrens van 18 jaar waaraan geen onderscheid wat betreft fysisch of psychisch lijden ten grondslag ligt</w:t>
      </w:r>
      <w:r w:rsidR="00CE4F2A">
        <w:t>.</w:t>
      </w:r>
      <w:r w:rsidR="001B0156">
        <w:rPr>
          <w:rStyle w:val="Voetnootmarkering"/>
        </w:rPr>
        <w:footnoteReference w:id="95"/>
      </w:r>
      <w:r w:rsidR="00881691">
        <w:t xml:space="preserve"> Er wordt gewezen op de lagere medische leeftijd in andere  landen zoals </w:t>
      </w:r>
      <w:r w:rsidR="00881691" w:rsidRPr="00582BA3">
        <w:t>Canada, het Verenigd Koninkrijk en Nederland</w:t>
      </w:r>
      <w:r w:rsidR="00582BA3" w:rsidRPr="00582BA3">
        <w:t>.</w:t>
      </w:r>
      <w:r w:rsidR="00582BA3" w:rsidRPr="00582BA3">
        <w:rPr>
          <w:rStyle w:val="Voetnootmarkering"/>
        </w:rPr>
        <w:footnoteReference w:id="96"/>
      </w:r>
      <w:r w:rsidR="00881691">
        <w:t xml:space="preserve"> Ook verwijst men naar de euthanasieregeling voor minderjarigen van dat laatste land</w:t>
      </w:r>
      <w:r w:rsidR="00C33603">
        <w:t>.</w:t>
      </w:r>
      <w:r w:rsidR="003C20FB">
        <w:rPr>
          <w:rStyle w:val="Voetnootmarkering"/>
        </w:rPr>
        <w:footnoteReference w:id="97"/>
      </w:r>
      <w:r w:rsidR="003C20FB">
        <w:t xml:space="preserve"> </w:t>
      </w:r>
      <w:r w:rsidR="002B2429">
        <w:t>Verder wordt de Wet P</w:t>
      </w:r>
      <w:r w:rsidR="00881691">
        <w:t>atiëntenrechten aangehaald die bepaalt dat kinderen betrokken dienen te worden bij hun medische behandeling, rekening houdende met hun leeftijd en graad van ontwikkeling</w:t>
      </w:r>
      <w:r w:rsidR="00C33603">
        <w:t>.</w:t>
      </w:r>
      <w:r w:rsidR="00045EC3">
        <w:rPr>
          <w:rStyle w:val="Voetnootmarkering"/>
        </w:rPr>
        <w:footnoteReference w:id="98"/>
      </w:r>
      <w:r w:rsidR="00045EC3">
        <w:t xml:space="preserve"> Ook het Kinderrechtenverdrag</w:t>
      </w:r>
      <w:r w:rsidR="00045EC3">
        <w:rPr>
          <w:rStyle w:val="Voetnootmarkering"/>
        </w:rPr>
        <w:footnoteReference w:id="99"/>
      </w:r>
      <w:r w:rsidR="00045EC3">
        <w:t>, het advies van het Kinderrechtencommissariaat</w:t>
      </w:r>
      <w:r w:rsidR="00045EC3">
        <w:rPr>
          <w:rStyle w:val="Voetnootmarkering"/>
        </w:rPr>
        <w:footnoteReference w:id="100"/>
      </w:r>
      <w:r w:rsidR="00045EC3">
        <w:t xml:space="preserve">, het </w:t>
      </w:r>
      <w:r w:rsidR="00045EC3" w:rsidRPr="00E66F22">
        <w:t>standpunt van de Raad van State</w:t>
      </w:r>
      <w:r w:rsidR="00045EC3" w:rsidRPr="00E66F22">
        <w:rPr>
          <w:rStyle w:val="Voetnootmarkering"/>
        </w:rPr>
        <w:footnoteReference w:id="101"/>
      </w:r>
      <w:r w:rsidR="00045EC3">
        <w:t xml:space="preserve"> en het advies van </w:t>
      </w:r>
      <w:r w:rsidR="00582BA3">
        <w:t>Nationale Raad van de Orde van g</w:t>
      </w:r>
      <w:r w:rsidR="00045EC3">
        <w:t>eneesheren</w:t>
      </w:r>
      <w:r w:rsidR="00045EC3">
        <w:rPr>
          <w:rStyle w:val="Voetnootmarkering"/>
        </w:rPr>
        <w:footnoteReference w:id="102"/>
      </w:r>
      <w:r w:rsidR="00045EC3">
        <w:t xml:space="preserve"> komen ter sprake.</w:t>
      </w:r>
      <w:r w:rsidR="002F52F1">
        <w:t xml:space="preserve"> </w:t>
      </w:r>
      <w:r w:rsidR="00881691">
        <w:t xml:space="preserve">Een enquête van TNS </w:t>
      </w:r>
      <w:proofErr w:type="spellStart"/>
      <w:r w:rsidR="00881691">
        <w:t>Dimarso</w:t>
      </w:r>
      <w:proofErr w:type="spellEnd"/>
      <w:r w:rsidR="00881691">
        <w:t xml:space="preserve"> op initi</w:t>
      </w:r>
      <w:r w:rsidR="00C33603">
        <w:t>a</w:t>
      </w:r>
      <w:r w:rsidR="00881691">
        <w:t xml:space="preserve">tief van de VZW </w:t>
      </w:r>
      <w:r w:rsidR="00881691" w:rsidRPr="00881691">
        <w:rPr>
          <w:i/>
        </w:rPr>
        <w:t>Recht op waardig sterven</w:t>
      </w:r>
      <w:r w:rsidR="00881691">
        <w:rPr>
          <w:i/>
        </w:rPr>
        <w:t xml:space="preserve"> </w:t>
      </w:r>
      <w:r w:rsidR="00881691">
        <w:t xml:space="preserve">wordt vermeld. Meer dan 8 op 10 </w:t>
      </w:r>
      <w:r w:rsidR="003C20FB">
        <w:t>Vlamingen</w:t>
      </w:r>
      <w:r w:rsidR="00881691">
        <w:t xml:space="preserve"> vind</w:t>
      </w:r>
      <w:r w:rsidR="003C20FB">
        <w:t>t dat euthanasie bij ‘</w:t>
      </w:r>
      <w:r w:rsidR="003C20FB" w:rsidRPr="003C20FB">
        <w:rPr>
          <w:i/>
        </w:rPr>
        <w:t xml:space="preserve">minderjarigen die </w:t>
      </w:r>
      <w:r w:rsidR="00C33603" w:rsidRPr="003C20FB">
        <w:rPr>
          <w:i/>
        </w:rPr>
        <w:t>ongene</w:t>
      </w:r>
      <w:r w:rsidR="00C33603">
        <w:rPr>
          <w:i/>
        </w:rPr>
        <w:t>es</w:t>
      </w:r>
      <w:r w:rsidR="00C33603" w:rsidRPr="003C20FB">
        <w:rPr>
          <w:i/>
        </w:rPr>
        <w:t>lijke</w:t>
      </w:r>
      <w:r w:rsidR="003C20FB" w:rsidRPr="003C20FB">
        <w:rPr>
          <w:i/>
        </w:rPr>
        <w:t xml:space="preserve"> ziek zijn en ondraaglijk lijden</w:t>
      </w:r>
      <w:r w:rsidR="003C20FB">
        <w:rPr>
          <w:i/>
        </w:rPr>
        <w:t>’</w:t>
      </w:r>
      <w:r w:rsidR="003C20FB">
        <w:t>, met of zonder toestemming van de ouders, mogelijk moet zijn</w:t>
      </w:r>
      <w:r w:rsidR="00901FBB">
        <w:t>.</w:t>
      </w:r>
      <w:r w:rsidR="00045EC3">
        <w:rPr>
          <w:rStyle w:val="Voetnootmarkering"/>
        </w:rPr>
        <w:footnoteReference w:id="103"/>
      </w:r>
      <w:r w:rsidR="00901FBB">
        <w:t xml:space="preserve"> </w:t>
      </w:r>
      <w:r w:rsidR="003C20FB">
        <w:t xml:space="preserve">Jaarlijks zouden er bovendien tussen de 100 en 200 kinderen sterven aan een ongeneeslijke aandoening. Bij een minderheid wordt </w:t>
      </w:r>
      <w:r w:rsidR="003C20FB">
        <w:lastRenderedPageBreak/>
        <w:t>euthanasie toegepast</w:t>
      </w:r>
      <w:r w:rsidR="00901FBB">
        <w:t>.</w:t>
      </w:r>
      <w:r w:rsidR="00045EC3">
        <w:rPr>
          <w:rStyle w:val="Voetnootmarkering"/>
        </w:rPr>
        <w:footnoteReference w:id="104"/>
      </w:r>
      <w:r w:rsidR="00C33603">
        <w:t xml:space="preserve"> </w:t>
      </w:r>
      <w:r w:rsidR="003C20FB">
        <w:t xml:space="preserve">Volgens </w:t>
      </w:r>
      <w:r w:rsidR="003C20FB" w:rsidRPr="00521E3F">
        <w:rPr>
          <w:i/>
        </w:rPr>
        <w:t>The Lancet</w:t>
      </w:r>
      <w:r w:rsidR="003C20FB" w:rsidRPr="00521E3F">
        <w:t xml:space="preserve"> </w:t>
      </w:r>
      <w:r w:rsidR="003C20FB">
        <w:t>zou de meerderheid van de neonatologen voorstander zijn.</w:t>
      </w:r>
      <w:r w:rsidR="00521E3F">
        <w:rPr>
          <w:rStyle w:val="Voetnootmarkering"/>
        </w:rPr>
        <w:footnoteReference w:id="105"/>
      </w:r>
      <w:r w:rsidR="003C20FB">
        <w:t xml:space="preserve"> Een wettelijke regeling komt het bestaande juridisch vacuüm, waarin artsen terechtkomen na het toepassen van euthanasie, ten goede. De rechtszekerheid baadt hierbij aangezien artsen in 2000 bij 63 % van de overleden pasgeborenen levensbeëindigend handelden</w:t>
      </w:r>
      <w:r w:rsidR="00521E3F">
        <w:rPr>
          <w:rStyle w:val="Voetnootmarkering"/>
        </w:rPr>
        <w:footnoteReference w:id="106"/>
      </w:r>
      <w:r w:rsidR="003C20FB">
        <w:t>. Bij 7 % werd een dodend middel toegediend</w:t>
      </w:r>
      <w:r w:rsidR="00901FBB">
        <w:t>.</w:t>
      </w:r>
      <w:r w:rsidR="001606A0">
        <w:rPr>
          <w:rStyle w:val="Voetnootmarkering"/>
        </w:rPr>
        <w:footnoteReference w:id="107"/>
      </w:r>
    </w:p>
    <w:p w:rsidR="009B10B3" w:rsidRDefault="009B10B3" w:rsidP="00E66F22">
      <w:pPr>
        <w:spacing w:line="360" w:lineRule="auto"/>
        <w:jc w:val="both"/>
      </w:pPr>
    </w:p>
    <w:p w:rsidR="00F76F4D" w:rsidRDefault="001606A0" w:rsidP="00E66F22">
      <w:pPr>
        <w:spacing w:line="360" w:lineRule="auto"/>
        <w:jc w:val="both"/>
      </w:pPr>
      <w:r>
        <w:t>Als we naar de voorgestelde wetswijzigingen zelf gaan</w:t>
      </w:r>
      <w:r w:rsidR="00521E3F">
        <w:t xml:space="preserve"> kijken</w:t>
      </w:r>
      <w:r>
        <w:t>, dan kunnen we besluiten dat geen enkel voorstel een leeftijdsgrens aanvoert. Steeds is sprake van de term ‘</w:t>
      </w:r>
      <w:r w:rsidR="00F76F4D">
        <w:t>oordeel</w:t>
      </w:r>
      <w:r>
        <w:t>svermogen’</w:t>
      </w:r>
      <w:r w:rsidR="00901FBB">
        <w:t>.</w:t>
      </w:r>
      <w:r w:rsidR="00F76F4D">
        <w:rPr>
          <w:rStyle w:val="Voetnootmarkering"/>
        </w:rPr>
        <w:footnoteReference w:id="108"/>
      </w:r>
      <w:r>
        <w:t xml:space="preserve"> Als richtlijn vermeldt men wel dat een kind van ongeveer 12 jaar over dit vereist</w:t>
      </w:r>
      <w:r w:rsidR="00F76F4D">
        <w:t>e oordeel</w:t>
      </w:r>
      <w:r>
        <w:t>svermogen beschikt</w:t>
      </w:r>
      <w:r w:rsidR="00901FBB">
        <w:t>.</w:t>
      </w:r>
      <w:r>
        <w:rPr>
          <w:rStyle w:val="Voetnootmarkering"/>
        </w:rPr>
        <w:footnoteReference w:id="109"/>
      </w:r>
      <w:r>
        <w:t xml:space="preserve"> In het voorstel </w:t>
      </w:r>
      <w:proofErr w:type="spellStart"/>
      <w:r>
        <w:t>Vanlerberghe</w:t>
      </w:r>
      <w:proofErr w:type="spellEnd"/>
      <w:r>
        <w:t xml:space="preserve"> kunnen ook ouders een </w:t>
      </w:r>
      <w:r w:rsidR="00F76F4D">
        <w:t xml:space="preserve">verzoek tot euthanasie uitbrengen indien het kind niet over een oordeelsvermogen beschikt. De beslissing is het gevolg van een consensus tussen het medisch team, de ouders en de </w:t>
      </w:r>
      <w:proofErr w:type="spellStart"/>
      <w:r w:rsidR="00F76F4D">
        <w:t>wilsbekwame</w:t>
      </w:r>
      <w:proofErr w:type="spellEnd"/>
      <w:r w:rsidR="00F76F4D">
        <w:t xml:space="preserve"> minderjarige. Ook in het voorst</w:t>
      </w:r>
      <w:r w:rsidR="00C33603">
        <w:t>e</w:t>
      </w:r>
      <w:r w:rsidR="00F76F4D">
        <w:t xml:space="preserve">l </w:t>
      </w:r>
      <w:proofErr w:type="spellStart"/>
      <w:r w:rsidR="00F76F4D">
        <w:t>Vankrunkelsven</w:t>
      </w:r>
      <w:proofErr w:type="spellEnd"/>
      <w:r w:rsidR="00F76F4D">
        <w:t xml:space="preserve"> is intensief overleg tussen arts en ouders noodzakelijk. Zonder toestemming van ouders of voogd is euthanasie onmogelijk. Het verzoek kan er wel enkel uitgaan van de minderjarige zelf, die ‘</w:t>
      </w:r>
      <w:r w:rsidR="00F76F4D" w:rsidRPr="00F76F4D">
        <w:rPr>
          <w:i/>
        </w:rPr>
        <w:t>tot een redelijke w</w:t>
      </w:r>
      <w:r w:rsidR="00C33603">
        <w:rPr>
          <w:i/>
        </w:rPr>
        <w:t>aardering van zijn belangen ter</w:t>
      </w:r>
      <w:r w:rsidR="00C33603" w:rsidRPr="00F76F4D">
        <w:rPr>
          <w:i/>
        </w:rPr>
        <w:t xml:space="preserve"> zake</w:t>
      </w:r>
      <w:r w:rsidR="00F76F4D" w:rsidRPr="00F76F4D">
        <w:rPr>
          <w:i/>
        </w:rPr>
        <w:t xml:space="preserve"> in staat kan worden geacht’</w:t>
      </w:r>
      <w:r w:rsidR="00F76F4D">
        <w:t xml:space="preserve">. Het voorstel </w:t>
      </w:r>
      <w:r w:rsidR="005433FE">
        <w:t xml:space="preserve">De </w:t>
      </w:r>
      <w:proofErr w:type="spellStart"/>
      <w:r w:rsidR="005433FE">
        <w:t>Gucht</w:t>
      </w:r>
      <w:proofErr w:type="spellEnd"/>
      <w:r w:rsidR="005433FE">
        <w:t xml:space="preserve"> </w:t>
      </w:r>
      <w:r w:rsidR="0027709B">
        <w:t>maakt</w:t>
      </w:r>
      <w:r w:rsidR="00C33603">
        <w:t>,</w:t>
      </w:r>
      <w:r w:rsidR="0027709B">
        <w:t xml:space="preserve"> in overeens</w:t>
      </w:r>
      <w:r w:rsidR="00C33603">
        <w:t>temming met het advies van het K</w:t>
      </w:r>
      <w:r w:rsidR="0027709B">
        <w:t>inderrechtencommissariaat</w:t>
      </w:r>
      <w:r w:rsidR="00C33603">
        <w:t>,</w:t>
      </w:r>
      <w:r w:rsidR="0027709B">
        <w:t xml:space="preserve"> volgend onderscheid. Een minderjarige die beschikt over het nodige oordeelsvermogen heeft tot zijn zestiende levensjaar de toestemming van zijn ouders nodig. Daarna is slechts een niet-bindend advies nodig. De mosterd is hier duidelijk gehaald bij onze Noorderburen</w:t>
      </w:r>
      <w:r w:rsidR="00901FBB">
        <w:t>.</w:t>
      </w:r>
      <w:r w:rsidR="006A5068">
        <w:rPr>
          <w:rStyle w:val="Voetnootmarkering"/>
        </w:rPr>
        <w:footnoteReference w:id="110"/>
      </w:r>
    </w:p>
    <w:p w:rsidR="0027709B" w:rsidRDefault="0027709B" w:rsidP="00FD3FA2">
      <w:pPr>
        <w:spacing w:line="360" w:lineRule="auto"/>
        <w:jc w:val="both"/>
      </w:pPr>
    </w:p>
    <w:p w:rsidR="00881F2B" w:rsidRDefault="0027709B" w:rsidP="00FD3FA2">
      <w:pPr>
        <w:spacing w:line="360" w:lineRule="auto"/>
        <w:jc w:val="both"/>
      </w:pPr>
      <w:r>
        <w:t xml:space="preserve">Hoe interessant de voorgaande voorstellen ook mogen zijn, de behandeling werd stopgezet door het verval van de wetgevende kamers op 7 mei 2010. Het voorstel </w:t>
      </w:r>
      <w:proofErr w:type="spellStart"/>
      <w:r>
        <w:t>Vanlerberghe</w:t>
      </w:r>
      <w:proofErr w:type="spellEnd"/>
      <w:r>
        <w:t xml:space="preserve"> </w:t>
      </w:r>
      <w:r w:rsidR="00881F2B">
        <w:t xml:space="preserve">en het voorstel De </w:t>
      </w:r>
      <w:proofErr w:type="spellStart"/>
      <w:r w:rsidR="00881F2B">
        <w:t>Gucht</w:t>
      </w:r>
      <w:proofErr w:type="spellEnd"/>
      <w:r w:rsidR="00881F2B">
        <w:t xml:space="preserve"> </w:t>
      </w:r>
      <w:r>
        <w:t>werd</w:t>
      </w:r>
      <w:r w:rsidR="00881F2B">
        <w:t xml:space="preserve">en wel opnieuw ingediend, respectievelijk bij het wetsvoorstel van 28 oktober 2010 </w:t>
      </w:r>
      <w:r w:rsidR="00881F2B" w:rsidRPr="006E7662">
        <w:rPr>
          <w:bCs/>
        </w:rPr>
        <w:t>(</w:t>
      </w:r>
      <w:r w:rsidR="00881F2B" w:rsidRPr="006E7662">
        <w:rPr>
          <w:lang w:val="nl-BE"/>
        </w:rPr>
        <w:t xml:space="preserve">M. </w:t>
      </w:r>
      <w:proofErr w:type="spellStart"/>
      <w:r w:rsidR="00881F2B" w:rsidRPr="006E7662">
        <w:rPr>
          <w:lang w:val="nl-BE"/>
        </w:rPr>
        <w:t>Vanlerberghe</w:t>
      </w:r>
      <w:proofErr w:type="spellEnd"/>
      <w:r w:rsidR="00881F2B" w:rsidRPr="006E7662">
        <w:rPr>
          <w:lang w:val="nl-BE"/>
        </w:rPr>
        <w:t xml:space="preserve">, R. </w:t>
      </w:r>
      <w:proofErr w:type="spellStart"/>
      <w:r w:rsidR="00881F2B" w:rsidRPr="006E7662">
        <w:rPr>
          <w:lang w:val="nl-BE"/>
        </w:rPr>
        <w:lastRenderedPageBreak/>
        <w:t>Landuyt</w:t>
      </w:r>
      <w:proofErr w:type="spellEnd"/>
      <w:r w:rsidR="00881F2B" w:rsidRPr="006E7662">
        <w:t>,</w:t>
      </w:r>
      <w:r w:rsidR="00881F2B" w:rsidRPr="006E7662">
        <w:rPr>
          <w:lang w:val="nl-BE"/>
        </w:rPr>
        <w:t xml:space="preserve"> </w:t>
      </w:r>
      <w:hyperlink r:id="rId17" w:history="1">
        <w:r w:rsidR="00881F2B" w:rsidRPr="006E7662">
          <w:rPr>
            <w:rStyle w:val="Hyperlink"/>
            <w:color w:val="auto"/>
            <w:u w:val="none"/>
            <w:lang w:val="nl-BE"/>
          </w:rPr>
          <w:t xml:space="preserve">M. </w:t>
        </w:r>
        <w:proofErr w:type="spellStart"/>
        <w:r w:rsidR="00881F2B" w:rsidRPr="006E7662">
          <w:rPr>
            <w:rStyle w:val="Hyperlink"/>
            <w:color w:val="auto"/>
            <w:u w:val="none"/>
            <w:lang w:val="nl-BE"/>
          </w:rPr>
          <w:t>Detiège</w:t>
        </w:r>
        <w:proofErr w:type="spellEnd"/>
      </w:hyperlink>
      <w:r w:rsidR="00881F2B" w:rsidRPr="006E7662">
        <w:rPr>
          <w:bCs/>
        </w:rPr>
        <w:t>)</w:t>
      </w:r>
      <w:r w:rsidR="00881F2B">
        <w:rPr>
          <w:rStyle w:val="Voetnootmarkering"/>
          <w:bCs/>
        </w:rPr>
        <w:footnoteReference w:id="111"/>
      </w:r>
      <w:r w:rsidR="00881F2B" w:rsidRPr="006E7662">
        <w:rPr>
          <w:bCs/>
        </w:rPr>
        <w:t xml:space="preserve"> </w:t>
      </w:r>
      <w:r w:rsidR="00901FBB">
        <w:rPr>
          <w:bCs/>
        </w:rPr>
        <w:t>in de K</w:t>
      </w:r>
      <w:r w:rsidR="008B07A9">
        <w:rPr>
          <w:bCs/>
        </w:rPr>
        <w:t xml:space="preserve">amer </w:t>
      </w:r>
      <w:r w:rsidR="00881F2B">
        <w:t xml:space="preserve">en bij het wetsvoorstel van 16 augustus 2010 </w:t>
      </w:r>
      <w:r w:rsidR="00881F2B" w:rsidRPr="006E7662">
        <w:rPr>
          <w:lang w:val="nl-BE" w:eastAsia="ja-JP"/>
        </w:rPr>
        <w:t xml:space="preserve">(A. De </w:t>
      </w:r>
      <w:proofErr w:type="spellStart"/>
      <w:r w:rsidR="00881F2B" w:rsidRPr="006E7662">
        <w:rPr>
          <w:lang w:val="nl-BE" w:eastAsia="ja-JP"/>
        </w:rPr>
        <w:t>Croo</w:t>
      </w:r>
      <w:proofErr w:type="spellEnd"/>
      <w:r w:rsidR="00881F2B" w:rsidRPr="006E7662">
        <w:rPr>
          <w:lang w:val="nl-BE" w:eastAsia="ja-JP"/>
        </w:rPr>
        <w:t xml:space="preserve"> et. al.)</w:t>
      </w:r>
      <w:r w:rsidR="00881F2B">
        <w:rPr>
          <w:rStyle w:val="Voetnootmarkering"/>
          <w:lang w:val="nl-BE" w:eastAsia="ja-JP"/>
        </w:rPr>
        <w:footnoteReference w:id="112"/>
      </w:r>
      <w:r w:rsidR="00C33603">
        <w:rPr>
          <w:lang w:val="nl-BE" w:eastAsia="ja-JP"/>
        </w:rPr>
        <w:t xml:space="preserve"> </w:t>
      </w:r>
      <w:r w:rsidR="00901FBB">
        <w:rPr>
          <w:lang w:val="nl-BE" w:eastAsia="ja-JP"/>
        </w:rPr>
        <w:t>in de S</w:t>
      </w:r>
      <w:r w:rsidR="008B07A9">
        <w:rPr>
          <w:lang w:val="nl-BE" w:eastAsia="ja-JP"/>
        </w:rPr>
        <w:t>enaat</w:t>
      </w:r>
      <w:r w:rsidR="00881F2B">
        <w:t xml:space="preserve">. </w:t>
      </w:r>
    </w:p>
    <w:p w:rsidR="009E77F3" w:rsidRDefault="009E77F3" w:rsidP="00FD3FA2">
      <w:pPr>
        <w:spacing w:line="360" w:lineRule="auto"/>
        <w:jc w:val="both"/>
      </w:pPr>
    </w:p>
    <w:p w:rsidR="00F23506" w:rsidRDefault="00881F2B" w:rsidP="00E66F22">
      <w:pPr>
        <w:spacing w:line="360" w:lineRule="auto"/>
        <w:jc w:val="both"/>
      </w:pPr>
      <w:r>
        <w:t>Naast deze twee voorstellen is nog één ander voorstel hangende</w:t>
      </w:r>
      <w:r w:rsidR="00521E3F">
        <w:t xml:space="preserve"> in de S</w:t>
      </w:r>
      <w:r w:rsidR="008B07A9">
        <w:t>enaat</w:t>
      </w:r>
      <w:r>
        <w:t xml:space="preserve">. Het gaat om het wetsvoorstel van 23 september 2010 </w:t>
      </w:r>
      <w:r w:rsidRPr="006E7662">
        <w:t>(</w:t>
      </w:r>
      <w:hyperlink r:id="rId18" w:history="1">
        <w:r w:rsidRPr="006E7662">
          <w:rPr>
            <w:rStyle w:val="Hyperlink"/>
            <w:color w:val="auto"/>
            <w:u w:val="none"/>
          </w:rPr>
          <w:t xml:space="preserve">C. </w:t>
        </w:r>
        <w:proofErr w:type="spellStart"/>
        <w:r w:rsidRPr="006E7662">
          <w:rPr>
            <w:rStyle w:val="Hyperlink"/>
            <w:color w:val="auto"/>
            <w:u w:val="none"/>
          </w:rPr>
          <w:t>Defraigne</w:t>
        </w:r>
        <w:proofErr w:type="spellEnd"/>
      </w:hyperlink>
      <w:r w:rsidRPr="006E7662">
        <w:t>)</w:t>
      </w:r>
      <w:r>
        <w:rPr>
          <w:rStyle w:val="Voetnootmarkering"/>
        </w:rPr>
        <w:footnoteReference w:id="113"/>
      </w:r>
      <w:r>
        <w:t>.</w:t>
      </w:r>
      <w:r w:rsidR="009E77F3">
        <w:t xml:space="preserve"> Bijzonder aan dit voorstel is dat er wel met een leeftijd</w:t>
      </w:r>
      <w:r w:rsidR="00545010">
        <w:t>s</w:t>
      </w:r>
      <w:r w:rsidR="009E77F3">
        <w:t xml:space="preserve">grens gewerkt wordt. In het voorstel wil Christine </w:t>
      </w:r>
      <w:proofErr w:type="spellStart"/>
      <w:r w:rsidR="009E77F3">
        <w:t>Defraigne</w:t>
      </w:r>
      <w:proofErr w:type="spellEnd"/>
      <w:r w:rsidR="009E77F3">
        <w:t xml:space="preserve"> de mogelijk</w:t>
      </w:r>
      <w:r w:rsidR="00C33603">
        <w:t>heid</w:t>
      </w:r>
      <w:r w:rsidR="009E77F3">
        <w:t xml:space="preserve"> voor euthanasi</w:t>
      </w:r>
      <w:r w:rsidR="00901FBB">
        <w:t>e doortrekken naar alle 15-</w:t>
      </w:r>
      <w:r w:rsidR="009E77F3">
        <w:t xml:space="preserve">plussers en niet enkel naar </w:t>
      </w:r>
      <w:r w:rsidR="00F23506">
        <w:t>15-jarigen die ontvoogd zijn</w:t>
      </w:r>
      <w:r w:rsidR="00545010">
        <w:t>.</w:t>
      </w:r>
      <w:r w:rsidR="00F23506">
        <w:rPr>
          <w:rStyle w:val="Voetnootmarkering"/>
        </w:rPr>
        <w:footnoteReference w:id="114"/>
      </w:r>
      <w:r w:rsidR="00F23506">
        <w:t xml:space="preserve"> Minderjarigen die de leeftijd van 15 jaar niet bereikten, kunnen onder geen beding euthanasie plegen. Het voo</w:t>
      </w:r>
      <w:r w:rsidR="00545010">
        <w:t xml:space="preserve">rstel </w:t>
      </w:r>
      <w:proofErr w:type="spellStart"/>
      <w:r w:rsidR="00545010">
        <w:t>Defraigne</w:t>
      </w:r>
      <w:proofErr w:type="spellEnd"/>
      <w:r w:rsidR="00545010">
        <w:t xml:space="preserve"> ligt dus niet in</w:t>
      </w:r>
      <w:r w:rsidR="00F23506">
        <w:t xml:space="preserve"> lijn van de andere voorstellen</w:t>
      </w:r>
      <w:r w:rsidR="00545010">
        <w:t>,</w:t>
      </w:r>
      <w:r w:rsidR="00F23506">
        <w:t xml:space="preserve"> waarbij men </w:t>
      </w:r>
      <w:r w:rsidR="00545010">
        <w:t xml:space="preserve">er voor </w:t>
      </w:r>
      <w:r w:rsidR="00F23506">
        <w:t xml:space="preserve">opteert geen nieuwe (arbitraire) leeftijdsgrens te kiezen </w:t>
      </w:r>
      <w:r w:rsidR="00545010">
        <w:t xml:space="preserve">maar te kijken </w:t>
      </w:r>
      <w:r w:rsidR="00F23506">
        <w:t xml:space="preserve">naar het oordeelsvermogen van een minderjarige. De aanwezigheid van een oordeelsvermogen wordt in de vorige gevallen reeds rond de leeftijd van 12 jaar gesitueerd. </w:t>
      </w:r>
      <w:proofErr w:type="spellStart"/>
      <w:r w:rsidR="00F23506">
        <w:t>Wilsbekwame</w:t>
      </w:r>
      <w:proofErr w:type="spellEnd"/>
      <w:r w:rsidR="00F23506">
        <w:t xml:space="preserve"> minderjarigen tussen twaalf en vijftien jaar vallen bij het voorstel </w:t>
      </w:r>
      <w:proofErr w:type="spellStart"/>
      <w:r w:rsidR="00F23506">
        <w:t>Defraigne</w:t>
      </w:r>
      <w:proofErr w:type="spellEnd"/>
      <w:r w:rsidR="00F23506">
        <w:t xml:space="preserve"> dus uit de boot. </w:t>
      </w:r>
      <w:r w:rsidR="00B34215">
        <w:t xml:space="preserve">Nog even een korte opsomming van de overige voorwaarden in het wetsvoorstel. De vijftienjarige moet over een oordeelsvermogen en </w:t>
      </w:r>
      <w:proofErr w:type="spellStart"/>
      <w:r w:rsidR="00B34215">
        <w:t>wilsbekwaamheid</w:t>
      </w:r>
      <w:proofErr w:type="spellEnd"/>
      <w:r w:rsidR="00B34215">
        <w:t xml:space="preserve"> beschikken, wat vastgesteld wordt door een arts. De uitdrukkelijke toestemming van de ouders is niet nodig</w:t>
      </w:r>
      <w:r w:rsidR="00901FBB">
        <w:t>.</w:t>
      </w:r>
      <w:r w:rsidR="00B34215">
        <w:rPr>
          <w:rStyle w:val="Voetnootmarkering"/>
        </w:rPr>
        <w:footnoteReference w:id="115"/>
      </w:r>
      <w:r w:rsidR="00B34215">
        <w:t xml:space="preserve"> Deze ouders worden wel betrokken en worden opgevangen door een multidisciplinair team. De minderjarige moet bovendien sterven binnen een afzienbare tijd en een tweede arts wordt geraadpleegd.</w:t>
      </w:r>
      <w:r w:rsidR="00047DF8">
        <w:t xml:space="preserve"> Opmerkelijk is dat dit voorstel het eerste is dat uitgaat van een Waalse politicus</w:t>
      </w:r>
      <w:r w:rsidR="00901FBB">
        <w:t>.</w:t>
      </w:r>
      <w:r w:rsidR="00047DF8">
        <w:rPr>
          <w:rStyle w:val="Voetnootmarkering"/>
        </w:rPr>
        <w:footnoteReference w:id="116"/>
      </w:r>
      <w:r w:rsidR="00FE2335">
        <w:t xml:space="preserve"> </w:t>
      </w:r>
    </w:p>
    <w:p w:rsidR="009105AC" w:rsidRDefault="009105AC" w:rsidP="00FD3FA2">
      <w:pPr>
        <w:spacing w:line="360" w:lineRule="auto"/>
        <w:jc w:val="both"/>
      </w:pPr>
    </w:p>
    <w:p w:rsidR="009105AC" w:rsidRDefault="009105AC" w:rsidP="00FD3FA2">
      <w:pPr>
        <w:spacing w:line="360" w:lineRule="auto"/>
        <w:jc w:val="both"/>
      </w:pPr>
      <w:r>
        <w:t>Na een korte bespreking van al deze voorstellen is duidelijk dat men globaal gezien een nieuwe (lagere) leeftijdsgrens afwijst</w:t>
      </w:r>
      <w:r w:rsidR="00545010">
        <w:t>.</w:t>
      </w:r>
      <w:r>
        <w:rPr>
          <w:rStyle w:val="Voetnootmarkering"/>
        </w:rPr>
        <w:footnoteReference w:id="117"/>
      </w:r>
      <w:r>
        <w:t xml:space="preserve"> Alle voorstellen creëren bijkomende voorwaarden voor de minderjarige om zo een ruimere bescherming te voorzien dan nu aanwezig is voor de ontvoogde minderjarige en de meerderjarige</w:t>
      </w:r>
      <w:r w:rsidR="00545010">
        <w:t>.</w:t>
      </w:r>
      <w:r w:rsidR="0044190A">
        <w:rPr>
          <w:rStyle w:val="Voetnootmarkering"/>
        </w:rPr>
        <w:footnoteReference w:id="118"/>
      </w:r>
      <w:r>
        <w:t xml:space="preserve"> Vaak wordt deze bescherming </w:t>
      </w:r>
      <w:r w:rsidR="00545010">
        <w:t>geboden</w:t>
      </w:r>
      <w:r>
        <w:t xml:space="preserve"> door de toes</w:t>
      </w:r>
      <w:r w:rsidR="006A5068">
        <w:t>temming</w:t>
      </w:r>
      <w:r w:rsidR="004C3222">
        <w:t xml:space="preserve"> van ouders te vereisen. I</w:t>
      </w:r>
      <w:r w:rsidR="006A5068">
        <w:t xml:space="preserve">n het voorstel De </w:t>
      </w:r>
      <w:proofErr w:type="spellStart"/>
      <w:r w:rsidR="006A5068">
        <w:t>Gucht</w:t>
      </w:r>
      <w:proofErr w:type="spellEnd"/>
      <w:r w:rsidR="00545010">
        <w:t xml:space="preserve"> wordt hiervan afgeweken maar </w:t>
      </w:r>
      <w:r w:rsidR="006A5068">
        <w:t>louter voor 16</w:t>
      </w:r>
      <w:r w:rsidR="00D831AE">
        <w:t>-</w:t>
      </w:r>
      <w:r w:rsidR="006A5068">
        <w:t>plussers</w:t>
      </w:r>
      <w:r w:rsidR="00545010">
        <w:t>.</w:t>
      </w:r>
      <w:r w:rsidR="006A5068">
        <w:rPr>
          <w:rStyle w:val="Voetnootmarkering"/>
        </w:rPr>
        <w:footnoteReference w:id="119"/>
      </w:r>
      <w:r w:rsidR="0059339D">
        <w:t xml:space="preserve"> </w:t>
      </w:r>
      <w:r w:rsidR="004C3222">
        <w:t xml:space="preserve">In het voorstel </w:t>
      </w:r>
      <w:proofErr w:type="spellStart"/>
      <w:r w:rsidR="004C3222">
        <w:t>Defraigne</w:t>
      </w:r>
      <w:proofErr w:type="spellEnd"/>
      <w:r w:rsidR="004C3222">
        <w:t xml:space="preserve"> worden de ouders betrokken maar hun toestemming is niet essentieel</w:t>
      </w:r>
      <w:r w:rsidR="00545010">
        <w:t>.</w:t>
      </w:r>
      <w:r w:rsidR="0036723C">
        <w:rPr>
          <w:rStyle w:val="Voetnootmarkering"/>
        </w:rPr>
        <w:footnoteReference w:id="120"/>
      </w:r>
      <w:r w:rsidR="004C3222">
        <w:t xml:space="preserve"> Ook het akkoord van</w:t>
      </w:r>
      <w:r w:rsidR="0044190A">
        <w:t xml:space="preserve"> een medisch team</w:t>
      </w:r>
      <w:r w:rsidR="004C3222">
        <w:rPr>
          <w:rStyle w:val="Voetnootmarkering"/>
        </w:rPr>
        <w:footnoteReference w:id="121"/>
      </w:r>
      <w:r w:rsidR="0044190A">
        <w:t xml:space="preserve"> of het raadplegen van een tweede arts</w:t>
      </w:r>
      <w:r w:rsidR="004C3222">
        <w:rPr>
          <w:rStyle w:val="Voetnootmarkering"/>
        </w:rPr>
        <w:footnoteReference w:id="122"/>
      </w:r>
      <w:r w:rsidR="0044190A">
        <w:t xml:space="preserve"> moet voor </w:t>
      </w:r>
      <w:r w:rsidR="00002AEC">
        <w:t>een bijkomende waarborg</w:t>
      </w:r>
      <w:r w:rsidR="0044190A">
        <w:t xml:space="preserve"> zorgen. </w:t>
      </w:r>
      <w:r w:rsidR="0059339D">
        <w:t>Alle voorstellen beogen de</w:t>
      </w:r>
      <w:r w:rsidR="0044190A">
        <w:t xml:space="preserve"> uitbreiding naar minderjarigen van het actuele verzoek, maar aan het voorafgaande verzoek wordt niet geraakt</w:t>
      </w:r>
      <w:r w:rsidR="00002AEC">
        <w:t>.</w:t>
      </w:r>
      <w:r w:rsidR="0044190A">
        <w:rPr>
          <w:rStyle w:val="Voetnootmarkering"/>
        </w:rPr>
        <w:footnoteReference w:id="123"/>
      </w:r>
    </w:p>
    <w:p w:rsidR="00C66A96" w:rsidRDefault="00C66A96" w:rsidP="00FD3FA2">
      <w:pPr>
        <w:spacing w:line="360" w:lineRule="auto"/>
        <w:jc w:val="both"/>
      </w:pPr>
    </w:p>
    <w:p w:rsidR="008B07A9" w:rsidRDefault="00C66A96" w:rsidP="004D710F">
      <w:pPr>
        <w:pStyle w:val="Kop3"/>
        <w:ind w:left="708"/>
      </w:pPr>
      <w:bookmarkStart w:id="22" w:name="_Toc287994244"/>
      <w:r>
        <w:t>2.5.3 Huidige stand van zaken</w:t>
      </w:r>
      <w:bookmarkEnd w:id="22"/>
    </w:p>
    <w:p w:rsidR="00C66A96" w:rsidRDefault="00C66A96" w:rsidP="00FD3FA2">
      <w:pPr>
        <w:spacing w:line="360" w:lineRule="auto"/>
        <w:jc w:val="both"/>
      </w:pPr>
    </w:p>
    <w:p w:rsidR="008B07A9" w:rsidRDefault="008B07A9" w:rsidP="00FD3FA2">
      <w:pPr>
        <w:spacing w:line="360" w:lineRule="auto"/>
        <w:jc w:val="both"/>
      </w:pPr>
      <w:r>
        <w:t>Momenteel zijn dus drie wetsvo</w:t>
      </w:r>
      <w:r w:rsidR="00521E3F">
        <w:t>orstellen hangende. Twee in de Sena</w:t>
      </w:r>
      <w:r w:rsidR="00002AEC">
        <w:t>at en één</w:t>
      </w:r>
      <w:r w:rsidR="00521E3F">
        <w:t xml:space="preserve"> in de K</w:t>
      </w:r>
      <w:r w:rsidR="00002AEC">
        <w:t>amer. Elk van deze voorstellen werd</w:t>
      </w:r>
      <w:r>
        <w:t xml:space="preserve"> behandeld in plenaire vergadering en </w:t>
      </w:r>
      <w:r w:rsidR="00002AEC">
        <w:t xml:space="preserve">is </w:t>
      </w:r>
      <w:r>
        <w:t xml:space="preserve">doorgestuurd naar de bevoegde commissies. </w:t>
      </w:r>
      <w:r w:rsidR="001D2FF4">
        <w:t xml:space="preserve">Euthanasie is een optioneel </w:t>
      </w:r>
      <w:proofErr w:type="spellStart"/>
      <w:r w:rsidR="001D2FF4">
        <w:t>bicamerale</w:t>
      </w:r>
      <w:proofErr w:type="spellEnd"/>
      <w:r w:rsidR="001D2FF4">
        <w:t xml:space="preserve"> procedure</w:t>
      </w:r>
      <w:r w:rsidR="001D2FF4">
        <w:rPr>
          <w:rStyle w:val="Voetnootmarkering"/>
        </w:rPr>
        <w:footnoteReference w:id="124"/>
      </w:r>
      <w:r w:rsidR="001D2FF4">
        <w:t xml:space="preserve">, die gezien de ethische gevoeligheid en gelet op de aanwezigheid van voorstellen in zowel </w:t>
      </w:r>
      <w:r w:rsidR="00521E3F">
        <w:t>K</w:t>
      </w:r>
      <w:r w:rsidR="001D2FF4">
        <w:t>a</w:t>
      </w:r>
      <w:r w:rsidR="002F52F1">
        <w:t xml:space="preserve">mer als </w:t>
      </w:r>
      <w:r w:rsidR="00521E3F">
        <w:t>S</w:t>
      </w:r>
      <w:r w:rsidR="002F52F1">
        <w:t>enaat door beide</w:t>
      </w:r>
      <w:r w:rsidR="001D2FF4">
        <w:t xml:space="preserve"> onderzocht zal worden. </w:t>
      </w:r>
      <w:r w:rsidR="002F52F1">
        <w:t>Het zal</w:t>
      </w:r>
      <w:r>
        <w:t xml:space="preserve"> dan </w:t>
      </w:r>
      <w:r w:rsidR="001D2FF4">
        <w:t>ook nog een tijdje duren alvorens een euthanasiewet voor minderjarigen in België werkelijkheid wordt. Ook de pol</w:t>
      </w:r>
      <w:r w:rsidR="002F52F1">
        <w:t>itieke impasse waarin ons land</w:t>
      </w:r>
      <w:r w:rsidR="001D2FF4">
        <w:t xml:space="preserve"> zich bevindt, komt het wetgevingsproces niet ten goede.</w:t>
      </w:r>
    </w:p>
    <w:p w:rsidR="008B07A9" w:rsidRDefault="008B07A9" w:rsidP="00FD3FA2">
      <w:pPr>
        <w:spacing w:line="360" w:lineRule="auto"/>
        <w:jc w:val="both"/>
      </w:pPr>
    </w:p>
    <w:p w:rsidR="00FD3FA2" w:rsidRDefault="00FD3FA2" w:rsidP="00FD3FA2">
      <w:pPr>
        <w:spacing w:line="360" w:lineRule="auto"/>
        <w:jc w:val="both"/>
        <w:rPr>
          <w:lang w:val="nl-BE"/>
        </w:rPr>
      </w:pPr>
    </w:p>
    <w:p w:rsidR="00470955" w:rsidRDefault="00470955" w:rsidP="00FD3FA2">
      <w:pPr>
        <w:spacing w:line="360" w:lineRule="auto"/>
        <w:jc w:val="both"/>
        <w:rPr>
          <w:lang w:val="nl-BE"/>
        </w:rPr>
      </w:pPr>
    </w:p>
    <w:p w:rsidR="00470955" w:rsidRPr="006E7662" w:rsidRDefault="00470955" w:rsidP="00FD3FA2">
      <w:pPr>
        <w:spacing w:line="360" w:lineRule="auto"/>
        <w:jc w:val="both"/>
        <w:rPr>
          <w:lang w:val="nl-BE"/>
        </w:rPr>
      </w:pPr>
    </w:p>
    <w:p w:rsidR="00FD3FA2" w:rsidRPr="006E7662" w:rsidRDefault="00B34215" w:rsidP="004D710F">
      <w:pPr>
        <w:pStyle w:val="Kop2"/>
      </w:pPr>
      <w:bookmarkStart w:id="23" w:name="_Toc287994245"/>
      <w:r>
        <w:lastRenderedPageBreak/>
        <w:t>2.6 E</w:t>
      </w:r>
      <w:r w:rsidR="009A19D5">
        <w:t>uthanasie in Nederland</w:t>
      </w:r>
      <w:bookmarkEnd w:id="23"/>
    </w:p>
    <w:p w:rsidR="009A19D5" w:rsidRDefault="009A19D5" w:rsidP="00FD3FA2">
      <w:pPr>
        <w:spacing w:line="360" w:lineRule="auto"/>
        <w:jc w:val="both"/>
        <w:rPr>
          <w:lang w:val="nl-BE"/>
        </w:rPr>
      </w:pPr>
    </w:p>
    <w:p w:rsidR="00470955" w:rsidRDefault="009A19D5" w:rsidP="00FD3FA2">
      <w:pPr>
        <w:spacing w:line="360" w:lineRule="auto"/>
        <w:jc w:val="both"/>
        <w:rPr>
          <w:lang w:val="nl-BE"/>
        </w:rPr>
      </w:pPr>
      <w:r w:rsidRPr="006E7662">
        <w:rPr>
          <w:lang w:val="nl-BE"/>
        </w:rPr>
        <w:t xml:space="preserve">Naast België kennen ook </w:t>
      </w:r>
      <w:r>
        <w:rPr>
          <w:lang w:val="nl-BE"/>
        </w:rPr>
        <w:t xml:space="preserve">onze buurlanden </w:t>
      </w:r>
      <w:r w:rsidRPr="006E7662">
        <w:rPr>
          <w:lang w:val="nl-BE"/>
        </w:rPr>
        <w:t xml:space="preserve">Luxemburg en Nederland een euthanasieregeling. </w:t>
      </w:r>
      <w:r w:rsidR="006A5FB9">
        <w:rPr>
          <w:lang w:val="nl-BE"/>
        </w:rPr>
        <w:t>De Luxemburgse regeling, die niet verder besproken zal worden, is strenger dan de Belgische: enkel bekwame meerderjarigen kunnen euthanasie plegen</w:t>
      </w:r>
      <w:r w:rsidR="00470955">
        <w:rPr>
          <w:lang w:val="nl-BE"/>
        </w:rPr>
        <w:t>.</w:t>
      </w:r>
      <w:r w:rsidR="006A5FB9">
        <w:rPr>
          <w:rStyle w:val="Voetnootmarkering"/>
          <w:lang w:val="nl-BE"/>
        </w:rPr>
        <w:footnoteReference w:id="125"/>
      </w:r>
      <w:r w:rsidR="006A5FB9">
        <w:rPr>
          <w:lang w:val="nl-BE"/>
        </w:rPr>
        <w:t xml:space="preserve"> </w:t>
      </w:r>
      <w:r>
        <w:rPr>
          <w:lang w:val="nl-BE"/>
        </w:rPr>
        <w:t>Vooral de Nederlandse euthanasiewet is voor dit seminariewerk van belang</w:t>
      </w:r>
      <w:r w:rsidRPr="006E7662">
        <w:rPr>
          <w:lang w:val="nl-BE"/>
        </w:rPr>
        <w:t xml:space="preserve">. </w:t>
      </w:r>
      <w:r>
        <w:rPr>
          <w:lang w:val="nl-BE"/>
        </w:rPr>
        <w:t>De Nederlandse regeling kent in tegenstelling tot zijn Belgische tegenhanger</w:t>
      </w:r>
      <w:r w:rsidRPr="006E7662">
        <w:rPr>
          <w:lang w:val="nl-BE"/>
        </w:rPr>
        <w:t xml:space="preserve"> een ruimer toepassingsgebied. Ook bepaalde minderjarigen kunnen </w:t>
      </w:r>
      <w:r>
        <w:rPr>
          <w:lang w:val="nl-BE"/>
        </w:rPr>
        <w:t xml:space="preserve">namelijk </w:t>
      </w:r>
      <w:r w:rsidRPr="006E7662">
        <w:rPr>
          <w:lang w:val="nl-BE"/>
        </w:rPr>
        <w:t>euthanasie plegen onder de Nederlandse euthanasiewet.</w:t>
      </w:r>
      <w:r w:rsidR="002F52F1">
        <w:rPr>
          <w:lang w:val="nl-BE"/>
        </w:rPr>
        <w:t xml:space="preserve"> Dat euthanasie bij onze noorderburen mogelijk is moeten we plaatsen in de politieke context daar. Het debat over euthanasie nam </w:t>
      </w:r>
      <w:r w:rsidR="009105AC">
        <w:rPr>
          <w:lang w:val="nl-BE"/>
        </w:rPr>
        <w:t xml:space="preserve">vergeleken met België </w:t>
      </w:r>
      <w:r w:rsidR="002F52F1">
        <w:rPr>
          <w:lang w:val="nl-BE"/>
        </w:rPr>
        <w:t>veel vroeger aanvang waardoor euthanasie voor minderjarigen bespreekbaar was en het w</w:t>
      </w:r>
      <w:r w:rsidR="009105AC">
        <w:rPr>
          <w:lang w:val="nl-BE"/>
        </w:rPr>
        <w:t>etgevend proces in mindere mate hinderde</w:t>
      </w:r>
      <w:r w:rsidR="00470955">
        <w:rPr>
          <w:lang w:val="nl-BE"/>
        </w:rPr>
        <w:t>.</w:t>
      </w:r>
      <w:r w:rsidR="009105AC">
        <w:rPr>
          <w:rStyle w:val="Voetnootmarkering"/>
          <w:lang w:val="nl-BE"/>
        </w:rPr>
        <w:footnoteReference w:id="126"/>
      </w:r>
      <w:r w:rsidRPr="006E7662">
        <w:rPr>
          <w:lang w:val="nl-BE"/>
        </w:rPr>
        <w:t xml:space="preserve"> </w:t>
      </w:r>
      <w:r w:rsidR="00D1382A">
        <w:rPr>
          <w:lang w:val="nl-BE"/>
        </w:rPr>
        <w:t>Bovendien werd er in Nederland wel voor gekozen om de rechten die de minderjarige krijgt als patiënt ook door te trekken voor euthanasi</w:t>
      </w:r>
      <w:r w:rsidR="00470955">
        <w:rPr>
          <w:lang w:val="nl-BE"/>
        </w:rPr>
        <w:t>e.</w:t>
      </w:r>
      <w:r w:rsidR="00D1382A">
        <w:rPr>
          <w:rStyle w:val="Voetnootmarkering"/>
          <w:lang w:val="nl-BE"/>
        </w:rPr>
        <w:footnoteReference w:id="127"/>
      </w:r>
      <w:r w:rsidR="00D1382A">
        <w:rPr>
          <w:lang w:val="nl-BE"/>
        </w:rPr>
        <w:t xml:space="preserve"> </w:t>
      </w:r>
      <w:r w:rsidR="00835753">
        <w:rPr>
          <w:lang w:val="nl-BE"/>
        </w:rPr>
        <w:t xml:space="preserve">Het gezondheidsrecht laat er toe dat 12-jarigen die het oordeel des </w:t>
      </w:r>
      <w:r w:rsidR="00470955">
        <w:rPr>
          <w:lang w:val="nl-BE"/>
        </w:rPr>
        <w:t>onderscheid</w:t>
      </w:r>
      <w:r w:rsidR="00835753">
        <w:rPr>
          <w:lang w:val="nl-BE"/>
        </w:rPr>
        <w:t xml:space="preserve"> bezitten bepaalde medische behandelingen kunnen weigeren</w:t>
      </w:r>
      <w:r w:rsidR="00470955">
        <w:rPr>
          <w:lang w:val="nl-BE"/>
        </w:rPr>
        <w:t>.</w:t>
      </w:r>
      <w:r w:rsidR="00835753">
        <w:rPr>
          <w:rStyle w:val="Voetnootmarkering"/>
          <w:lang w:val="nl-BE"/>
        </w:rPr>
        <w:footnoteReference w:id="128"/>
      </w:r>
      <w:r w:rsidR="00835753">
        <w:rPr>
          <w:lang w:val="nl-BE"/>
        </w:rPr>
        <w:t xml:space="preserve"> </w:t>
      </w:r>
    </w:p>
    <w:p w:rsidR="00470955" w:rsidRDefault="00470955" w:rsidP="00FD3FA2">
      <w:pPr>
        <w:spacing w:line="360" w:lineRule="auto"/>
        <w:jc w:val="both"/>
        <w:rPr>
          <w:lang w:val="nl-BE"/>
        </w:rPr>
      </w:pPr>
    </w:p>
    <w:p w:rsidR="00FD3FA2" w:rsidRDefault="009A19D5" w:rsidP="00FD3FA2">
      <w:pPr>
        <w:spacing w:line="360" w:lineRule="auto"/>
        <w:jc w:val="both"/>
        <w:rPr>
          <w:lang w:val="nl-BE"/>
        </w:rPr>
      </w:pPr>
      <w:r>
        <w:rPr>
          <w:lang w:val="nl-BE"/>
        </w:rPr>
        <w:t xml:space="preserve">De </w:t>
      </w:r>
      <w:r w:rsidR="00D01085">
        <w:rPr>
          <w:lang w:val="nl-BE"/>
        </w:rPr>
        <w:t>Nederlandse euthanasieregeling</w:t>
      </w:r>
      <w:r>
        <w:rPr>
          <w:lang w:val="nl-BE"/>
        </w:rPr>
        <w:t xml:space="preserve"> is opgenomen in </w:t>
      </w:r>
      <w:r w:rsidR="00921AE2">
        <w:rPr>
          <w:lang w:val="nl-BE" w:eastAsia="ja-JP"/>
        </w:rPr>
        <w:t>de W</w:t>
      </w:r>
      <w:r w:rsidRPr="006E7662">
        <w:rPr>
          <w:lang w:val="nl-BE" w:eastAsia="ja-JP"/>
        </w:rPr>
        <w:t xml:space="preserve">et </w:t>
      </w:r>
      <w:r>
        <w:rPr>
          <w:lang w:val="nl-BE" w:eastAsia="ja-JP"/>
        </w:rPr>
        <w:t xml:space="preserve">van </w:t>
      </w:r>
      <w:r w:rsidRPr="006E7662">
        <w:rPr>
          <w:lang w:val="nl-BE" w:eastAsia="ja-JP"/>
        </w:rPr>
        <w:t>12 april 2001 houdende toetsing van levensbeëindiging op verzoek en hulp bij zelfdoding en wijziging van het Wetboek van Strafre</w:t>
      </w:r>
      <w:r w:rsidR="00921AE2">
        <w:rPr>
          <w:lang w:val="nl-BE" w:eastAsia="ja-JP"/>
        </w:rPr>
        <w:t>cht en de Wet Lijkbezorging</w:t>
      </w:r>
      <w:r w:rsidR="006A5FB9">
        <w:rPr>
          <w:rStyle w:val="Voetnootmarkering"/>
          <w:lang w:val="nl-BE" w:eastAsia="ja-JP"/>
        </w:rPr>
        <w:footnoteReference w:id="129"/>
      </w:r>
      <w:r w:rsidR="00921AE2">
        <w:rPr>
          <w:lang w:val="nl-BE" w:eastAsia="ja-JP"/>
        </w:rPr>
        <w:t xml:space="preserve">. In artikel 2 </w:t>
      </w:r>
      <w:r w:rsidR="00470955">
        <w:rPr>
          <w:lang w:val="nl-BE" w:eastAsia="ja-JP"/>
        </w:rPr>
        <w:t xml:space="preserve">WTL </w:t>
      </w:r>
      <w:r w:rsidR="00921AE2">
        <w:rPr>
          <w:lang w:val="nl-BE" w:eastAsia="ja-JP"/>
        </w:rPr>
        <w:t xml:space="preserve">maakt men een onderscheid tussen minderjarigen van de leeftijdscategorie </w:t>
      </w:r>
      <w:r w:rsidR="00921AE2">
        <w:rPr>
          <w:lang w:val="nl-BE" w:eastAsia="ja-JP"/>
        </w:rPr>
        <w:lastRenderedPageBreak/>
        <w:t>twaalf tot zestien jaar enerzijds en minderjarigen die de leeftijd van 16  jaar bereikten anderzijds.</w:t>
      </w:r>
      <w:r w:rsidR="00470955">
        <w:rPr>
          <w:lang w:val="nl-BE" w:eastAsia="ja-JP"/>
        </w:rPr>
        <w:t xml:space="preserve"> </w:t>
      </w:r>
      <w:r w:rsidR="00921AE2" w:rsidRPr="006E7662">
        <w:rPr>
          <w:lang w:val="nl-BE" w:eastAsia="ja-JP"/>
        </w:rPr>
        <w:t xml:space="preserve">Een </w:t>
      </w:r>
      <w:proofErr w:type="spellStart"/>
      <w:r w:rsidR="00921AE2">
        <w:rPr>
          <w:lang w:val="nl-BE"/>
        </w:rPr>
        <w:t>w</w:t>
      </w:r>
      <w:r w:rsidR="00921AE2" w:rsidRPr="006E7662">
        <w:rPr>
          <w:lang w:val="nl-BE"/>
        </w:rPr>
        <w:t>ilsbekwame</w:t>
      </w:r>
      <w:proofErr w:type="spellEnd"/>
      <w:r w:rsidR="00921AE2" w:rsidRPr="006E7662">
        <w:rPr>
          <w:lang w:val="nl-BE"/>
        </w:rPr>
        <w:t xml:space="preserve"> minderjarige van 16-18 jaar kan zelfstandig een verzoek tot euthanasie doen. De wettelij</w:t>
      </w:r>
      <w:r w:rsidR="00B8518E">
        <w:rPr>
          <w:lang w:val="nl-BE"/>
        </w:rPr>
        <w:t>k vertegenwoordigers moeten</w:t>
      </w:r>
      <w:r w:rsidR="00921AE2" w:rsidRPr="006E7662">
        <w:rPr>
          <w:lang w:val="nl-BE"/>
        </w:rPr>
        <w:t xml:space="preserve"> betrokken worden bij besluitvorming maar hun toestemming wordt niet vereist.</w:t>
      </w:r>
      <w:r w:rsidR="006A5FB9">
        <w:rPr>
          <w:lang w:val="nl-BE"/>
        </w:rPr>
        <w:t xml:space="preserve"> </w:t>
      </w:r>
      <w:r w:rsidR="00BF59B9">
        <w:rPr>
          <w:lang w:val="nl-BE"/>
        </w:rPr>
        <w:t>Een (niet-bindend) advies is wel nodig</w:t>
      </w:r>
      <w:r w:rsidR="00BF59B9">
        <w:rPr>
          <w:rStyle w:val="Voetnootmarkering"/>
          <w:lang w:val="nl-BE"/>
        </w:rPr>
        <w:footnoteReference w:id="130"/>
      </w:r>
      <w:r w:rsidR="00BF59B9">
        <w:rPr>
          <w:lang w:val="nl-BE"/>
        </w:rPr>
        <w:t>. Voor deze categorie minderjarigen staat ook het voorafgaande verzoek open.</w:t>
      </w:r>
      <w:r w:rsidR="00470955">
        <w:rPr>
          <w:lang w:val="nl-BE"/>
        </w:rPr>
        <w:t xml:space="preserve"> </w:t>
      </w:r>
      <w:r w:rsidR="00FD3FA2" w:rsidRPr="006E7662">
        <w:rPr>
          <w:lang w:val="nl-BE"/>
        </w:rPr>
        <w:t>Een Minderjarige van 12-16 jaar kan euthanasie plegen maar hier is de toestemming van de wettelijke vertegenwoordigers wel vereist</w:t>
      </w:r>
      <w:r w:rsidR="00BF59B9">
        <w:rPr>
          <w:rStyle w:val="Voetnootmarkering"/>
          <w:lang w:val="nl-BE"/>
        </w:rPr>
        <w:footnoteReference w:id="131"/>
      </w:r>
      <w:r w:rsidR="00FD3FA2" w:rsidRPr="006E7662">
        <w:rPr>
          <w:lang w:val="nl-BE"/>
        </w:rPr>
        <w:t xml:space="preserve">. Onder de 12 jaar is euthanasie in principe verboden maar </w:t>
      </w:r>
      <w:r w:rsidR="001D462F">
        <w:rPr>
          <w:lang w:val="nl-BE"/>
        </w:rPr>
        <w:t>een beroep op de noodtoestand, zoals in België, is mogelijk. Tot voor de invoering van de Nederlandse euthanasiewet was deze noodtoestand, samen met ‘het conflict van plichten’, de juridische basis voor een gerechtvaardigde levensbeëindiging op verzoek.</w:t>
      </w:r>
      <w:r w:rsidR="001D462F">
        <w:rPr>
          <w:rStyle w:val="Voetnootmarkering"/>
          <w:lang w:val="nl-BE"/>
        </w:rPr>
        <w:footnoteReference w:id="132"/>
      </w:r>
    </w:p>
    <w:p w:rsidR="00470955" w:rsidRDefault="00470955" w:rsidP="00FD3FA2">
      <w:pPr>
        <w:spacing w:line="360" w:lineRule="auto"/>
        <w:jc w:val="both"/>
        <w:rPr>
          <w:lang w:val="nl-BE"/>
        </w:rPr>
      </w:pPr>
    </w:p>
    <w:p w:rsidR="00536FD6" w:rsidRPr="006E7662" w:rsidRDefault="00536FD6" w:rsidP="00FD3FA2">
      <w:pPr>
        <w:spacing w:line="360" w:lineRule="auto"/>
        <w:jc w:val="both"/>
        <w:rPr>
          <w:lang w:val="nl-BE"/>
        </w:rPr>
      </w:pPr>
      <w:r>
        <w:rPr>
          <w:lang w:val="nl-BE"/>
        </w:rPr>
        <w:t>Een euthanasieregeling voor minderjarigen waarbij een leeftijdsgrens gehanteerd wordt mag in België dan wel afgewezen worden, het bestaan ervan in Nederland toont wel aan dat een uitbreiding van het toepassingsgebied van de euthanasiewet in België naar bepaalde minderjarigen hoe dan ook in de toekomst mogelijk moet zijn.</w:t>
      </w:r>
    </w:p>
    <w:p w:rsidR="00FD3FA2" w:rsidRDefault="00FD3FA2" w:rsidP="00FD3FA2">
      <w:pPr>
        <w:autoSpaceDE w:val="0"/>
        <w:autoSpaceDN w:val="0"/>
        <w:adjustRightInd w:val="0"/>
        <w:rPr>
          <w:lang w:val="nl-BE" w:eastAsia="ja-JP"/>
        </w:rPr>
      </w:pPr>
    </w:p>
    <w:p w:rsidR="006B7C16" w:rsidRDefault="006B7C16" w:rsidP="00FD3FA2">
      <w:pPr>
        <w:autoSpaceDE w:val="0"/>
        <w:autoSpaceDN w:val="0"/>
        <w:adjustRightInd w:val="0"/>
        <w:rPr>
          <w:lang w:val="nl-BE" w:eastAsia="ja-JP"/>
        </w:rPr>
      </w:pPr>
    </w:p>
    <w:p w:rsidR="00F744CE" w:rsidRDefault="00F744CE" w:rsidP="00FD3FA2">
      <w:pPr>
        <w:autoSpaceDE w:val="0"/>
        <w:autoSpaceDN w:val="0"/>
        <w:adjustRightInd w:val="0"/>
        <w:rPr>
          <w:lang w:val="nl-BE" w:eastAsia="ja-JP"/>
        </w:rPr>
      </w:pPr>
    </w:p>
    <w:p w:rsidR="00F722C0" w:rsidRDefault="00F722C0" w:rsidP="00FD3FA2">
      <w:pPr>
        <w:autoSpaceDE w:val="0"/>
        <w:autoSpaceDN w:val="0"/>
        <w:adjustRightInd w:val="0"/>
        <w:rPr>
          <w:lang w:val="nl-BE" w:eastAsia="ja-JP"/>
        </w:rPr>
      </w:pPr>
    </w:p>
    <w:p w:rsidR="00F722C0" w:rsidRDefault="00F722C0" w:rsidP="00FD3FA2">
      <w:pPr>
        <w:autoSpaceDE w:val="0"/>
        <w:autoSpaceDN w:val="0"/>
        <w:adjustRightInd w:val="0"/>
        <w:rPr>
          <w:lang w:val="nl-BE" w:eastAsia="ja-JP"/>
        </w:rPr>
      </w:pPr>
    </w:p>
    <w:p w:rsidR="00F722C0" w:rsidRDefault="00F722C0" w:rsidP="00FD3FA2">
      <w:pPr>
        <w:autoSpaceDE w:val="0"/>
        <w:autoSpaceDN w:val="0"/>
        <w:adjustRightInd w:val="0"/>
        <w:rPr>
          <w:lang w:val="nl-BE" w:eastAsia="ja-JP"/>
        </w:rPr>
      </w:pPr>
    </w:p>
    <w:p w:rsidR="00F722C0" w:rsidRDefault="00F722C0" w:rsidP="00FD3FA2">
      <w:pPr>
        <w:autoSpaceDE w:val="0"/>
        <w:autoSpaceDN w:val="0"/>
        <w:adjustRightInd w:val="0"/>
        <w:rPr>
          <w:lang w:val="nl-BE" w:eastAsia="ja-JP"/>
        </w:rPr>
      </w:pPr>
    </w:p>
    <w:p w:rsidR="00F722C0" w:rsidRDefault="00F722C0" w:rsidP="00FD3FA2">
      <w:pPr>
        <w:autoSpaceDE w:val="0"/>
        <w:autoSpaceDN w:val="0"/>
        <w:adjustRightInd w:val="0"/>
        <w:rPr>
          <w:lang w:val="nl-BE" w:eastAsia="ja-JP"/>
        </w:rPr>
      </w:pPr>
    </w:p>
    <w:p w:rsidR="00FD3FA2" w:rsidRPr="00C0694F" w:rsidRDefault="00E66F22" w:rsidP="00E66F22">
      <w:pPr>
        <w:pBdr>
          <w:top w:val="single" w:sz="4" w:space="1" w:color="auto"/>
          <w:left w:val="single" w:sz="4" w:space="4" w:color="auto"/>
          <w:bottom w:val="single" w:sz="4" w:space="1" w:color="auto"/>
          <w:right w:val="single" w:sz="4" w:space="4" w:color="auto"/>
        </w:pBdr>
        <w:jc w:val="center"/>
        <w:rPr>
          <w:lang w:val="nl-BE"/>
        </w:rPr>
      </w:pPr>
      <w:r>
        <w:rPr>
          <w:lang w:val="nl-BE"/>
        </w:rPr>
        <w:lastRenderedPageBreak/>
        <w:t>BESL</w:t>
      </w:r>
      <w:r w:rsidR="00FD3FA2">
        <w:rPr>
          <w:lang w:val="nl-BE"/>
        </w:rPr>
        <w:t>UIT</w:t>
      </w:r>
    </w:p>
    <w:p w:rsidR="00FD3FA2" w:rsidRDefault="00FD3FA2" w:rsidP="00BC74D4">
      <w:pPr>
        <w:spacing w:line="360" w:lineRule="auto"/>
        <w:jc w:val="both"/>
      </w:pPr>
    </w:p>
    <w:p w:rsidR="00E66F22" w:rsidRDefault="00E66F22" w:rsidP="00BC74D4">
      <w:pPr>
        <w:spacing w:line="360" w:lineRule="auto"/>
        <w:jc w:val="both"/>
      </w:pPr>
    </w:p>
    <w:p w:rsidR="006B7C16" w:rsidRDefault="006B7C16" w:rsidP="00BC74D4">
      <w:pPr>
        <w:spacing w:line="360" w:lineRule="auto"/>
        <w:jc w:val="both"/>
      </w:pPr>
      <w:r>
        <w:t xml:space="preserve">Bij het maken van dit seminariewerk werd al snel duidelijk </w:t>
      </w:r>
      <w:r w:rsidR="00165BF1">
        <w:t xml:space="preserve">dat een euthanasieregeling voor minderjarigen creëren geen makkelijke opdracht is. Men koos er bewust voor om het toepassingsgebied tijdens de onderhandelingen voor de wet van 28 mei 2002  </w:t>
      </w:r>
      <w:r w:rsidR="003E1A61">
        <w:t>te beperken tot meerderjarigen. Men wilde de totstandkoming van een regeling voor meerderjarigen niet in het gedrang brengen door te struikelen over een gebrek aan consensus voor euthanasie bij (niet-ontvoogde) minderjarigen. Per uitzondering werden ontvoogde minderjarigen wel onder het toepassingsgebied van de wet gebracht.</w:t>
      </w:r>
      <w:r w:rsidR="00DB57A3">
        <w:t xml:space="preserve"> Dit zou een soort van compensatie zijn voor het niet opnemen van andere minderjarigen onder het toepassingsgebied van de wet. </w:t>
      </w:r>
    </w:p>
    <w:p w:rsidR="00DB57A3" w:rsidRDefault="00DB57A3" w:rsidP="00BC74D4">
      <w:pPr>
        <w:spacing w:line="360" w:lineRule="auto"/>
        <w:jc w:val="both"/>
      </w:pPr>
    </w:p>
    <w:p w:rsidR="00DB57A3" w:rsidRDefault="00F722C0" w:rsidP="00BC74D4">
      <w:pPr>
        <w:spacing w:line="360" w:lineRule="auto"/>
        <w:jc w:val="both"/>
      </w:pPr>
      <w:r>
        <w:t>Aan een leeftijdsgrens van 18 jaar als onderscheidingscriterium voor euthanasie beantwoordt geen onderliggend verschil in lijden</w:t>
      </w:r>
      <w:r w:rsidR="00DB57A3">
        <w:t>. Al snel na de totstandk</w:t>
      </w:r>
      <w:r w:rsidR="004F4303">
        <w:t>oming van de e</w:t>
      </w:r>
      <w:r>
        <w:t xml:space="preserve">uthanasiewet werd </w:t>
      </w:r>
      <w:r w:rsidR="00DB57A3">
        <w:t xml:space="preserve">dit </w:t>
      </w:r>
      <w:r>
        <w:t>ongenoegen dan ook vertaald</w:t>
      </w:r>
      <w:r w:rsidR="00DB57A3">
        <w:t xml:space="preserve"> naar concrete wetsvoorstellen om het toepassingsgebied uit te breiden</w:t>
      </w:r>
      <w:r>
        <w:t xml:space="preserve"> naar bepaalde minderjarigen</w:t>
      </w:r>
      <w:r w:rsidR="00DB57A3">
        <w:t xml:space="preserve">. Zonder resultaat tot nu toe. In het algemeen wijst men in deze voorstellen een nieuwe </w:t>
      </w:r>
      <w:r>
        <w:t xml:space="preserve">(lagere) </w:t>
      </w:r>
      <w:r w:rsidR="00DB57A3">
        <w:t xml:space="preserve">leeftijdsgrens af en opteert men als criterium om euthanasie al dan niet toe te laten ‘het oordeelsvermogen’. </w:t>
      </w:r>
      <w:r w:rsidR="007A2E27">
        <w:t>Hiermee wordt ingespeeld op</w:t>
      </w:r>
      <w:r>
        <w:t xml:space="preserve"> de visie die besloten ligt in het Kinderrechtenverdrag en </w:t>
      </w:r>
      <w:r w:rsidR="0037284B">
        <w:t xml:space="preserve">in </w:t>
      </w:r>
      <w:r>
        <w:t xml:space="preserve">de Wet Patiëntenrechten. </w:t>
      </w:r>
      <w:r w:rsidR="00A9257B">
        <w:t>Het bestaan van een euthanasieregeling in Nederland die wel openstaat voor bepaalde minderjarigen, toont aan dat politici niet voor een on</w:t>
      </w:r>
      <w:r w:rsidR="007A2E27">
        <w:t>mogelijke opgave</w:t>
      </w:r>
      <w:r w:rsidR="00A9257B">
        <w:t xml:space="preserve"> staan</w:t>
      </w:r>
      <w:r w:rsidR="007A2E27">
        <w:t>.</w:t>
      </w:r>
    </w:p>
    <w:p w:rsidR="00FD3FA2" w:rsidRDefault="00FD3FA2" w:rsidP="00FD3FA2">
      <w:pPr>
        <w:spacing w:line="360" w:lineRule="auto"/>
        <w:jc w:val="center"/>
      </w:pPr>
    </w:p>
    <w:p w:rsidR="00FD3FA2" w:rsidRDefault="00FD3FA2" w:rsidP="00FD3FA2">
      <w:pPr>
        <w:spacing w:line="360" w:lineRule="auto"/>
        <w:jc w:val="center"/>
      </w:pPr>
    </w:p>
    <w:p w:rsidR="00FD3FA2" w:rsidRDefault="00FD3FA2" w:rsidP="00FD3FA2">
      <w:pPr>
        <w:spacing w:line="360" w:lineRule="auto"/>
        <w:jc w:val="center"/>
      </w:pPr>
    </w:p>
    <w:p w:rsidR="00FD3FA2" w:rsidRDefault="00FD3FA2" w:rsidP="00FD3FA2">
      <w:pPr>
        <w:spacing w:line="360" w:lineRule="auto"/>
        <w:jc w:val="center"/>
      </w:pPr>
    </w:p>
    <w:p w:rsidR="00FD3FA2" w:rsidRDefault="00FD3FA2" w:rsidP="00FD3FA2">
      <w:pPr>
        <w:spacing w:line="360" w:lineRule="auto"/>
        <w:jc w:val="center"/>
      </w:pPr>
    </w:p>
    <w:p w:rsidR="00FD3FA2" w:rsidRDefault="00FD3FA2" w:rsidP="00FD3FA2">
      <w:pPr>
        <w:spacing w:line="360" w:lineRule="auto"/>
        <w:jc w:val="center"/>
      </w:pPr>
    </w:p>
    <w:p w:rsidR="00FD3FA2" w:rsidRDefault="00FD3FA2" w:rsidP="00FD3FA2">
      <w:pPr>
        <w:spacing w:line="360" w:lineRule="auto"/>
        <w:jc w:val="center"/>
      </w:pPr>
    </w:p>
    <w:p w:rsidR="00237BAE" w:rsidRDefault="00237BAE" w:rsidP="00FD3FA2">
      <w:pPr>
        <w:spacing w:line="360" w:lineRule="auto"/>
        <w:jc w:val="center"/>
      </w:pPr>
    </w:p>
    <w:p w:rsidR="00237BAE" w:rsidRDefault="00237BAE" w:rsidP="00FD3FA2">
      <w:pPr>
        <w:spacing w:line="360" w:lineRule="auto"/>
        <w:jc w:val="center"/>
      </w:pPr>
    </w:p>
    <w:p w:rsidR="00A9257B" w:rsidRDefault="00A9257B" w:rsidP="00FD3FA2">
      <w:pPr>
        <w:spacing w:line="360" w:lineRule="auto"/>
        <w:jc w:val="center"/>
      </w:pPr>
    </w:p>
    <w:p w:rsidR="00FD3FA2" w:rsidRDefault="00FD3FA2" w:rsidP="00DB57A3">
      <w:pPr>
        <w:spacing w:line="360" w:lineRule="auto"/>
      </w:pPr>
    </w:p>
    <w:p w:rsidR="00FD3FA2" w:rsidRPr="00F51156" w:rsidRDefault="00FD3FA2" w:rsidP="00FD3FA2">
      <w:pPr>
        <w:pBdr>
          <w:top w:val="single" w:sz="4" w:space="1" w:color="auto"/>
          <w:left w:val="single" w:sz="4" w:space="4" w:color="auto"/>
          <w:bottom w:val="single" w:sz="4" w:space="1" w:color="auto"/>
          <w:right w:val="single" w:sz="4" w:space="4" w:color="auto"/>
        </w:pBdr>
        <w:jc w:val="center"/>
        <w:rPr>
          <w:lang w:val="nl-BE"/>
        </w:rPr>
      </w:pPr>
      <w:r w:rsidRPr="00F51156">
        <w:rPr>
          <w:lang w:val="nl-BE"/>
        </w:rPr>
        <w:lastRenderedPageBreak/>
        <w:t>BIBLIOGRAFIE</w:t>
      </w:r>
    </w:p>
    <w:p w:rsidR="00FD3FA2" w:rsidRDefault="00FD3FA2" w:rsidP="00FD3FA2">
      <w:pPr>
        <w:rPr>
          <w:b/>
          <w:lang w:val="nl-BE"/>
        </w:rPr>
      </w:pPr>
    </w:p>
    <w:p w:rsidR="00FD3FA2" w:rsidRPr="00D926C7" w:rsidRDefault="00FD3FA2" w:rsidP="00FD3FA2">
      <w:pPr>
        <w:rPr>
          <w:lang w:val="nl-BE"/>
        </w:rPr>
      </w:pPr>
    </w:p>
    <w:p w:rsidR="00FD3FA2" w:rsidRPr="00447E1E" w:rsidRDefault="00FD3FA2" w:rsidP="00FD3FA2">
      <w:pPr>
        <w:pBdr>
          <w:top w:val="single" w:sz="4" w:space="1" w:color="auto"/>
          <w:left w:val="single" w:sz="4" w:space="4" w:color="auto"/>
          <w:bottom w:val="single" w:sz="4" w:space="1" w:color="auto"/>
          <w:right w:val="single" w:sz="4" w:space="4" w:color="auto"/>
        </w:pBdr>
        <w:rPr>
          <w:lang w:val="nl-BE"/>
        </w:rPr>
      </w:pPr>
      <w:r w:rsidRPr="00447E1E">
        <w:rPr>
          <w:lang w:val="nl-BE"/>
        </w:rPr>
        <w:t>WE</w:t>
      </w:r>
      <w:r>
        <w:rPr>
          <w:lang w:val="nl-BE"/>
        </w:rPr>
        <w:t>TGEVING</w:t>
      </w:r>
    </w:p>
    <w:p w:rsidR="00FD3FA2" w:rsidRPr="00D926C7" w:rsidRDefault="00FD3FA2" w:rsidP="00FD3FA2">
      <w:pPr>
        <w:rPr>
          <w:lang w:val="nl-BE"/>
        </w:rPr>
      </w:pPr>
    </w:p>
    <w:p w:rsidR="00FD3FA2" w:rsidRDefault="00FD3FA2" w:rsidP="00FD3FA2">
      <w:pPr>
        <w:rPr>
          <w:lang w:val="nl-BE"/>
        </w:rPr>
      </w:pPr>
    </w:p>
    <w:p w:rsidR="00FD3FA2" w:rsidRDefault="00FD3FA2" w:rsidP="00FD3FA2">
      <w:pPr>
        <w:rPr>
          <w:lang w:val="nl-BE"/>
        </w:rPr>
      </w:pPr>
      <w:r>
        <w:rPr>
          <w:lang w:val="nl-BE"/>
        </w:rPr>
        <w:t xml:space="preserve">Wet van 28 mei 2002 betreffende de euthanasie, </w:t>
      </w:r>
      <w:r w:rsidRPr="008D6C66">
        <w:rPr>
          <w:i/>
          <w:lang w:val="nl-BE"/>
        </w:rPr>
        <w:t>BS</w:t>
      </w:r>
      <w:r w:rsidR="00C66A96">
        <w:rPr>
          <w:lang w:val="nl-BE"/>
        </w:rPr>
        <w:t xml:space="preserve"> 22 juni 2002, </w:t>
      </w:r>
      <w:r w:rsidR="00F744CE">
        <w:rPr>
          <w:lang w:val="nl-BE"/>
        </w:rPr>
        <w:t>28 515.</w:t>
      </w:r>
    </w:p>
    <w:p w:rsidR="00FD3FA2" w:rsidRDefault="00FD3FA2" w:rsidP="00FD3FA2">
      <w:pPr>
        <w:rPr>
          <w:lang w:val="nl-BE"/>
        </w:rPr>
      </w:pPr>
    </w:p>
    <w:p w:rsidR="00FD3FA2" w:rsidRDefault="00FD3FA2" w:rsidP="00FD3FA2">
      <w:pPr>
        <w:rPr>
          <w:lang w:val="nl-BE"/>
        </w:rPr>
      </w:pPr>
      <w:r>
        <w:rPr>
          <w:lang w:val="nl-BE"/>
        </w:rPr>
        <w:t xml:space="preserve">Wet van 22 augustus 2002 betreffende de rechten van de patiënt, </w:t>
      </w:r>
      <w:r w:rsidRPr="008D6C66">
        <w:rPr>
          <w:i/>
          <w:lang w:val="nl-BE"/>
        </w:rPr>
        <w:t>BS</w:t>
      </w:r>
      <w:r w:rsidR="00C66A96">
        <w:rPr>
          <w:lang w:val="nl-BE"/>
        </w:rPr>
        <w:t xml:space="preserve"> 26 september 2002, </w:t>
      </w:r>
      <w:r w:rsidR="00F744CE">
        <w:rPr>
          <w:lang w:val="nl-BE"/>
        </w:rPr>
        <w:t xml:space="preserve">43 719, erratum </w:t>
      </w:r>
      <w:r w:rsidR="00F744CE" w:rsidRPr="00F744CE">
        <w:rPr>
          <w:i/>
          <w:lang w:val="nl-BE"/>
        </w:rPr>
        <w:t>BS</w:t>
      </w:r>
      <w:r w:rsidR="00F744CE">
        <w:rPr>
          <w:lang w:val="nl-BE"/>
        </w:rPr>
        <w:t xml:space="preserve"> 20 december 2002, 57 406.</w:t>
      </w:r>
    </w:p>
    <w:p w:rsidR="00FD3FA2" w:rsidRDefault="00FD3FA2" w:rsidP="00FD3FA2">
      <w:pPr>
        <w:autoSpaceDE w:val="0"/>
        <w:autoSpaceDN w:val="0"/>
        <w:adjustRightInd w:val="0"/>
        <w:rPr>
          <w:rFonts w:ascii="NormaPro-Regular" w:hAnsi="NormaPro-Regular" w:cs="NormaPro-Regular"/>
          <w:sz w:val="15"/>
          <w:szCs w:val="15"/>
          <w:lang w:val="nl-BE" w:eastAsia="ja-JP"/>
        </w:rPr>
      </w:pPr>
    </w:p>
    <w:p w:rsidR="00FD3FA2" w:rsidRDefault="00FD3FA2" w:rsidP="00FD3FA2">
      <w:pPr>
        <w:autoSpaceDE w:val="0"/>
        <w:autoSpaceDN w:val="0"/>
        <w:adjustRightInd w:val="0"/>
        <w:rPr>
          <w:lang w:val="nl-BE" w:eastAsia="ja-JP"/>
        </w:rPr>
      </w:pPr>
      <w:r w:rsidRPr="001758B1">
        <w:rPr>
          <w:lang w:val="nl-BE" w:eastAsia="ja-JP"/>
        </w:rPr>
        <w:t>Wet 12 april 2001 houdende toetsing van levensbeëindiging op verzoek en hulp bij zelfdoding en wijziging van het Wetboek van Strafrecht en van de Wet</w:t>
      </w:r>
      <w:r>
        <w:rPr>
          <w:lang w:val="nl-BE" w:eastAsia="ja-JP"/>
        </w:rPr>
        <w:t xml:space="preserve"> </w:t>
      </w:r>
      <w:r w:rsidRPr="001758B1">
        <w:rPr>
          <w:lang w:val="nl-BE" w:eastAsia="ja-JP"/>
        </w:rPr>
        <w:t xml:space="preserve">Lijkbezorging, </w:t>
      </w:r>
      <w:r w:rsidRPr="001758B1">
        <w:rPr>
          <w:i/>
          <w:iCs/>
          <w:lang w:val="nl-BE" w:eastAsia="ja-JP"/>
        </w:rPr>
        <w:t>BS</w:t>
      </w:r>
      <w:r>
        <w:rPr>
          <w:i/>
          <w:iCs/>
          <w:lang w:val="nl-BE" w:eastAsia="ja-JP"/>
        </w:rPr>
        <w:t>(NL)</w:t>
      </w:r>
      <w:r w:rsidRPr="001758B1">
        <w:rPr>
          <w:i/>
          <w:iCs/>
          <w:lang w:val="nl-BE" w:eastAsia="ja-JP"/>
        </w:rPr>
        <w:t xml:space="preserve"> </w:t>
      </w:r>
      <w:r w:rsidRPr="001758B1">
        <w:rPr>
          <w:lang w:val="nl-BE" w:eastAsia="ja-JP"/>
        </w:rPr>
        <w:t>2001, 194.</w:t>
      </w:r>
    </w:p>
    <w:p w:rsidR="00FD3FA2" w:rsidRDefault="00FD3FA2" w:rsidP="00FD3FA2">
      <w:pPr>
        <w:autoSpaceDE w:val="0"/>
        <w:autoSpaceDN w:val="0"/>
        <w:adjustRightInd w:val="0"/>
        <w:rPr>
          <w:lang w:val="nl-BE" w:eastAsia="ja-JP"/>
        </w:rPr>
      </w:pPr>
    </w:p>
    <w:p w:rsidR="00FD3FA2" w:rsidRDefault="00FD3FA2" w:rsidP="00FD3FA2">
      <w:pPr>
        <w:autoSpaceDE w:val="0"/>
        <w:autoSpaceDN w:val="0"/>
        <w:adjustRightInd w:val="0"/>
        <w:rPr>
          <w:lang w:val="nl-BE" w:eastAsia="ja-JP"/>
        </w:rPr>
      </w:pPr>
    </w:p>
    <w:p w:rsidR="00FD3FA2" w:rsidRDefault="00FD3FA2" w:rsidP="00FD3FA2">
      <w:pPr>
        <w:autoSpaceDE w:val="0"/>
        <w:autoSpaceDN w:val="0"/>
        <w:adjustRightInd w:val="0"/>
        <w:rPr>
          <w:lang w:val="nl-BE" w:eastAsia="ja-JP"/>
        </w:rPr>
      </w:pPr>
    </w:p>
    <w:p w:rsidR="00FD3FA2" w:rsidRDefault="00FD3FA2" w:rsidP="00FD3FA2">
      <w:pPr>
        <w:pBdr>
          <w:top w:val="single" w:sz="4" w:space="1" w:color="auto"/>
          <w:left w:val="single" w:sz="4" w:space="4" w:color="auto"/>
          <w:bottom w:val="single" w:sz="4" w:space="1" w:color="auto"/>
          <w:right w:val="single" w:sz="4" w:space="4" w:color="auto"/>
        </w:pBdr>
        <w:rPr>
          <w:lang w:val="nl-BE"/>
        </w:rPr>
      </w:pPr>
      <w:r>
        <w:rPr>
          <w:lang w:val="nl-BE"/>
        </w:rPr>
        <w:t>RECHTSPRAAK</w:t>
      </w:r>
    </w:p>
    <w:p w:rsidR="00FD3FA2" w:rsidRDefault="00FD3FA2" w:rsidP="00FD3FA2">
      <w:pPr>
        <w:rPr>
          <w:b/>
          <w:lang w:val="nl-BE"/>
        </w:rPr>
      </w:pPr>
    </w:p>
    <w:p w:rsidR="00FD3FA2" w:rsidRPr="00B12508" w:rsidRDefault="00FD3FA2" w:rsidP="00FD3FA2">
      <w:pPr>
        <w:rPr>
          <w:b/>
          <w:lang w:val="nl-BE"/>
        </w:rPr>
      </w:pPr>
    </w:p>
    <w:p w:rsidR="00FD3FA2" w:rsidRPr="00447E1E" w:rsidRDefault="00FD3FA2" w:rsidP="00FD3FA2">
      <w:pPr>
        <w:pBdr>
          <w:top w:val="single" w:sz="4" w:space="1" w:color="auto"/>
          <w:left w:val="single" w:sz="4" w:space="4" w:color="auto"/>
          <w:bottom w:val="single" w:sz="4" w:space="1" w:color="auto"/>
          <w:right w:val="single" w:sz="4" w:space="5" w:color="auto"/>
        </w:pBdr>
        <w:rPr>
          <w:lang w:val="nl-BE"/>
        </w:rPr>
      </w:pPr>
      <w:r w:rsidRPr="00447E1E">
        <w:rPr>
          <w:lang w:val="nl-BE"/>
        </w:rPr>
        <w:t>RECHTSLEER</w:t>
      </w:r>
      <w:r>
        <w:rPr>
          <w:lang w:val="nl-BE"/>
        </w:rPr>
        <w:t xml:space="preserve"> (BOEKEN EN ARTIKELS)</w:t>
      </w:r>
    </w:p>
    <w:p w:rsidR="00FD3FA2" w:rsidRDefault="00FD3FA2" w:rsidP="00FD3FA2">
      <w:pPr>
        <w:rPr>
          <w:rFonts w:eastAsia="Times New Roman"/>
          <w:smallCaps/>
          <w:color w:val="000000"/>
          <w:lang w:val="nl-BE" w:eastAsia="ja-JP"/>
        </w:rPr>
      </w:pPr>
    </w:p>
    <w:p w:rsidR="00FD3FA2" w:rsidRDefault="00FD3FA2" w:rsidP="00FD3FA2">
      <w:pPr>
        <w:jc w:val="both"/>
        <w:rPr>
          <w:smallCaps/>
          <w:lang w:val="nl-BE"/>
        </w:rPr>
      </w:pPr>
    </w:p>
    <w:p w:rsidR="00FD3FA2" w:rsidRPr="00E76ECC" w:rsidRDefault="00FD3FA2" w:rsidP="00E76ECC">
      <w:pPr>
        <w:jc w:val="both"/>
        <w:rPr>
          <w:lang w:val="nl-BE"/>
        </w:rPr>
      </w:pPr>
      <w:r w:rsidRPr="00E76ECC">
        <w:rPr>
          <w:smallCaps/>
          <w:lang w:val="nl-BE"/>
        </w:rPr>
        <w:t>Adams, M</w:t>
      </w:r>
      <w:r w:rsidRPr="00E76ECC">
        <w:rPr>
          <w:lang w:val="nl-BE"/>
        </w:rPr>
        <w:t xml:space="preserve">. en </w:t>
      </w:r>
      <w:proofErr w:type="spellStart"/>
      <w:r w:rsidRPr="00E76ECC">
        <w:rPr>
          <w:smallCaps/>
          <w:lang w:val="nl-BE"/>
        </w:rPr>
        <w:t>Nys</w:t>
      </w:r>
      <w:proofErr w:type="spellEnd"/>
      <w:r w:rsidRPr="00E76ECC">
        <w:rPr>
          <w:smallCaps/>
          <w:lang w:val="nl-BE"/>
        </w:rPr>
        <w:t>, H.</w:t>
      </w:r>
      <w:r w:rsidRPr="00E76ECC">
        <w:rPr>
          <w:lang w:val="nl-BE"/>
        </w:rPr>
        <w:t xml:space="preserve">, “De Belgische euthanasiewet in rechtsvergelijkend perspectief” in </w:t>
      </w:r>
      <w:r w:rsidRPr="00E76ECC">
        <w:rPr>
          <w:smallCaps/>
          <w:lang w:val="nl-BE"/>
        </w:rPr>
        <w:t xml:space="preserve">Adams, M., </w:t>
      </w:r>
      <w:proofErr w:type="spellStart"/>
      <w:r w:rsidRPr="00E76ECC">
        <w:rPr>
          <w:smallCaps/>
          <w:lang w:val="nl-BE"/>
        </w:rPr>
        <w:t>Grifiths</w:t>
      </w:r>
      <w:proofErr w:type="spellEnd"/>
      <w:r w:rsidRPr="00E76ECC">
        <w:rPr>
          <w:smallCaps/>
          <w:lang w:val="nl-BE"/>
        </w:rPr>
        <w:t>, J.,</w:t>
      </w:r>
      <w:r w:rsidRPr="00E76ECC">
        <w:rPr>
          <w:lang w:val="nl-BE"/>
        </w:rPr>
        <w:t xml:space="preserve"> en </w:t>
      </w:r>
      <w:r w:rsidRPr="00E76ECC">
        <w:rPr>
          <w:smallCaps/>
          <w:lang w:val="nl-BE"/>
        </w:rPr>
        <w:t xml:space="preserve">den </w:t>
      </w:r>
      <w:proofErr w:type="spellStart"/>
      <w:r w:rsidRPr="00E76ECC">
        <w:rPr>
          <w:smallCaps/>
          <w:lang w:val="nl-BE"/>
        </w:rPr>
        <w:t>Hartogh</w:t>
      </w:r>
      <w:proofErr w:type="spellEnd"/>
      <w:r w:rsidRPr="00E76ECC">
        <w:rPr>
          <w:smallCaps/>
          <w:lang w:val="nl-BE"/>
        </w:rPr>
        <w:t>, G</w:t>
      </w:r>
      <w:r w:rsidRPr="00E76ECC">
        <w:rPr>
          <w:lang w:val="nl-BE"/>
        </w:rPr>
        <w:t>. (</w:t>
      </w:r>
      <w:proofErr w:type="spellStart"/>
      <w:r w:rsidRPr="00E76ECC">
        <w:rPr>
          <w:lang w:val="nl-BE"/>
        </w:rPr>
        <w:t>eds</w:t>
      </w:r>
      <w:proofErr w:type="spellEnd"/>
      <w:r w:rsidRPr="00E76ECC">
        <w:rPr>
          <w:lang w:val="nl-BE"/>
        </w:rPr>
        <w:t xml:space="preserve">.), </w:t>
      </w:r>
      <w:r w:rsidRPr="00E76ECC">
        <w:rPr>
          <w:i/>
          <w:lang w:val="nl-BE"/>
        </w:rPr>
        <w:t>Euthanasie. Nieuwe knelpunten in een voortgezette discussie</w:t>
      </w:r>
      <w:r w:rsidRPr="00E76ECC">
        <w:rPr>
          <w:lang w:val="nl-BE"/>
        </w:rPr>
        <w:t>, Kampen, Kok, 2003, 37-60.</w:t>
      </w:r>
    </w:p>
    <w:p w:rsidR="00FD3FA2" w:rsidRPr="00E76ECC" w:rsidRDefault="00FD3FA2" w:rsidP="00E76ECC">
      <w:pPr>
        <w:jc w:val="both"/>
        <w:rPr>
          <w:smallCaps/>
          <w:lang w:val="nl-BE"/>
        </w:rPr>
      </w:pPr>
    </w:p>
    <w:p w:rsidR="00FD3FA2" w:rsidRPr="00E76ECC" w:rsidRDefault="002B2429" w:rsidP="00E76ECC">
      <w:pPr>
        <w:jc w:val="both"/>
        <w:rPr>
          <w:lang w:val="nl-BE"/>
        </w:rPr>
      </w:pPr>
      <w:proofErr w:type="spellStart"/>
      <w:r w:rsidRPr="00E76ECC">
        <w:rPr>
          <w:smallCaps/>
          <w:lang w:val="nl-BE"/>
        </w:rPr>
        <w:t>Cosyns</w:t>
      </w:r>
      <w:proofErr w:type="spellEnd"/>
      <w:r w:rsidRPr="00E76ECC">
        <w:rPr>
          <w:smallCaps/>
          <w:lang w:val="nl-BE"/>
        </w:rPr>
        <w:t xml:space="preserve">, M., </w:t>
      </w:r>
      <w:proofErr w:type="spellStart"/>
      <w:r w:rsidRPr="00E76ECC">
        <w:rPr>
          <w:smallCaps/>
          <w:lang w:val="nl-BE"/>
        </w:rPr>
        <w:t>Vansweevelt</w:t>
      </w:r>
      <w:proofErr w:type="spellEnd"/>
      <w:r w:rsidR="00A9257B">
        <w:rPr>
          <w:smallCaps/>
          <w:lang w:val="nl-BE"/>
        </w:rPr>
        <w:t xml:space="preserve">, T., </w:t>
      </w:r>
      <w:proofErr w:type="spellStart"/>
      <w:r w:rsidR="00A9257B">
        <w:rPr>
          <w:smallCaps/>
          <w:lang w:val="nl-BE"/>
        </w:rPr>
        <w:t>Nys</w:t>
      </w:r>
      <w:proofErr w:type="spellEnd"/>
      <w:r w:rsidR="00A9257B">
        <w:rPr>
          <w:smallCaps/>
          <w:lang w:val="nl-BE"/>
        </w:rPr>
        <w:t xml:space="preserve">, H., </w:t>
      </w:r>
      <w:proofErr w:type="spellStart"/>
      <w:r w:rsidR="00A9257B">
        <w:rPr>
          <w:smallCaps/>
          <w:lang w:val="nl-BE"/>
        </w:rPr>
        <w:t>Balthazar</w:t>
      </w:r>
      <w:proofErr w:type="spellEnd"/>
      <w:r w:rsidR="00A9257B">
        <w:rPr>
          <w:smallCaps/>
          <w:lang w:val="nl-BE"/>
        </w:rPr>
        <w:t xml:space="preserve">, T. </w:t>
      </w:r>
      <w:r w:rsidR="00A9257B" w:rsidRPr="00A9257B">
        <w:rPr>
          <w:lang w:val="nl-BE"/>
        </w:rPr>
        <w:t>en</w:t>
      </w:r>
      <w:r w:rsidR="00A9257B">
        <w:rPr>
          <w:smallCaps/>
          <w:lang w:val="nl-BE"/>
        </w:rPr>
        <w:t xml:space="preserve"> </w:t>
      </w:r>
      <w:proofErr w:type="spellStart"/>
      <w:r w:rsidR="00FD3FA2" w:rsidRPr="00E76ECC">
        <w:rPr>
          <w:smallCaps/>
          <w:lang w:val="nl-BE"/>
        </w:rPr>
        <w:t>Legemaate</w:t>
      </w:r>
      <w:proofErr w:type="spellEnd"/>
      <w:r w:rsidR="00FD3FA2" w:rsidRPr="00E76ECC">
        <w:rPr>
          <w:smallCaps/>
          <w:lang w:val="nl-BE"/>
        </w:rPr>
        <w:t xml:space="preserve">, J., </w:t>
      </w:r>
      <w:r w:rsidR="00FD3FA2" w:rsidRPr="00E76ECC">
        <w:rPr>
          <w:i/>
          <w:lang w:val="nl-BE"/>
        </w:rPr>
        <w:t>De euthanasiewet doorgelicht</w:t>
      </w:r>
      <w:r w:rsidR="00FD3FA2" w:rsidRPr="00E76ECC">
        <w:rPr>
          <w:lang w:val="nl-BE"/>
        </w:rPr>
        <w:t xml:space="preserve">, Mechelen, </w:t>
      </w:r>
      <w:proofErr w:type="spellStart"/>
      <w:r w:rsidR="00FD3FA2" w:rsidRPr="00E76ECC">
        <w:rPr>
          <w:lang w:val="nl-BE"/>
        </w:rPr>
        <w:t>Kluwer</w:t>
      </w:r>
      <w:proofErr w:type="spellEnd"/>
      <w:r w:rsidR="00FD3FA2" w:rsidRPr="00E76ECC">
        <w:rPr>
          <w:lang w:val="nl-BE"/>
        </w:rPr>
        <w:t>, 2003, 192</w:t>
      </w:r>
      <w:r w:rsidR="00375610">
        <w:rPr>
          <w:lang w:val="nl-BE"/>
        </w:rPr>
        <w:t xml:space="preserve"> </w:t>
      </w:r>
      <w:r w:rsidR="00FD3FA2" w:rsidRPr="00E76ECC">
        <w:rPr>
          <w:lang w:val="nl-BE"/>
        </w:rPr>
        <w:t>p.</w:t>
      </w:r>
    </w:p>
    <w:p w:rsidR="00FD3FA2" w:rsidRPr="00E76ECC" w:rsidRDefault="00FD3FA2" w:rsidP="00E76ECC">
      <w:pPr>
        <w:jc w:val="both"/>
        <w:rPr>
          <w:rFonts w:eastAsia="Times New Roman"/>
          <w:smallCaps/>
          <w:color w:val="000000"/>
          <w:lang w:val="nl-BE" w:eastAsia="ja-JP"/>
        </w:rPr>
      </w:pPr>
    </w:p>
    <w:p w:rsidR="00FD3FA2" w:rsidRPr="00E76ECC" w:rsidRDefault="00A9257B" w:rsidP="00E76ECC">
      <w:pPr>
        <w:jc w:val="both"/>
        <w:rPr>
          <w:lang w:val="nl-BE"/>
        </w:rPr>
      </w:pPr>
      <w:r>
        <w:rPr>
          <w:smallCaps/>
          <w:lang w:val="nl-BE"/>
        </w:rPr>
        <w:t xml:space="preserve">De Hert, M., </w:t>
      </w:r>
      <w:proofErr w:type="spellStart"/>
      <w:r>
        <w:rPr>
          <w:smallCaps/>
          <w:lang w:val="nl-BE"/>
        </w:rPr>
        <w:t>Magiels</w:t>
      </w:r>
      <w:proofErr w:type="spellEnd"/>
      <w:r>
        <w:rPr>
          <w:smallCaps/>
          <w:lang w:val="nl-BE"/>
        </w:rPr>
        <w:t xml:space="preserve">, G. </w:t>
      </w:r>
      <w:r w:rsidRPr="00A9257B">
        <w:rPr>
          <w:lang w:val="nl-BE"/>
        </w:rPr>
        <w:t>en</w:t>
      </w:r>
      <w:r>
        <w:rPr>
          <w:smallCaps/>
          <w:lang w:val="nl-BE"/>
        </w:rPr>
        <w:t xml:space="preserve"> </w:t>
      </w:r>
      <w:proofErr w:type="spellStart"/>
      <w:r w:rsidR="00FD3FA2" w:rsidRPr="00E76ECC">
        <w:rPr>
          <w:smallCaps/>
          <w:lang w:val="nl-BE"/>
        </w:rPr>
        <w:t>Thys</w:t>
      </w:r>
      <w:proofErr w:type="spellEnd"/>
      <w:r w:rsidR="00FD3FA2" w:rsidRPr="00E76ECC">
        <w:rPr>
          <w:smallCaps/>
          <w:lang w:val="nl-BE"/>
        </w:rPr>
        <w:t xml:space="preserve">, E., </w:t>
      </w:r>
      <w:r w:rsidR="00FD3FA2" w:rsidRPr="00E76ECC">
        <w:rPr>
          <w:i/>
          <w:lang w:val="nl-BE"/>
        </w:rPr>
        <w:t>Over mijn lijf. Bijsluiter bij de wet over de rechten van de patiënt</w:t>
      </w:r>
      <w:r w:rsidR="00FD3FA2" w:rsidRPr="00E76ECC">
        <w:rPr>
          <w:lang w:val="nl-BE"/>
        </w:rPr>
        <w:t xml:space="preserve">, Antwerpen, Uitgeverij </w:t>
      </w:r>
      <w:proofErr w:type="spellStart"/>
      <w:r w:rsidR="00FD3FA2" w:rsidRPr="00E76ECC">
        <w:rPr>
          <w:lang w:val="nl-BE"/>
        </w:rPr>
        <w:t>Houtekiet</w:t>
      </w:r>
      <w:proofErr w:type="spellEnd"/>
      <w:r w:rsidR="00FD3FA2" w:rsidRPr="00E76ECC">
        <w:rPr>
          <w:lang w:val="nl-BE"/>
        </w:rPr>
        <w:t>, 2003, 135</w:t>
      </w:r>
      <w:r w:rsidR="00375610">
        <w:rPr>
          <w:lang w:val="nl-BE"/>
        </w:rPr>
        <w:t xml:space="preserve"> </w:t>
      </w:r>
      <w:r w:rsidR="00FD3FA2" w:rsidRPr="00E76ECC">
        <w:rPr>
          <w:lang w:val="nl-BE"/>
        </w:rPr>
        <w:t>p.</w:t>
      </w:r>
    </w:p>
    <w:p w:rsidR="00FD3FA2" w:rsidRPr="00E76ECC" w:rsidRDefault="00FD3FA2" w:rsidP="00E76ECC">
      <w:pPr>
        <w:jc w:val="both"/>
        <w:rPr>
          <w:rFonts w:eastAsia="Times New Roman"/>
          <w:smallCaps/>
          <w:color w:val="000000"/>
          <w:lang w:val="nl-BE" w:eastAsia="ja-JP"/>
        </w:rPr>
      </w:pPr>
    </w:p>
    <w:p w:rsidR="00FD3FA2" w:rsidRPr="00E76ECC" w:rsidRDefault="00FD3FA2" w:rsidP="00E76ECC">
      <w:pPr>
        <w:jc w:val="both"/>
        <w:rPr>
          <w:lang w:val="nl-BE"/>
        </w:rPr>
      </w:pPr>
      <w:r w:rsidRPr="00E76ECC">
        <w:rPr>
          <w:rFonts w:eastAsia="Times New Roman"/>
          <w:smallCaps/>
          <w:color w:val="000000"/>
          <w:lang w:val="nl-BE" w:eastAsia="ja-JP"/>
        </w:rPr>
        <w:t xml:space="preserve">De </w:t>
      </w:r>
      <w:proofErr w:type="spellStart"/>
      <w:r w:rsidRPr="00E76ECC">
        <w:rPr>
          <w:rFonts w:eastAsia="Times New Roman"/>
          <w:smallCaps/>
          <w:color w:val="000000"/>
          <w:lang w:val="nl-BE" w:eastAsia="ja-JP"/>
        </w:rPr>
        <w:t>Keyser</w:t>
      </w:r>
      <w:proofErr w:type="spellEnd"/>
      <w:r w:rsidRPr="00E76ECC">
        <w:rPr>
          <w:rFonts w:eastAsia="Times New Roman"/>
          <w:smallCaps/>
          <w:color w:val="000000"/>
          <w:lang w:val="nl-BE" w:eastAsia="ja-JP"/>
        </w:rPr>
        <w:t xml:space="preserve">, E., </w:t>
      </w:r>
      <w:r w:rsidRPr="00E76ECC">
        <w:rPr>
          <w:rFonts w:eastAsia="Times New Roman"/>
          <w:color w:val="000000"/>
          <w:lang w:val="nl-BE" w:eastAsia="ja-JP"/>
        </w:rPr>
        <w:t xml:space="preserve"> “Respect voor het zelfbeschikkingsrecht van de patiënt: gevolgen voor de wet betreffende de euthanasie”, </w:t>
      </w:r>
      <w:proofErr w:type="spellStart"/>
      <w:r w:rsidRPr="00E76ECC">
        <w:rPr>
          <w:rFonts w:eastAsia="Times New Roman"/>
          <w:i/>
          <w:color w:val="000000"/>
          <w:lang w:val="nl-BE" w:eastAsia="ja-JP"/>
        </w:rPr>
        <w:t>T.Gez</w:t>
      </w:r>
      <w:proofErr w:type="spellEnd"/>
      <w:r w:rsidRPr="00E76ECC">
        <w:rPr>
          <w:rFonts w:eastAsia="Times New Roman"/>
          <w:i/>
          <w:color w:val="000000"/>
          <w:lang w:val="nl-BE" w:eastAsia="ja-JP"/>
        </w:rPr>
        <w:t>.</w:t>
      </w:r>
      <w:r w:rsidRPr="00E76ECC">
        <w:rPr>
          <w:rFonts w:eastAsia="Times New Roman"/>
          <w:color w:val="000000"/>
          <w:lang w:val="nl-BE" w:eastAsia="ja-JP"/>
        </w:rPr>
        <w:t xml:space="preserve"> 2005, afl. 5, 374-392. </w:t>
      </w:r>
    </w:p>
    <w:p w:rsidR="00FD3FA2" w:rsidRPr="00E76ECC" w:rsidRDefault="00FD3FA2" w:rsidP="00E76ECC">
      <w:pPr>
        <w:jc w:val="both"/>
        <w:rPr>
          <w:lang w:val="nl-BE"/>
        </w:rPr>
      </w:pPr>
    </w:p>
    <w:p w:rsidR="00FD3FA2" w:rsidRPr="00E76ECC" w:rsidRDefault="00FD3FA2" w:rsidP="00E76ECC">
      <w:pPr>
        <w:jc w:val="both"/>
        <w:rPr>
          <w:lang w:val="nl-BE"/>
        </w:rPr>
      </w:pPr>
      <w:proofErr w:type="spellStart"/>
      <w:r w:rsidRPr="00E76ECC">
        <w:rPr>
          <w:smallCaps/>
          <w:lang w:val="nl-BE"/>
        </w:rPr>
        <w:t>Dijkhoffz</w:t>
      </w:r>
      <w:proofErr w:type="spellEnd"/>
      <w:r w:rsidRPr="00E76ECC">
        <w:rPr>
          <w:smallCaps/>
          <w:lang w:val="nl-BE"/>
        </w:rPr>
        <w:t>, W., “</w:t>
      </w:r>
      <w:r w:rsidRPr="00E76ECC">
        <w:rPr>
          <w:lang w:val="nl-BE"/>
        </w:rPr>
        <w:t xml:space="preserve">Het recht op informatie en geïnformeerde toestemming”, </w:t>
      </w:r>
      <w:proofErr w:type="spellStart"/>
      <w:r w:rsidRPr="00E76ECC">
        <w:rPr>
          <w:i/>
          <w:lang w:val="nl-BE"/>
        </w:rPr>
        <w:t>T.Gez</w:t>
      </w:r>
      <w:proofErr w:type="spellEnd"/>
      <w:r w:rsidRPr="00E76ECC">
        <w:rPr>
          <w:i/>
          <w:lang w:val="nl-BE"/>
        </w:rPr>
        <w:t>.</w:t>
      </w:r>
      <w:r w:rsidRPr="00E76ECC">
        <w:rPr>
          <w:lang w:val="nl-BE"/>
        </w:rPr>
        <w:t xml:space="preserve"> 2003, afl. 2, 104-124.</w:t>
      </w:r>
    </w:p>
    <w:p w:rsidR="00FD3FA2" w:rsidRPr="00E76ECC" w:rsidRDefault="00FD3FA2" w:rsidP="00E76ECC">
      <w:pPr>
        <w:jc w:val="both"/>
        <w:rPr>
          <w:smallCaps/>
          <w:lang w:val="nl-BE"/>
        </w:rPr>
      </w:pPr>
    </w:p>
    <w:p w:rsidR="00FD3FA2" w:rsidRPr="00E76ECC" w:rsidRDefault="00FD3FA2" w:rsidP="00E76ECC">
      <w:pPr>
        <w:jc w:val="both"/>
        <w:rPr>
          <w:lang w:val="fr-BE"/>
        </w:rPr>
      </w:pPr>
      <w:proofErr w:type="spellStart"/>
      <w:r w:rsidRPr="00E76ECC">
        <w:rPr>
          <w:smallCaps/>
          <w:lang w:val="fr-BE"/>
        </w:rPr>
        <w:t>Genicot</w:t>
      </w:r>
      <w:proofErr w:type="spellEnd"/>
      <w:r w:rsidRPr="00E76ECC">
        <w:rPr>
          <w:smallCaps/>
          <w:lang w:val="fr-BE"/>
        </w:rPr>
        <w:t>, G</w:t>
      </w:r>
      <w:r w:rsidRPr="00E76ECC">
        <w:rPr>
          <w:lang w:val="fr-BE"/>
        </w:rPr>
        <w:t xml:space="preserve">., </w:t>
      </w:r>
      <w:r w:rsidRPr="00E76ECC">
        <w:rPr>
          <w:i/>
          <w:lang w:val="fr-BE"/>
        </w:rPr>
        <w:t>Droit médical et biomédical</w:t>
      </w:r>
      <w:r w:rsidRPr="00E76ECC">
        <w:rPr>
          <w:lang w:val="fr-BE"/>
        </w:rPr>
        <w:t xml:space="preserve">, Brussel, </w:t>
      </w:r>
      <w:proofErr w:type="spellStart"/>
      <w:r w:rsidRPr="00E76ECC">
        <w:rPr>
          <w:lang w:val="fr-BE"/>
        </w:rPr>
        <w:t>Larcier</w:t>
      </w:r>
      <w:proofErr w:type="spellEnd"/>
      <w:r w:rsidRPr="00E76ECC">
        <w:rPr>
          <w:lang w:val="fr-BE"/>
        </w:rPr>
        <w:t>, 2010, 858</w:t>
      </w:r>
      <w:r w:rsidR="00375610">
        <w:rPr>
          <w:lang w:val="fr-BE"/>
        </w:rPr>
        <w:t xml:space="preserve"> </w:t>
      </w:r>
      <w:r w:rsidRPr="00E76ECC">
        <w:rPr>
          <w:lang w:val="fr-BE"/>
        </w:rPr>
        <w:t>p.</w:t>
      </w:r>
    </w:p>
    <w:p w:rsidR="00FD3FA2" w:rsidRPr="00E76ECC" w:rsidRDefault="00FD3FA2" w:rsidP="00E76ECC">
      <w:pPr>
        <w:jc w:val="both"/>
        <w:rPr>
          <w:smallCaps/>
          <w:lang w:val="fr-BE"/>
        </w:rPr>
      </w:pPr>
    </w:p>
    <w:p w:rsidR="00FD3FA2" w:rsidRPr="00E76ECC" w:rsidRDefault="00FD3FA2" w:rsidP="00E76ECC">
      <w:pPr>
        <w:jc w:val="both"/>
        <w:rPr>
          <w:lang w:val="nl-BE"/>
        </w:rPr>
      </w:pPr>
      <w:proofErr w:type="spellStart"/>
      <w:r w:rsidRPr="00E76ECC">
        <w:rPr>
          <w:smallCaps/>
          <w:lang w:val="nl-BE"/>
        </w:rPr>
        <w:t>Leenen</w:t>
      </w:r>
      <w:proofErr w:type="spellEnd"/>
      <w:r w:rsidRPr="00E76ECC">
        <w:rPr>
          <w:smallCaps/>
          <w:lang w:val="nl-BE"/>
        </w:rPr>
        <w:t>, H.J.J, Gevers, J.K.M</w:t>
      </w:r>
      <w:r w:rsidRPr="00E76ECC">
        <w:rPr>
          <w:lang w:val="nl-BE"/>
        </w:rPr>
        <w:t xml:space="preserve">. en </w:t>
      </w:r>
      <w:proofErr w:type="spellStart"/>
      <w:r w:rsidRPr="00E76ECC">
        <w:rPr>
          <w:smallCaps/>
          <w:lang w:val="nl-BE"/>
        </w:rPr>
        <w:t>Legemaate</w:t>
      </w:r>
      <w:proofErr w:type="spellEnd"/>
      <w:r w:rsidRPr="00E76ECC">
        <w:rPr>
          <w:smallCaps/>
          <w:lang w:val="nl-BE"/>
        </w:rPr>
        <w:t>, J</w:t>
      </w:r>
      <w:r w:rsidRPr="00E76ECC">
        <w:rPr>
          <w:lang w:val="nl-BE"/>
        </w:rPr>
        <w:t xml:space="preserve">., </w:t>
      </w:r>
      <w:r w:rsidRPr="00E76ECC">
        <w:rPr>
          <w:i/>
          <w:lang w:val="nl-BE"/>
        </w:rPr>
        <w:t>Handboek gezondheidrecht, Deel I: Rechten van mensen in de gezondheidszorg</w:t>
      </w:r>
      <w:r w:rsidRPr="00E76ECC">
        <w:rPr>
          <w:lang w:val="nl-BE"/>
        </w:rPr>
        <w:t xml:space="preserve">, Houten, </w:t>
      </w:r>
      <w:proofErr w:type="spellStart"/>
      <w:r w:rsidRPr="00E76ECC">
        <w:rPr>
          <w:lang w:val="nl-BE"/>
        </w:rPr>
        <w:t>Bohn</w:t>
      </w:r>
      <w:proofErr w:type="spellEnd"/>
      <w:r w:rsidRPr="00E76ECC">
        <w:rPr>
          <w:lang w:val="nl-BE"/>
        </w:rPr>
        <w:t xml:space="preserve"> </w:t>
      </w:r>
      <w:proofErr w:type="spellStart"/>
      <w:r w:rsidRPr="00E76ECC">
        <w:rPr>
          <w:lang w:val="nl-BE"/>
        </w:rPr>
        <w:t>Stafleu</w:t>
      </w:r>
      <w:proofErr w:type="spellEnd"/>
      <w:r w:rsidRPr="00E76ECC">
        <w:rPr>
          <w:lang w:val="nl-BE"/>
        </w:rPr>
        <w:t xml:space="preserve"> van </w:t>
      </w:r>
      <w:proofErr w:type="spellStart"/>
      <w:r w:rsidRPr="00E76ECC">
        <w:rPr>
          <w:lang w:val="nl-BE"/>
        </w:rPr>
        <w:t>Loghum</w:t>
      </w:r>
      <w:proofErr w:type="spellEnd"/>
      <w:r w:rsidRPr="00E76ECC">
        <w:rPr>
          <w:lang w:val="nl-BE"/>
        </w:rPr>
        <w:t>, 2007, 386</w:t>
      </w:r>
      <w:r w:rsidR="00375610">
        <w:rPr>
          <w:lang w:val="nl-BE"/>
        </w:rPr>
        <w:t xml:space="preserve"> </w:t>
      </w:r>
      <w:r w:rsidRPr="00E76ECC">
        <w:rPr>
          <w:lang w:val="nl-BE"/>
        </w:rPr>
        <w:t>p.</w:t>
      </w:r>
    </w:p>
    <w:p w:rsidR="008903DE" w:rsidRPr="00E76ECC" w:rsidRDefault="008903DE" w:rsidP="00E76ECC">
      <w:pPr>
        <w:jc w:val="both"/>
        <w:rPr>
          <w:smallCaps/>
          <w:lang w:val="nl-BE"/>
        </w:rPr>
      </w:pPr>
    </w:p>
    <w:p w:rsidR="008903DE" w:rsidRPr="00E76ECC" w:rsidRDefault="008903DE" w:rsidP="00E76ECC">
      <w:pPr>
        <w:jc w:val="both"/>
        <w:rPr>
          <w:lang w:val="nl-BE"/>
        </w:rPr>
      </w:pPr>
      <w:proofErr w:type="spellStart"/>
      <w:r w:rsidRPr="00E76ECC">
        <w:rPr>
          <w:smallCaps/>
          <w:lang w:val="nl-BE"/>
        </w:rPr>
        <w:t>Legemaate</w:t>
      </w:r>
      <w:proofErr w:type="spellEnd"/>
      <w:r w:rsidRPr="00E76ECC">
        <w:rPr>
          <w:lang w:val="nl-BE"/>
        </w:rPr>
        <w:t xml:space="preserve">, J., </w:t>
      </w:r>
      <w:r w:rsidRPr="00E76ECC">
        <w:rPr>
          <w:i/>
          <w:lang w:val="nl-BE"/>
        </w:rPr>
        <w:t>Medisch handelen rond het levenseinde, gezondheidswetgeving in de praktijk,</w:t>
      </w:r>
      <w:r w:rsidRPr="00E76ECC">
        <w:rPr>
          <w:lang w:val="nl-BE"/>
        </w:rPr>
        <w:t xml:space="preserve"> </w:t>
      </w:r>
      <w:proofErr w:type="spellStart"/>
      <w:r w:rsidRPr="00E76ECC">
        <w:rPr>
          <w:lang w:val="nl-BE"/>
        </w:rPr>
        <w:t>Bohn</w:t>
      </w:r>
      <w:proofErr w:type="spellEnd"/>
      <w:r w:rsidRPr="00E76ECC">
        <w:rPr>
          <w:lang w:val="nl-BE"/>
        </w:rPr>
        <w:t xml:space="preserve"> </w:t>
      </w:r>
      <w:proofErr w:type="spellStart"/>
      <w:r w:rsidRPr="00E76ECC">
        <w:rPr>
          <w:lang w:val="nl-BE"/>
        </w:rPr>
        <w:t>Stafleu</w:t>
      </w:r>
      <w:proofErr w:type="spellEnd"/>
      <w:r w:rsidRPr="00E76ECC">
        <w:rPr>
          <w:lang w:val="nl-BE"/>
        </w:rPr>
        <w:t xml:space="preserve"> van </w:t>
      </w:r>
      <w:proofErr w:type="spellStart"/>
      <w:r w:rsidRPr="00E76ECC">
        <w:rPr>
          <w:lang w:val="nl-BE"/>
        </w:rPr>
        <w:t>Loghum</w:t>
      </w:r>
      <w:proofErr w:type="spellEnd"/>
      <w:r w:rsidRPr="00E76ECC">
        <w:rPr>
          <w:lang w:val="nl-BE"/>
        </w:rPr>
        <w:t>, Houten, 2006</w:t>
      </w:r>
      <w:r w:rsidR="001D462F" w:rsidRPr="00E76ECC">
        <w:rPr>
          <w:lang w:val="nl-BE"/>
        </w:rPr>
        <w:t>, 158</w:t>
      </w:r>
      <w:r w:rsidR="00375610">
        <w:rPr>
          <w:lang w:val="nl-BE"/>
        </w:rPr>
        <w:t xml:space="preserve"> </w:t>
      </w:r>
      <w:r w:rsidR="001D462F" w:rsidRPr="00E76ECC">
        <w:rPr>
          <w:lang w:val="nl-BE"/>
        </w:rPr>
        <w:t>p</w:t>
      </w:r>
      <w:r w:rsidRPr="00E76ECC">
        <w:rPr>
          <w:lang w:val="nl-BE"/>
        </w:rPr>
        <w:t>.</w:t>
      </w:r>
    </w:p>
    <w:p w:rsidR="00FD3FA2" w:rsidRPr="00E76ECC" w:rsidRDefault="00FD3FA2" w:rsidP="00E76ECC">
      <w:pPr>
        <w:jc w:val="both"/>
        <w:rPr>
          <w:smallCaps/>
          <w:lang w:val="nl-BE"/>
        </w:rPr>
      </w:pPr>
    </w:p>
    <w:p w:rsidR="00136F5A" w:rsidRPr="00E76ECC" w:rsidRDefault="00136F5A" w:rsidP="00E76ECC">
      <w:pPr>
        <w:jc w:val="both"/>
        <w:rPr>
          <w:lang w:val="fr-BE"/>
        </w:rPr>
      </w:pPr>
      <w:proofErr w:type="spellStart"/>
      <w:r w:rsidRPr="00E76ECC">
        <w:rPr>
          <w:smallCaps/>
          <w:lang w:val="fr-BE"/>
        </w:rPr>
        <w:t>Lelieu</w:t>
      </w:r>
      <w:proofErr w:type="spellEnd"/>
      <w:r w:rsidRPr="00E76ECC">
        <w:rPr>
          <w:lang w:val="fr-BE"/>
        </w:rPr>
        <w:t>,</w:t>
      </w:r>
      <w:r w:rsidRPr="00E76ECC">
        <w:rPr>
          <w:smallCaps/>
          <w:lang w:val="fr-BE"/>
        </w:rPr>
        <w:t xml:space="preserve"> Y.H.,</w:t>
      </w:r>
      <w:r w:rsidRPr="00E76ECC">
        <w:rPr>
          <w:lang w:val="fr-BE"/>
        </w:rPr>
        <w:t xml:space="preserve"> </w:t>
      </w:r>
      <w:r w:rsidRPr="00E76ECC">
        <w:rPr>
          <w:i/>
          <w:lang w:val="fr-BE"/>
        </w:rPr>
        <w:t>Droit médical</w:t>
      </w:r>
      <w:r w:rsidRPr="00E76ECC">
        <w:rPr>
          <w:lang w:val="fr-BE"/>
        </w:rPr>
        <w:t xml:space="preserve">, De Boeck en </w:t>
      </w:r>
      <w:proofErr w:type="spellStart"/>
      <w:r w:rsidRPr="00E76ECC">
        <w:rPr>
          <w:lang w:val="fr-BE"/>
        </w:rPr>
        <w:t>Larcier</w:t>
      </w:r>
      <w:proofErr w:type="spellEnd"/>
      <w:r w:rsidRPr="00E76ECC">
        <w:rPr>
          <w:lang w:val="fr-BE"/>
        </w:rPr>
        <w:t>, Brussel, 2005, 345</w:t>
      </w:r>
      <w:r w:rsidR="00375610">
        <w:rPr>
          <w:lang w:val="fr-BE"/>
        </w:rPr>
        <w:t xml:space="preserve"> </w:t>
      </w:r>
      <w:r w:rsidRPr="00E76ECC">
        <w:rPr>
          <w:lang w:val="fr-BE"/>
        </w:rPr>
        <w:t>p.</w:t>
      </w:r>
    </w:p>
    <w:p w:rsidR="008903DE" w:rsidRPr="00E76ECC" w:rsidRDefault="008903DE" w:rsidP="00E76ECC">
      <w:pPr>
        <w:jc w:val="both"/>
        <w:rPr>
          <w:smallCaps/>
          <w:lang w:val="fr-BE"/>
        </w:rPr>
      </w:pPr>
    </w:p>
    <w:p w:rsidR="008903DE" w:rsidRPr="00E76ECC" w:rsidRDefault="008903DE" w:rsidP="00E76ECC">
      <w:pPr>
        <w:jc w:val="both"/>
        <w:rPr>
          <w:lang w:val="nl-BE"/>
        </w:rPr>
      </w:pPr>
      <w:proofErr w:type="spellStart"/>
      <w:r w:rsidRPr="00E76ECC">
        <w:rPr>
          <w:smallCaps/>
          <w:lang w:val="nl-BE"/>
        </w:rPr>
        <w:lastRenderedPageBreak/>
        <w:t>Morbé</w:t>
      </w:r>
      <w:proofErr w:type="spellEnd"/>
      <w:r w:rsidRPr="00E76ECC">
        <w:rPr>
          <w:smallCaps/>
          <w:lang w:val="nl-BE"/>
        </w:rPr>
        <w:t xml:space="preserve">, E. </w:t>
      </w:r>
      <w:r w:rsidRPr="00E76ECC">
        <w:rPr>
          <w:lang w:val="nl-BE"/>
        </w:rPr>
        <w:t>en</w:t>
      </w:r>
      <w:r w:rsidRPr="00E76ECC">
        <w:rPr>
          <w:smallCaps/>
          <w:lang w:val="nl-BE"/>
        </w:rPr>
        <w:t xml:space="preserve"> Van </w:t>
      </w:r>
      <w:proofErr w:type="spellStart"/>
      <w:r w:rsidRPr="00E76ECC">
        <w:rPr>
          <w:smallCaps/>
          <w:lang w:val="nl-BE"/>
        </w:rPr>
        <w:t>Liederkerke</w:t>
      </w:r>
      <w:proofErr w:type="spellEnd"/>
      <w:r w:rsidRPr="00E76ECC">
        <w:rPr>
          <w:smallCaps/>
          <w:lang w:val="nl-BE"/>
        </w:rPr>
        <w:t xml:space="preserve">, C., </w:t>
      </w:r>
      <w:r w:rsidRPr="00E76ECC">
        <w:rPr>
          <w:i/>
          <w:lang w:val="nl-BE"/>
        </w:rPr>
        <w:t xml:space="preserve">Euthanasie en </w:t>
      </w:r>
      <w:proofErr w:type="spellStart"/>
      <w:r w:rsidRPr="00E76ECC">
        <w:rPr>
          <w:i/>
          <w:lang w:val="nl-BE"/>
        </w:rPr>
        <w:t>palliatieve</w:t>
      </w:r>
      <w:proofErr w:type="spellEnd"/>
      <w:r w:rsidRPr="00E76ECC">
        <w:rPr>
          <w:i/>
          <w:lang w:val="nl-BE"/>
        </w:rPr>
        <w:t xml:space="preserve"> zorg</w:t>
      </w:r>
      <w:r w:rsidRPr="00E76ECC">
        <w:rPr>
          <w:lang w:val="nl-BE"/>
        </w:rPr>
        <w:t xml:space="preserve">, </w:t>
      </w:r>
      <w:r w:rsidRPr="005469DA">
        <w:rPr>
          <w:i/>
          <w:lang w:val="nl-BE"/>
        </w:rPr>
        <w:t>Een actuele stand van zaken</w:t>
      </w:r>
      <w:r w:rsidRPr="00E76ECC">
        <w:rPr>
          <w:lang w:val="nl-BE"/>
        </w:rPr>
        <w:t xml:space="preserve">, </w:t>
      </w:r>
      <w:proofErr w:type="spellStart"/>
      <w:r w:rsidRPr="00E76ECC">
        <w:rPr>
          <w:lang w:val="nl-BE"/>
        </w:rPr>
        <w:t>Heule</w:t>
      </w:r>
      <w:proofErr w:type="spellEnd"/>
      <w:r w:rsidRPr="00E76ECC">
        <w:rPr>
          <w:lang w:val="nl-BE"/>
        </w:rPr>
        <w:t>, UGA, 2002, 156</w:t>
      </w:r>
      <w:r w:rsidR="00375610">
        <w:rPr>
          <w:lang w:val="nl-BE"/>
        </w:rPr>
        <w:t xml:space="preserve"> </w:t>
      </w:r>
      <w:r w:rsidRPr="00E76ECC">
        <w:rPr>
          <w:lang w:val="nl-BE"/>
        </w:rPr>
        <w:t>p.</w:t>
      </w:r>
    </w:p>
    <w:p w:rsidR="008903DE" w:rsidRPr="00E76ECC" w:rsidRDefault="008903DE" w:rsidP="00E76ECC">
      <w:pPr>
        <w:jc w:val="both"/>
        <w:rPr>
          <w:smallCaps/>
          <w:lang w:val="nl-BE"/>
        </w:rPr>
      </w:pPr>
    </w:p>
    <w:p w:rsidR="008903DE" w:rsidRPr="00E76ECC" w:rsidRDefault="008903DE" w:rsidP="00E76ECC">
      <w:pPr>
        <w:jc w:val="both"/>
        <w:rPr>
          <w:lang w:val="nl-BE"/>
        </w:rPr>
      </w:pPr>
      <w:r w:rsidRPr="00E76ECC">
        <w:rPr>
          <w:smallCaps/>
          <w:lang w:val="nl-BE"/>
        </w:rPr>
        <w:t>Mortier, F.</w:t>
      </w:r>
      <w:r w:rsidRPr="00E76ECC">
        <w:rPr>
          <w:lang w:val="nl-BE"/>
        </w:rPr>
        <w:t xml:space="preserve">, “Euthanasie bij minderjarigen” in </w:t>
      </w:r>
      <w:r w:rsidRPr="00E76ECC">
        <w:rPr>
          <w:smallCaps/>
          <w:lang w:val="nl-BE"/>
        </w:rPr>
        <w:t xml:space="preserve">Adams, M., </w:t>
      </w:r>
      <w:proofErr w:type="spellStart"/>
      <w:r w:rsidRPr="00E76ECC">
        <w:rPr>
          <w:smallCaps/>
          <w:lang w:val="nl-BE"/>
        </w:rPr>
        <w:t>Grifiths</w:t>
      </w:r>
      <w:proofErr w:type="spellEnd"/>
      <w:r w:rsidRPr="00E76ECC">
        <w:rPr>
          <w:smallCaps/>
          <w:lang w:val="nl-BE"/>
        </w:rPr>
        <w:t xml:space="preserve">, J. </w:t>
      </w:r>
      <w:r w:rsidRPr="00E76ECC">
        <w:rPr>
          <w:lang w:val="nl-BE"/>
        </w:rPr>
        <w:t xml:space="preserve">en </w:t>
      </w:r>
      <w:r w:rsidRPr="00E76ECC">
        <w:rPr>
          <w:smallCaps/>
          <w:lang w:val="nl-BE"/>
        </w:rPr>
        <w:t xml:space="preserve">den </w:t>
      </w:r>
      <w:proofErr w:type="spellStart"/>
      <w:r w:rsidRPr="00E76ECC">
        <w:rPr>
          <w:smallCaps/>
          <w:lang w:val="nl-BE"/>
        </w:rPr>
        <w:t>Hartogh</w:t>
      </w:r>
      <w:proofErr w:type="spellEnd"/>
      <w:r w:rsidRPr="00E76ECC">
        <w:rPr>
          <w:smallCaps/>
          <w:lang w:val="nl-BE"/>
        </w:rPr>
        <w:t>, G</w:t>
      </w:r>
      <w:r w:rsidRPr="00E76ECC">
        <w:rPr>
          <w:lang w:val="nl-BE"/>
        </w:rPr>
        <w:t>. (</w:t>
      </w:r>
      <w:proofErr w:type="spellStart"/>
      <w:r w:rsidRPr="00E76ECC">
        <w:rPr>
          <w:lang w:val="nl-BE"/>
        </w:rPr>
        <w:t>eds</w:t>
      </w:r>
      <w:proofErr w:type="spellEnd"/>
      <w:r w:rsidRPr="00E76ECC">
        <w:rPr>
          <w:lang w:val="nl-BE"/>
        </w:rPr>
        <w:t xml:space="preserve">.), </w:t>
      </w:r>
      <w:r w:rsidRPr="00E76ECC">
        <w:rPr>
          <w:i/>
          <w:lang w:val="nl-BE"/>
        </w:rPr>
        <w:t>Euthanasie. Nieuwe knelpunten in een voortgezette discussie</w:t>
      </w:r>
      <w:r w:rsidRPr="00E76ECC">
        <w:rPr>
          <w:lang w:val="nl-BE"/>
        </w:rPr>
        <w:t>, Kampen, Kok, 2003, 199-220.</w:t>
      </w:r>
    </w:p>
    <w:p w:rsidR="008903DE" w:rsidRPr="00E76ECC" w:rsidRDefault="008903DE" w:rsidP="00E76ECC">
      <w:pPr>
        <w:jc w:val="both"/>
        <w:rPr>
          <w:smallCaps/>
          <w:lang w:val="nl-BE"/>
        </w:rPr>
      </w:pPr>
    </w:p>
    <w:p w:rsidR="00C66A96" w:rsidRPr="00E76ECC" w:rsidRDefault="00C66A96" w:rsidP="00E76ECC">
      <w:pPr>
        <w:jc w:val="both"/>
        <w:rPr>
          <w:lang w:val="nl-BE"/>
        </w:rPr>
      </w:pPr>
      <w:proofErr w:type="spellStart"/>
      <w:r w:rsidRPr="00E76ECC">
        <w:rPr>
          <w:smallCaps/>
          <w:lang w:val="nl-BE"/>
        </w:rPr>
        <w:t>Nys</w:t>
      </w:r>
      <w:proofErr w:type="spellEnd"/>
      <w:r w:rsidRPr="00E76ECC">
        <w:rPr>
          <w:smallCaps/>
          <w:lang w:val="nl-BE"/>
        </w:rPr>
        <w:t xml:space="preserve">, H., </w:t>
      </w:r>
      <w:r w:rsidRPr="00E76ECC">
        <w:rPr>
          <w:i/>
          <w:lang w:val="nl-BE"/>
        </w:rPr>
        <w:t>Algemene praktische rechtsverzameling, Geneeskunde, Recht en medisch handelen</w:t>
      </w:r>
      <w:r w:rsidRPr="00E76ECC">
        <w:rPr>
          <w:lang w:val="nl-BE"/>
        </w:rPr>
        <w:t xml:space="preserve">, Mechelen, </w:t>
      </w:r>
      <w:proofErr w:type="spellStart"/>
      <w:r w:rsidRPr="00E76ECC">
        <w:rPr>
          <w:lang w:val="nl-BE"/>
        </w:rPr>
        <w:t>Kluwer</w:t>
      </w:r>
      <w:proofErr w:type="spellEnd"/>
      <w:r w:rsidRPr="00E76ECC">
        <w:rPr>
          <w:lang w:val="nl-BE"/>
        </w:rPr>
        <w:t>, 2005, 714</w:t>
      </w:r>
      <w:r w:rsidR="00375610">
        <w:rPr>
          <w:lang w:val="nl-BE"/>
        </w:rPr>
        <w:t xml:space="preserve"> </w:t>
      </w:r>
      <w:r w:rsidRPr="00E76ECC">
        <w:rPr>
          <w:lang w:val="nl-BE"/>
        </w:rPr>
        <w:t xml:space="preserve">p. </w:t>
      </w:r>
    </w:p>
    <w:p w:rsidR="002426EE" w:rsidRPr="00E76ECC" w:rsidRDefault="002426EE" w:rsidP="00E76ECC">
      <w:pPr>
        <w:jc w:val="both"/>
        <w:rPr>
          <w:smallCaps/>
          <w:lang w:val="nl-BE"/>
        </w:rPr>
      </w:pPr>
    </w:p>
    <w:p w:rsidR="00FD3FA2" w:rsidRPr="00E76ECC" w:rsidRDefault="00FD3FA2" w:rsidP="00E76ECC">
      <w:pPr>
        <w:jc w:val="both"/>
        <w:rPr>
          <w:lang w:val="nl-BE"/>
        </w:rPr>
      </w:pPr>
      <w:proofErr w:type="spellStart"/>
      <w:r w:rsidRPr="00E76ECC">
        <w:rPr>
          <w:smallCaps/>
          <w:lang w:val="nl-BE"/>
        </w:rPr>
        <w:t>Nys</w:t>
      </w:r>
      <w:proofErr w:type="spellEnd"/>
      <w:r w:rsidRPr="00E76ECC">
        <w:rPr>
          <w:smallCaps/>
          <w:lang w:val="nl-BE"/>
        </w:rPr>
        <w:t xml:space="preserve">, H., </w:t>
      </w:r>
      <w:r w:rsidRPr="00E76ECC">
        <w:rPr>
          <w:i/>
          <w:lang w:val="nl-BE"/>
        </w:rPr>
        <w:t>De wet op de euthanasie</w:t>
      </w:r>
      <w:r w:rsidRPr="00E76ECC">
        <w:rPr>
          <w:lang w:val="nl-BE"/>
        </w:rPr>
        <w:t xml:space="preserve">, Mechelen, </w:t>
      </w:r>
      <w:proofErr w:type="spellStart"/>
      <w:r w:rsidRPr="00E76ECC">
        <w:rPr>
          <w:lang w:val="nl-BE"/>
        </w:rPr>
        <w:t>Kluwer</w:t>
      </w:r>
      <w:proofErr w:type="spellEnd"/>
      <w:r w:rsidRPr="00E76ECC">
        <w:rPr>
          <w:lang w:val="nl-BE"/>
        </w:rPr>
        <w:t>, 2004, 98p.</w:t>
      </w:r>
    </w:p>
    <w:p w:rsidR="00FD3FA2" w:rsidRPr="00E76ECC" w:rsidRDefault="00FD3FA2" w:rsidP="00E76ECC">
      <w:pPr>
        <w:jc w:val="both"/>
        <w:rPr>
          <w:lang w:val="nl-BE"/>
        </w:rPr>
      </w:pPr>
    </w:p>
    <w:p w:rsidR="00FD3FA2" w:rsidRPr="00E76ECC" w:rsidRDefault="00FD3FA2" w:rsidP="00E76ECC">
      <w:pPr>
        <w:jc w:val="both"/>
        <w:rPr>
          <w:lang w:val="nl-BE"/>
        </w:rPr>
      </w:pPr>
      <w:proofErr w:type="spellStart"/>
      <w:r w:rsidRPr="00E76ECC">
        <w:rPr>
          <w:lang w:val="nl-BE"/>
        </w:rPr>
        <w:t>N</w:t>
      </w:r>
      <w:r w:rsidRPr="00E76ECC">
        <w:rPr>
          <w:smallCaps/>
          <w:lang w:val="nl-BE"/>
        </w:rPr>
        <w:t>ys</w:t>
      </w:r>
      <w:proofErr w:type="spellEnd"/>
      <w:r w:rsidRPr="00E76ECC">
        <w:rPr>
          <w:lang w:val="nl-BE"/>
        </w:rPr>
        <w:t xml:space="preserve">, H., “Euthanasie bij kinderen naar Belgisch recht”, </w:t>
      </w:r>
      <w:r w:rsidRPr="00E76ECC">
        <w:rPr>
          <w:i/>
          <w:lang w:val="nl-BE"/>
        </w:rPr>
        <w:t>TJK</w:t>
      </w:r>
      <w:r w:rsidRPr="00E76ECC">
        <w:rPr>
          <w:lang w:val="nl-BE"/>
        </w:rPr>
        <w:t xml:space="preserve"> 2009, afl. 4, 277-281.</w:t>
      </w:r>
    </w:p>
    <w:p w:rsidR="00FD3FA2" w:rsidRPr="00E76ECC" w:rsidRDefault="00FD3FA2" w:rsidP="00E76ECC">
      <w:pPr>
        <w:jc w:val="both"/>
        <w:rPr>
          <w:smallCaps/>
          <w:lang w:val="nl-BE"/>
        </w:rPr>
      </w:pPr>
    </w:p>
    <w:p w:rsidR="00FD3FA2" w:rsidRPr="00E76ECC" w:rsidRDefault="002426EE" w:rsidP="00E76ECC">
      <w:pPr>
        <w:jc w:val="both"/>
        <w:rPr>
          <w:lang w:val="nl-BE"/>
        </w:rPr>
      </w:pPr>
      <w:proofErr w:type="spellStart"/>
      <w:r w:rsidRPr="00E76ECC">
        <w:rPr>
          <w:smallCaps/>
          <w:lang w:val="nl-BE"/>
        </w:rPr>
        <w:t>Nys</w:t>
      </w:r>
      <w:proofErr w:type="spellEnd"/>
      <w:r w:rsidRPr="00E76ECC">
        <w:rPr>
          <w:smallCaps/>
          <w:lang w:val="nl-BE"/>
        </w:rPr>
        <w:t xml:space="preserve">, H. </w:t>
      </w:r>
      <w:r w:rsidRPr="00E76ECC">
        <w:rPr>
          <w:lang w:val="nl-BE"/>
        </w:rPr>
        <w:t>en</w:t>
      </w:r>
      <w:r w:rsidR="00FD3FA2" w:rsidRPr="00E76ECC">
        <w:rPr>
          <w:smallCaps/>
          <w:lang w:val="nl-BE"/>
        </w:rPr>
        <w:t xml:space="preserve"> Deckers, E., </w:t>
      </w:r>
      <w:r w:rsidR="00FD3FA2" w:rsidRPr="00E76ECC">
        <w:rPr>
          <w:i/>
          <w:lang w:val="nl-BE"/>
        </w:rPr>
        <w:t>Nieuwe wetgeving inzake euthanasie, Gecoördineerde teksten en uittreksels uit de Parlementaire Werkzaamheden</w:t>
      </w:r>
      <w:r w:rsidR="00FD3FA2" w:rsidRPr="00E76ECC">
        <w:rPr>
          <w:lang w:val="nl-BE"/>
        </w:rPr>
        <w:t xml:space="preserve">, Mechelen, </w:t>
      </w:r>
      <w:proofErr w:type="spellStart"/>
      <w:r w:rsidR="00FD3FA2" w:rsidRPr="00E76ECC">
        <w:rPr>
          <w:lang w:val="nl-BE"/>
        </w:rPr>
        <w:t>Kluwer</w:t>
      </w:r>
      <w:proofErr w:type="spellEnd"/>
      <w:r w:rsidR="00FD3FA2" w:rsidRPr="00E76ECC">
        <w:rPr>
          <w:lang w:val="nl-BE"/>
        </w:rPr>
        <w:t>, 2003, 253</w:t>
      </w:r>
      <w:r w:rsidR="00375610">
        <w:rPr>
          <w:lang w:val="nl-BE"/>
        </w:rPr>
        <w:t xml:space="preserve"> </w:t>
      </w:r>
      <w:r w:rsidR="00FD3FA2" w:rsidRPr="00E76ECC">
        <w:rPr>
          <w:lang w:val="nl-BE"/>
        </w:rPr>
        <w:t>p.</w:t>
      </w:r>
    </w:p>
    <w:p w:rsidR="00FD3FA2" w:rsidRPr="00E76ECC" w:rsidRDefault="00FD3FA2" w:rsidP="00E76ECC">
      <w:pPr>
        <w:jc w:val="both"/>
        <w:rPr>
          <w:smallCaps/>
          <w:lang w:val="nl-BE"/>
        </w:rPr>
      </w:pPr>
    </w:p>
    <w:p w:rsidR="00FD3FA2" w:rsidRPr="00E76ECC" w:rsidRDefault="00FD3FA2" w:rsidP="00E76ECC">
      <w:pPr>
        <w:jc w:val="both"/>
        <w:rPr>
          <w:lang w:val="nl-BE"/>
        </w:rPr>
      </w:pPr>
      <w:proofErr w:type="spellStart"/>
      <w:r w:rsidRPr="00E76ECC">
        <w:rPr>
          <w:smallCaps/>
          <w:lang w:val="nl-BE"/>
        </w:rPr>
        <w:t>Nys</w:t>
      </w:r>
      <w:proofErr w:type="spellEnd"/>
      <w:r w:rsidRPr="00E76ECC">
        <w:rPr>
          <w:smallCaps/>
          <w:lang w:val="nl-BE"/>
        </w:rPr>
        <w:t xml:space="preserve">, H., </w:t>
      </w:r>
      <w:r w:rsidRPr="00E76ECC">
        <w:rPr>
          <w:i/>
          <w:lang w:val="nl-BE"/>
        </w:rPr>
        <w:t>Medisch recht</w:t>
      </w:r>
      <w:r w:rsidRPr="00E76ECC">
        <w:rPr>
          <w:lang w:val="nl-BE"/>
        </w:rPr>
        <w:t xml:space="preserve">, Leuven, </w:t>
      </w:r>
      <w:proofErr w:type="spellStart"/>
      <w:r w:rsidRPr="00E76ECC">
        <w:rPr>
          <w:lang w:val="nl-BE"/>
        </w:rPr>
        <w:t>Acco</w:t>
      </w:r>
      <w:proofErr w:type="spellEnd"/>
      <w:r w:rsidRPr="00E76ECC">
        <w:rPr>
          <w:lang w:val="nl-BE"/>
        </w:rPr>
        <w:t>, 2000, 172</w:t>
      </w:r>
      <w:r w:rsidR="00375610">
        <w:rPr>
          <w:lang w:val="nl-BE"/>
        </w:rPr>
        <w:t xml:space="preserve"> </w:t>
      </w:r>
      <w:r w:rsidRPr="00E76ECC">
        <w:rPr>
          <w:lang w:val="nl-BE"/>
        </w:rPr>
        <w:t>p.</w:t>
      </w:r>
    </w:p>
    <w:p w:rsidR="00FD3FA2" w:rsidRPr="00E76ECC" w:rsidRDefault="00FD3FA2" w:rsidP="00E76ECC">
      <w:pPr>
        <w:jc w:val="both"/>
        <w:rPr>
          <w:smallCaps/>
          <w:lang w:val="nl-BE"/>
        </w:rPr>
      </w:pPr>
    </w:p>
    <w:p w:rsidR="00FD3FA2" w:rsidRPr="00E76ECC" w:rsidRDefault="00FD3FA2" w:rsidP="00E76ECC">
      <w:pPr>
        <w:jc w:val="both"/>
        <w:rPr>
          <w:lang w:val="nl-BE"/>
        </w:rPr>
      </w:pPr>
      <w:proofErr w:type="spellStart"/>
      <w:r w:rsidRPr="00E76ECC">
        <w:rPr>
          <w:smallCaps/>
          <w:lang w:val="nl-BE"/>
        </w:rPr>
        <w:t>Nys</w:t>
      </w:r>
      <w:proofErr w:type="spellEnd"/>
      <w:r w:rsidRPr="00E76ECC">
        <w:rPr>
          <w:smallCaps/>
          <w:lang w:val="nl-BE"/>
        </w:rPr>
        <w:t xml:space="preserve">, H., </w:t>
      </w:r>
      <w:r w:rsidRPr="00E76ECC">
        <w:rPr>
          <w:i/>
          <w:lang w:val="nl-BE"/>
        </w:rPr>
        <w:t>Medisch recht</w:t>
      </w:r>
      <w:r w:rsidRPr="00E76ECC">
        <w:rPr>
          <w:lang w:val="nl-BE"/>
        </w:rPr>
        <w:t xml:space="preserve">, Leuven, </w:t>
      </w:r>
      <w:proofErr w:type="spellStart"/>
      <w:r w:rsidRPr="00E76ECC">
        <w:rPr>
          <w:lang w:val="nl-BE"/>
        </w:rPr>
        <w:t>Acco</w:t>
      </w:r>
      <w:proofErr w:type="spellEnd"/>
      <w:r w:rsidRPr="00E76ECC">
        <w:rPr>
          <w:lang w:val="nl-BE"/>
        </w:rPr>
        <w:t>, 2006, 180</w:t>
      </w:r>
      <w:r w:rsidR="00375610">
        <w:rPr>
          <w:lang w:val="nl-BE"/>
        </w:rPr>
        <w:t xml:space="preserve"> </w:t>
      </w:r>
      <w:r w:rsidRPr="00E76ECC">
        <w:rPr>
          <w:lang w:val="nl-BE"/>
        </w:rPr>
        <w:t>p.</w:t>
      </w:r>
    </w:p>
    <w:p w:rsidR="00FD3FA2" w:rsidRPr="00E76ECC" w:rsidRDefault="00FD3FA2" w:rsidP="00E76ECC">
      <w:pPr>
        <w:jc w:val="both"/>
        <w:rPr>
          <w:smallCaps/>
          <w:lang w:val="nl-BE"/>
        </w:rPr>
      </w:pPr>
    </w:p>
    <w:p w:rsidR="00FD3FA2" w:rsidRPr="00E76ECC" w:rsidRDefault="00FD3FA2" w:rsidP="00E76ECC">
      <w:pPr>
        <w:jc w:val="both"/>
        <w:rPr>
          <w:lang w:val="nl-BE"/>
        </w:rPr>
      </w:pPr>
      <w:proofErr w:type="spellStart"/>
      <w:r w:rsidRPr="00E76ECC">
        <w:rPr>
          <w:lang w:val="nl-BE"/>
        </w:rPr>
        <w:t>Nys</w:t>
      </w:r>
      <w:proofErr w:type="spellEnd"/>
      <w:r w:rsidRPr="00E76ECC">
        <w:rPr>
          <w:lang w:val="nl-BE"/>
        </w:rPr>
        <w:t xml:space="preserve">, H., </w:t>
      </w:r>
      <w:r w:rsidRPr="00E76ECC">
        <w:rPr>
          <w:i/>
          <w:lang w:val="nl-BE"/>
        </w:rPr>
        <w:t>Recht en bio-ethiek, wegwijs voor mensen in de gezondheidszorg</w:t>
      </w:r>
      <w:r w:rsidRPr="00E76ECC">
        <w:rPr>
          <w:lang w:val="nl-BE"/>
        </w:rPr>
        <w:t xml:space="preserve">, </w:t>
      </w:r>
      <w:r w:rsidR="00B808EC">
        <w:rPr>
          <w:lang w:val="nl-BE"/>
        </w:rPr>
        <w:t xml:space="preserve">Leuven, </w:t>
      </w:r>
      <w:proofErr w:type="spellStart"/>
      <w:r w:rsidR="00B808EC">
        <w:rPr>
          <w:lang w:val="nl-BE"/>
        </w:rPr>
        <w:t>LannooCampus</w:t>
      </w:r>
      <w:proofErr w:type="spellEnd"/>
      <w:r w:rsidR="00B808EC">
        <w:rPr>
          <w:lang w:val="nl-BE"/>
        </w:rPr>
        <w:t>, 2010, 277</w:t>
      </w:r>
      <w:r w:rsidR="00375610">
        <w:rPr>
          <w:lang w:val="nl-BE"/>
        </w:rPr>
        <w:t xml:space="preserve"> </w:t>
      </w:r>
      <w:r w:rsidRPr="00E76ECC">
        <w:rPr>
          <w:lang w:val="nl-BE"/>
        </w:rPr>
        <w:t>p.</w:t>
      </w:r>
    </w:p>
    <w:p w:rsidR="00FD3FA2" w:rsidRPr="00E76ECC" w:rsidRDefault="00FD3FA2" w:rsidP="00E76ECC">
      <w:pPr>
        <w:jc w:val="both"/>
        <w:rPr>
          <w:smallCaps/>
          <w:lang w:val="nl-BE"/>
        </w:rPr>
      </w:pPr>
    </w:p>
    <w:p w:rsidR="00FD3FA2" w:rsidRPr="00E76ECC" w:rsidRDefault="00FD3FA2" w:rsidP="00E76ECC">
      <w:pPr>
        <w:jc w:val="both"/>
        <w:rPr>
          <w:lang w:val="nl-BE" w:eastAsia="ja-JP"/>
        </w:rPr>
      </w:pPr>
      <w:proofErr w:type="spellStart"/>
      <w:r w:rsidRPr="00E76ECC">
        <w:rPr>
          <w:smallCaps/>
          <w:lang w:val="nl-BE" w:eastAsia="ja-JP"/>
        </w:rPr>
        <w:t>Pousset</w:t>
      </w:r>
      <w:proofErr w:type="spellEnd"/>
      <w:r w:rsidRPr="00E76ECC">
        <w:rPr>
          <w:smallCaps/>
          <w:lang w:val="nl-BE" w:eastAsia="ja-JP"/>
        </w:rPr>
        <w:t xml:space="preserve">, G., </w:t>
      </w:r>
      <w:proofErr w:type="spellStart"/>
      <w:r w:rsidRPr="00E76ECC">
        <w:rPr>
          <w:smallCaps/>
          <w:lang w:val="nl-BE" w:eastAsia="ja-JP"/>
        </w:rPr>
        <w:t>Bilsen</w:t>
      </w:r>
      <w:proofErr w:type="spellEnd"/>
      <w:r w:rsidRPr="00E76ECC">
        <w:rPr>
          <w:smallCaps/>
          <w:lang w:val="nl-BE" w:eastAsia="ja-JP"/>
        </w:rPr>
        <w:t>,</w:t>
      </w:r>
      <w:r w:rsidR="00A9257B">
        <w:rPr>
          <w:smallCaps/>
          <w:lang w:val="nl-BE" w:eastAsia="ja-JP"/>
        </w:rPr>
        <w:t xml:space="preserve"> J., De Wilde, J., </w:t>
      </w:r>
      <w:proofErr w:type="spellStart"/>
      <w:r w:rsidR="00A9257B">
        <w:rPr>
          <w:smallCaps/>
          <w:lang w:val="nl-BE" w:eastAsia="ja-JP"/>
        </w:rPr>
        <w:t>Deliens</w:t>
      </w:r>
      <w:proofErr w:type="spellEnd"/>
      <w:r w:rsidR="00A9257B">
        <w:rPr>
          <w:smallCaps/>
          <w:lang w:val="nl-BE" w:eastAsia="ja-JP"/>
        </w:rPr>
        <w:t xml:space="preserve">, L. </w:t>
      </w:r>
      <w:r w:rsidR="00A9257B" w:rsidRPr="00A9257B">
        <w:rPr>
          <w:lang w:val="nl-BE" w:eastAsia="ja-JP"/>
        </w:rPr>
        <w:t>en</w:t>
      </w:r>
      <w:r w:rsidR="00A9257B">
        <w:rPr>
          <w:smallCaps/>
          <w:lang w:val="nl-BE" w:eastAsia="ja-JP"/>
        </w:rPr>
        <w:t xml:space="preserve"> </w:t>
      </w:r>
      <w:r w:rsidRPr="00E76ECC">
        <w:rPr>
          <w:smallCaps/>
          <w:lang w:val="nl-BE" w:eastAsia="ja-JP"/>
        </w:rPr>
        <w:t xml:space="preserve">Mortier, F., </w:t>
      </w:r>
      <w:r w:rsidRPr="00E76ECC">
        <w:rPr>
          <w:lang w:val="nl-BE" w:eastAsia="ja-JP"/>
        </w:rPr>
        <w:t xml:space="preserve">“Houding van Vlaamse leerlingen uit het secundair onderwijs ten opzichte van euthanasie en andere beslissingen aan het levenseinde bij minderjarigen.”, </w:t>
      </w:r>
      <w:r w:rsidRPr="00E76ECC">
        <w:rPr>
          <w:i/>
          <w:lang w:val="nl-BE" w:eastAsia="ja-JP"/>
        </w:rPr>
        <w:t>TJK</w:t>
      </w:r>
      <w:r w:rsidRPr="00E76ECC">
        <w:rPr>
          <w:lang w:val="nl-BE" w:eastAsia="ja-JP"/>
        </w:rPr>
        <w:t xml:space="preserve"> 2009, afl. 4, 282-292.</w:t>
      </w:r>
    </w:p>
    <w:p w:rsidR="00FD3FA2" w:rsidRPr="00E76ECC" w:rsidRDefault="00FD3FA2" w:rsidP="00E76ECC">
      <w:pPr>
        <w:jc w:val="both"/>
        <w:rPr>
          <w:lang w:val="nl-BE"/>
        </w:rPr>
      </w:pPr>
    </w:p>
    <w:p w:rsidR="003309FD" w:rsidRPr="00E76ECC" w:rsidRDefault="003309FD" w:rsidP="00E76ECC">
      <w:pPr>
        <w:pStyle w:val="Voetnoottekst"/>
        <w:jc w:val="both"/>
        <w:rPr>
          <w:sz w:val="24"/>
          <w:szCs w:val="24"/>
        </w:rPr>
      </w:pPr>
      <w:proofErr w:type="spellStart"/>
      <w:r w:rsidRPr="00E76ECC">
        <w:rPr>
          <w:smallCaps/>
          <w:sz w:val="24"/>
          <w:szCs w:val="24"/>
        </w:rPr>
        <w:t>Senaeve</w:t>
      </w:r>
      <w:proofErr w:type="spellEnd"/>
      <w:r w:rsidRPr="00E76ECC">
        <w:rPr>
          <w:smallCaps/>
          <w:sz w:val="24"/>
          <w:szCs w:val="24"/>
        </w:rPr>
        <w:t>, P.</w:t>
      </w:r>
      <w:r w:rsidRPr="00E76ECC">
        <w:rPr>
          <w:sz w:val="24"/>
          <w:szCs w:val="24"/>
        </w:rPr>
        <w:t xml:space="preserve">, </w:t>
      </w:r>
      <w:r w:rsidRPr="00E76ECC">
        <w:rPr>
          <w:i/>
          <w:sz w:val="24"/>
          <w:szCs w:val="24"/>
        </w:rPr>
        <w:t>Compendium van het personen- en familierecht</w:t>
      </w:r>
      <w:r w:rsidR="00B808EC">
        <w:rPr>
          <w:sz w:val="24"/>
          <w:szCs w:val="24"/>
        </w:rPr>
        <w:t xml:space="preserve">, </w:t>
      </w:r>
      <w:proofErr w:type="spellStart"/>
      <w:r w:rsidR="00B808EC">
        <w:rPr>
          <w:sz w:val="24"/>
          <w:szCs w:val="24"/>
        </w:rPr>
        <w:t>Acco</w:t>
      </w:r>
      <w:proofErr w:type="spellEnd"/>
      <w:r w:rsidR="00B808EC">
        <w:rPr>
          <w:sz w:val="24"/>
          <w:szCs w:val="24"/>
        </w:rPr>
        <w:t>, Leuven, 2004, 856</w:t>
      </w:r>
      <w:r w:rsidR="00375610">
        <w:rPr>
          <w:sz w:val="24"/>
          <w:szCs w:val="24"/>
        </w:rPr>
        <w:t xml:space="preserve"> </w:t>
      </w:r>
      <w:r w:rsidRPr="00E76ECC">
        <w:rPr>
          <w:sz w:val="24"/>
          <w:szCs w:val="24"/>
        </w:rPr>
        <w:t>p.</w:t>
      </w:r>
    </w:p>
    <w:p w:rsidR="003309FD" w:rsidRPr="00E76ECC" w:rsidRDefault="003309FD" w:rsidP="00E76ECC">
      <w:pPr>
        <w:jc w:val="both"/>
        <w:rPr>
          <w:smallCaps/>
        </w:rPr>
      </w:pPr>
    </w:p>
    <w:p w:rsidR="003309FD" w:rsidRPr="00E76ECC" w:rsidRDefault="003309FD" w:rsidP="00E76ECC">
      <w:pPr>
        <w:jc w:val="both"/>
      </w:pPr>
      <w:proofErr w:type="spellStart"/>
      <w:r w:rsidRPr="00E76ECC">
        <w:rPr>
          <w:smallCaps/>
        </w:rPr>
        <w:t>Swennen</w:t>
      </w:r>
      <w:proofErr w:type="spellEnd"/>
      <w:r w:rsidRPr="00E76ECC">
        <w:rPr>
          <w:smallCaps/>
        </w:rPr>
        <w:t>, F</w:t>
      </w:r>
      <w:r w:rsidRPr="00E76ECC">
        <w:rPr>
          <w:i/>
          <w:smallCaps/>
        </w:rPr>
        <w:t>.,</w:t>
      </w:r>
      <w:r w:rsidRPr="00E76ECC">
        <w:rPr>
          <w:i/>
        </w:rPr>
        <w:t xml:space="preserve"> Personenrecht in kort bestek</w:t>
      </w:r>
      <w:r w:rsidRPr="00E76ECC">
        <w:t xml:space="preserve">, </w:t>
      </w:r>
      <w:proofErr w:type="spellStart"/>
      <w:r w:rsidRPr="00E76ECC">
        <w:t>Intersentia</w:t>
      </w:r>
      <w:proofErr w:type="spellEnd"/>
      <w:r w:rsidRPr="00E76ECC">
        <w:t>, Antwerpen, 2008, 174</w:t>
      </w:r>
      <w:r w:rsidR="00375610">
        <w:t xml:space="preserve"> </w:t>
      </w:r>
      <w:r w:rsidRPr="00E76ECC">
        <w:t>p.</w:t>
      </w:r>
    </w:p>
    <w:p w:rsidR="003309FD" w:rsidRPr="00E76ECC" w:rsidRDefault="003309FD" w:rsidP="00E76ECC">
      <w:pPr>
        <w:jc w:val="both"/>
        <w:rPr>
          <w:smallCaps/>
        </w:rPr>
      </w:pPr>
    </w:p>
    <w:p w:rsidR="00FD3FA2" w:rsidRPr="00E76ECC" w:rsidRDefault="00FD3FA2" w:rsidP="00E76ECC">
      <w:pPr>
        <w:jc w:val="both"/>
        <w:rPr>
          <w:lang w:val="nl-BE"/>
        </w:rPr>
      </w:pPr>
      <w:proofErr w:type="spellStart"/>
      <w:r w:rsidRPr="00E76ECC">
        <w:rPr>
          <w:smallCaps/>
          <w:lang w:val="nl-BE"/>
        </w:rPr>
        <w:t>Strubbe</w:t>
      </w:r>
      <w:proofErr w:type="spellEnd"/>
      <w:r w:rsidRPr="00E76ECC">
        <w:rPr>
          <w:smallCaps/>
          <w:lang w:val="nl-BE"/>
        </w:rPr>
        <w:t xml:space="preserve">, E., </w:t>
      </w:r>
      <w:r w:rsidRPr="00E76ECC">
        <w:rPr>
          <w:lang w:val="nl-BE"/>
        </w:rPr>
        <w:t xml:space="preserve">“Naar en wettelijke erkenning van levensbeëindiging bij </w:t>
      </w:r>
      <w:proofErr w:type="spellStart"/>
      <w:r w:rsidRPr="00E76ECC">
        <w:rPr>
          <w:lang w:val="nl-BE"/>
        </w:rPr>
        <w:t>wilsonbekwamen</w:t>
      </w:r>
      <w:proofErr w:type="spellEnd"/>
      <w:r w:rsidRPr="00E76ECC">
        <w:rPr>
          <w:lang w:val="nl-BE"/>
        </w:rPr>
        <w:t xml:space="preserve">?”, </w:t>
      </w:r>
      <w:r w:rsidRPr="00E76ECC">
        <w:rPr>
          <w:i/>
          <w:lang w:val="nl-BE"/>
        </w:rPr>
        <w:t>RW</w:t>
      </w:r>
      <w:r w:rsidRPr="00E76ECC">
        <w:rPr>
          <w:lang w:val="nl-BE"/>
        </w:rPr>
        <w:t xml:space="preserve"> 1999-2000, afl. 10, 318-325.</w:t>
      </w:r>
    </w:p>
    <w:p w:rsidR="00FD3FA2" w:rsidRPr="00E76ECC" w:rsidRDefault="00FD3FA2" w:rsidP="00E76ECC">
      <w:pPr>
        <w:jc w:val="both"/>
        <w:rPr>
          <w:lang w:val="nl-BE"/>
        </w:rPr>
      </w:pPr>
    </w:p>
    <w:p w:rsidR="00FD3FA2" w:rsidRPr="00E76ECC" w:rsidRDefault="00FD3FA2" w:rsidP="00E76ECC">
      <w:pPr>
        <w:jc w:val="both"/>
        <w:rPr>
          <w:lang w:val="nl-BE"/>
        </w:rPr>
      </w:pPr>
      <w:proofErr w:type="spellStart"/>
      <w:r w:rsidRPr="00E76ECC">
        <w:rPr>
          <w:smallCaps/>
          <w:lang w:val="nl-BE"/>
        </w:rPr>
        <w:t>Vanobbergen</w:t>
      </w:r>
      <w:proofErr w:type="spellEnd"/>
      <w:r w:rsidRPr="00E76ECC">
        <w:rPr>
          <w:smallCaps/>
          <w:lang w:val="nl-BE"/>
        </w:rPr>
        <w:t xml:space="preserve">, B., </w:t>
      </w:r>
      <w:r w:rsidRPr="00E76ECC">
        <w:rPr>
          <w:lang w:val="nl-BE"/>
        </w:rPr>
        <w:t xml:space="preserve">“Kinderen en levenseinde”, </w:t>
      </w:r>
      <w:r w:rsidRPr="00E76ECC">
        <w:rPr>
          <w:i/>
          <w:lang w:val="nl-BE"/>
        </w:rPr>
        <w:t>TJK</w:t>
      </w:r>
      <w:r w:rsidRPr="00E76ECC">
        <w:rPr>
          <w:lang w:val="nl-BE"/>
        </w:rPr>
        <w:t xml:space="preserve"> 2009, afl.4, 275-276.</w:t>
      </w:r>
    </w:p>
    <w:p w:rsidR="00FD3FA2" w:rsidRPr="00E76ECC" w:rsidRDefault="00FD3FA2" w:rsidP="00E76ECC">
      <w:pPr>
        <w:jc w:val="both"/>
        <w:rPr>
          <w:smallCaps/>
          <w:lang w:val="nl-BE" w:eastAsia="ja-JP"/>
        </w:rPr>
      </w:pPr>
    </w:p>
    <w:p w:rsidR="00FD3FA2" w:rsidRPr="00E76ECC" w:rsidRDefault="00FD3FA2" w:rsidP="00E76ECC">
      <w:pPr>
        <w:jc w:val="both"/>
        <w:rPr>
          <w:lang w:val="nl-BE"/>
        </w:rPr>
      </w:pPr>
      <w:proofErr w:type="spellStart"/>
      <w:r w:rsidRPr="00E76ECC">
        <w:rPr>
          <w:smallCaps/>
          <w:lang w:val="nl-BE" w:eastAsia="ja-JP"/>
        </w:rPr>
        <w:t>Vansweevelt</w:t>
      </w:r>
      <w:proofErr w:type="spellEnd"/>
      <w:r w:rsidRPr="00E76ECC">
        <w:rPr>
          <w:smallCaps/>
          <w:lang w:val="nl-BE" w:eastAsia="ja-JP"/>
        </w:rPr>
        <w:t xml:space="preserve">, T., </w:t>
      </w:r>
      <w:r w:rsidRPr="00E76ECC">
        <w:rPr>
          <w:lang w:val="nl-BE"/>
        </w:rPr>
        <w:t xml:space="preserve"> “</w:t>
      </w:r>
      <w:r w:rsidRPr="00E76ECC">
        <w:rPr>
          <w:color w:val="000000"/>
        </w:rPr>
        <w:t xml:space="preserve">De euthanasiewet. De ultieme bevestiging van het zelfbeschikkingsrecht of een gecontroleerde keuzevrijheid?”, </w:t>
      </w:r>
      <w:proofErr w:type="spellStart"/>
      <w:r w:rsidRPr="00E76ECC">
        <w:rPr>
          <w:i/>
          <w:color w:val="000000"/>
        </w:rPr>
        <w:t>T.Gez</w:t>
      </w:r>
      <w:proofErr w:type="spellEnd"/>
      <w:r w:rsidRPr="00E76ECC">
        <w:rPr>
          <w:color w:val="000000"/>
        </w:rPr>
        <w:t>. 2002, afl.4, 216-278.</w:t>
      </w:r>
    </w:p>
    <w:p w:rsidR="00FD3FA2" w:rsidRPr="00E76ECC" w:rsidRDefault="00FD3FA2" w:rsidP="00E76ECC">
      <w:pPr>
        <w:jc w:val="both"/>
        <w:rPr>
          <w:lang w:val="nl-BE"/>
        </w:rPr>
      </w:pPr>
    </w:p>
    <w:p w:rsidR="00FD3FA2" w:rsidRPr="00E76ECC" w:rsidRDefault="00FD3FA2" w:rsidP="00E76ECC">
      <w:pPr>
        <w:jc w:val="both"/>
        <w:rPr>
          <w:lang w:val="nl-BE" w:eastAsia="ja-JP"/>
        </w:rPr>
      </w:pPr>
      <w:proofErr w:type="spellStart"/>
      <w:r w:rsidRPr="00E76ECC">
        <w:rPr>
          <w:smallCaps/>
          <w:lang w:val="nl-BE" w:eastAsia="ja-JP"/>
        </w:rPr>
        <w:t>Vansweevelt</w:t>
      </w:r>
      <w:proofErr w:type="spellEnd"/>
      <w:r w:rsidRPr="00E76ECC">
        <w:rPr>
          <w:smallCaps/>
          <w:lang w:val="nl-BE" w:eastAsia="ja-JP"/>
        </w:rPr>
        <w:t xml:space="preserve">, T., </w:t>
      </w:r>
      <w:r w:rsidRPr="00E76ECC">
        <w:rPr>
          <w:lang w:val="nl-BE" w:eastAsia="ja-JP"/>
        </w:rPr>
        <w:t xml:space="preserve">“De euthanasiewet. Toepassingsgebied en krachtlijnen.”, </w:t>
      </w:r>
      <w:r w:rsidRPr="00E76ECC">
        <w:rPr>
          <w:i/>
          <w:lang w:val="nl-BE" w:eastAsia="ja-JP"/>
        </w:rPr>
        <w:t>NJW</w:t>
      </w:r>
      <w:r w:rsidRPr="00E76ECC">
        <w:rPr>
          <w:lang w:val="nl-BE" w:eastAsia="ja-JP"/>
        </w:rPr>
        <w:t xml:space="preserve"> 2002, afl. 13, 444-456.</w:t>
      </w:r>
    </w:p>
    <w:p w:rsidR="00FD3FA2" w:rsidRPr="00E76ECC" w:rsidRDefault="00FD3FA2" w:rsidP="00E76ECC">
      <w:pPr>
        <w:jc w:val="both"/>
        <w:rPr>
          <w:smallCaps/>
          <w:lang w:val="nl-BE"/>
        </w:rPr>
      </w:pPr>
    </w:p>
    <w:p w:rsidR="00FD3FA2" w:rsidRDefault="00FD3FA2" w:rsidP="00E76ECC">
      <w:pPr>
        <w:jc w:val="both"/>
        <w:rPr>
          <w:lang w:val="nl-BE"/>
        </w:rPr>
      </w:pPr>
    </w:p>
    <w:p w:rsidR="00375610" w:rsidRDefault="00375610" w:rsidP="00E76ECC">
      <w:pPr>
        <w:jc w:val="both"/>
        <w:rPr>
          <w:lang w:val="nl-BE"/>
        </w:rPr>
      </w:pPr>
    </w:p>
    <w:p w:rsidR="00375610" w:rsidRPr="00E76ECC" w:rsidRDefault="00375610" w:rsidP="00E76ECC">
      <w:pPr>
        <w:jc w:val="both"/>
        <w:rPr>
          <w:lang w:val="nl-BE"/>
        </w:rPr>
      </w:pPr>
    </w:p>
    <w:p w:rsidR="00FD3FA2" w:rsidRPr="00E76ECC" w:rsidRDefault="00FD3FA2" w:rsidP="00E76ECC">
      <w:pPr>
        <w:jc w:val="both"/>
        <w:rPr>
          <w:lang w:val="nl-BE"/>
        </w:rPr>
      </w:pPr>
    </w:p>
    <w:p w:rsidR="00FD3FA2" w:rsidRDefault="00FD3FA2" w:rsidP="00FD3FA2">
      <w:pPr>
        <w:pBdr>
          <w:top w:val="single" w:sz="4" w:space="1" w:color="auto"/>
          <w:left w:val="single" w:sz="4" w:space="4" w:color="auto"/>
          <w:bottom w:val="single" w:sz="4" w:space="1" w:color="auto"/>
          <w:right w:val="single" w:sz="4" w:space="4" w:color="auto"/>
        </w:pBdr>
        <w:rPr>
          <w:lang w:val="nl-BE"/>
        </w:rPr>
      </w:pPr>
      <w:r>
        <w:rPr>
          <w:lang w:val="nl-BE"/>
        </w:rPr>
        <w:lastRenderedPageBreak/>
        <w:t>PARLEMENTAIRE VOORBEREIDING</w:t>
      </w:r>
    </w:p>
    <w:p w:rsidR="00FD3FA2" w:rsidRDefault="00FD3FA2" w:rsidP="00FD3FA2">
      <w:pPr>
        <w:rPr>
          <w:lang w:val="nl-BE"/>
        </w:rPr>
      </w:pPr>
    </w:p>
    <w:p w:rsidR="009C42EC" w:rsidRPr="009C42EC" w:rsidRDefault="009C42EC" w:rsidP="009C42EC">
      <w:pPr>
        <w:pStyle w:val="Kop3"/>
        <w:spacing w:line="240" w:lineRule="auto"/>
        <w:rPr>
          <w:b/>
          <w:color w:val="000000" w:themeColor="text1"/>
        </w:rPr>
      </w:pPr>
      <w:proofErr w:type="spellStart"/>
      <w:r w:rsidRPr="0062378E">
        <w:rPr>
          <w:i/>
        </w:rPr>
        <w:t>Parl</w:t>
      </w:r>
      <w:proofErr w:type="spellEnd"/>
      <w:r w:rsidRPr="0062378E">
        <w:rPr>
          <w:i/>
        </w:rPr>
        <w:t xml:space="preserve">. St. </w:t>
      </w:r>
      <w:r w:rsidRPr="00DF1D39">
        <w:t xml:space="preserve">Senaat </w:t>
      </w:r>
      <w:r>
        <w:t>1999-2000, nr. 2-10/1.</w:t>
      </w:r>
    </w:p>
    <w:p w:rsidR="009C42EC" w:rsidRPr="00F744CE" w:rsidRDefault="009C42EC" w:rsidP="009C42EC">
      <w:pPr>
        <w:rPr>
          <w:i/>
          <w:lang w:val="nl-BE"/>
        </w:rPr>
      </w:pPr>
    </w:p>
    <w:p w:rsidR="00FD3FA2" w:rsidRPr="009C42EC" w:rsidRDefault="00FD3FA2" w:rsidP="009C42EC">
      <w:pPr>
        <w:rPr>
          <w:lang w:val="en-US"/>
        </w:rPr>
      </w:pPr>
      <w:r w:rsidRPr="009C42EC">
        <w:rPr>
          <w:i/>
          <w:lang w:val="en-US"/>
        </w:rPr>
        <w:t xml:space="preserve">Parl. St. </w:t>
      </w:r>
      <w:proofErr w:type="spellStart"/>
      <w:r w:rsidRPr="009C42EC">
        <w:rPr>
          <w:lang w:val="en-US"/>
        </w:rPr>
        <w:t>Senaat</w:t>
      </w:r>
      <w:proofErr w:type="spellEnd"/>
      <w:r w:rsidRPr="009C42EC">
        <w:rPr>
          <w:lang w:val="en-US"/>
        </w:rPr>
        <w:t xml:space="preserve"> 2000-</w:t>
      </w:r>
      <w:r w:rsidR="009C42EC" w:rsidRPr="009C42EC">
        <w:rPr>
          <w:lang w:val="en-US"/>
        </w:rPr>
        <w:t>01, nr. 2-244</w:t>
      </w:r>
      <w:r w:rsidR="009C42EC">
        <w:rPr>
          <w:lang w:val="en-US"/>
        </w:rPr>
        <w:t>/1.</w:t>
      </w:r>
    </w:p>
    <w:p w:rsidR="009C42EC" w:rsidRDefault="009C42EC" w:rsidP="009C42EC">
      <w:pPr>
        <w:pStyle w:val="Kop3"/>
        <w:spacing w:line="240" w:lineRule="auto"/>
        <w:rPr>
          <w:i/>
          <w:lang w:val="en-US"/>
        </w:rPr>
      </w:pPr>
      <w:bookmarkStart w:id="24" w:name="_Toc287713462"/>
    </w:p>
    <w:p w:rsidR="00D67553" w:rsidRPr="009C42EC" w:rsidRDefault="009C42EC" w:rsidP="009C42EC">
      <w:pPr>
        <w:pStyle w:val="Kop3"/>
        <w:spacing w:line="240" w:lineRule="auto"/>
        <w:rPr>
          <w:lang w:val="en-US"/>
        </w:rPr>
      </w:pPr>
      <w:r w:rsidRPr="009C42EC">
        <w:rPr>
          <w:i/>
          <w:lang w:val="en-US"/>
        </w:rPr>
        <w:t xml:space="preserve">Parl. St. </w:t>
      </w:r>
      <w:proofErr w:type="spellStart"/>
      <w:r w:rsidRPr="009C42EC">
        <w:rPr>
          <w:lang w:val="en-US"/>
        </w:rPr>
        <w:t>Senaat</w:t>
      </w:r>
      <w:proofErr w:type="spellEnd"/>
      <w:r w:rsidRPr="009C42EC">
        <w:rPr>
          <w:lang w:val="en-US"/>
        </w:rPr>
        <w:t xml:space="preserve"> 2000-01, nr. 2-244/3.</w:t>
      </w:r>
    </w:p>
    <w:p w:rsidR="009C42EC" w:rsidRDefault="009C42EC" w:rsidP="009C42EC">
      <w:pPr>
        <w:pStyle w:val="Kop3"/>
        <w:spacing w:line="240" w:lineRule="auto"/>
        <w:rPr>
          <w:i/>
          <w:lang w:val="en-US"/>
        </w:rPr>
      </w:pPr>
    </w:p>
    <w:p w:rsidR="009C42EC" w:rsidRDefault="009C42EC" w:rsidP="009C42EC">
      <w:pPr>
        <w:pStyle w:val="Kop3"/>
        <w:spacing w:line="240" w:lineRule="auto"/>
        <w:rPr>
          <w:lang w:val="en-US"/>
        </w:rPr>
      </w:pPr>
      <w:r w:rsidRPr="009C42EC">
        <w:rPr>
          <w:i/>
          <w:lang w:val="en-US"/>
        </w:rPr>
        <w:t xml:space="preserve">Parl. St. </w:t>
      </w:r>
      <w:proofErr w:type="spellStart"/>
      <w:r w:rsidRPr="009C42EC">
        <w:rPr>
          <w:lang w:val="en-US"/>
        </w:rPr>
        <w:t>Senaat</w:t>
      </w:r>
      <w:proofErr w:type="spellEnd"/>
      <w:r w:rsidRPr="009C42EC">
        <w:rPr>
          <w:lang w:val="en-US"/>
        </w:rPr>
        <w:t xml:space="preserve"> 2000-01, nr. 2-244</w:t>
      </w:r>
      <w:r>
        <w:rPr>
          <w:lang w:val="en-US"/>
        </w:rPr>
        <w:t>/8.</w:t>
      </w:r>
    </w:p>
    <w:p w:rsidR="009C42EC" w:rsidRDefault="009C42EC" w:rsidP="009C42EC">
      <w:pPr>
        <w:pStyle w:val="Kop3"/>
        <w:spacing w:line="240" w:lineRule="auto"/>
        <w:rPr>
          <w:i/>
          <w:lang w:val="en-US"/>
        </w:rPr>
      </w:pPr>
    </w:p>
    <w:p w:rsidR="009C42EC" w:rsidRDefault="009C42EC" w:rsidP="009C42EC">
      <w:pPr>
        <w:pStyle w:val="Kop3"/>
        <w:spacing w:line="240" w:lineRule="auto"/>
        <w:rPr>
          <w:lang w:val="en-US"/>
        </w:rPr>
      </w:pPr>
      <w:r w:rsidRPr="009C42EC">
        <w:rPr>
          <w:i/>
          <w:lang w:val="en-US"/>
        </w:rPr>
        <w:t xml:space="preserve">Parl. St. </w:t>
      </w:r>
      <w:proofErr w:type="spellStart"/>
      <w:r w:rsidRPr="009C42EC">
        <w:rPr>
          <w:lang w:val="en-US"/>
        </w:rPr>
        <w:t>Senaat</w:t>
      </w:r>
      <w:proofErr w:type="spellEnd"/>
      <w:r w:rsidRPr="009C42EC">
        <w:rPr>
          <w:lang w:val="en-US"/>
        </w:rPr>
        <w:t xml:space="preserve"> 2000-01, nr. 2-244</w:t>
      </w:r>
      <w:r>
        <w:rPr>
          <w:lang w:val="en-US"/>
        </w:rPr>
        <w:t>/22.</w:t>
      </w:r>
    </w:p>
    <w:p w:rsidR="009C42EC" w:rsidRPr="00F744CE" w:rsidRDefault="009C42EC" w:rsidP="009C42EC">
      <w:pPr>
        <w:rPr>
          <w:i/>
          <w:lang w:val="en-US"/>
        </w:rPr>
      </w:pPr>
    </w:p>
    <w:p w:rsidR="009C42EC" w:rsidRPr="009C42EC" w:rsidRDefault="009C42EC" w:rsidP="009C42EC">
      <w:pPr>
        <w:rPr>
          <w:lang w:val="nl-BE"/>
        </w:rPr>
      </w:pPr>
      <w:r w:rsidRPr="00F744CE">
        <w:rPr>
          <w:i/>
          <w:lang w:val="en-US"/>
        </w:rPr>
        <w:t xml:space="preserve">Parl. </w:t>
      </w:r>
      <w:r w:rsidRPr="003D092C">
        <w:rPr>
          <w:i/>
          <w:lang w:val="nl-BE"/>
        </w:rPr>
        <w:t>St.</w:t>
      </w:r>
      <w:r>
        <w:rPr>
          <w:lang w:val="nl-BE"/>
        </w:rPr>
        <w:t xml:space="preserve"> Kamer 2001-</w:t>
      </w:r>
      <w:r w:rsidRPr="001D4E8F">
        <w:rPr>
          <w:lang w:val="nl-BE"/>
        </w:rPr>
        <w:t>02, nr. 148</w:t>
      </w:r>
      <w:r>
        <w:rPr>
          <w:lang w:val="nl-BE"/>
        </w:rPr>
        <w:t xml:space="preserve">8/4. </w:t>
      </w:r>
    </w:p>
    <w:p w:rsidR="009C42EC" w:rsidRDefault="009C42EC" w:rsidP="009C42EC">
      <w:pPr>
        <w:rPr>
          <w:i/>
          <w:lang w:val="nl-BE"/>
        </w:rPr>
      </w:pPr>
    </w:p>
    <w:p w:rsidR="009C42EC" w:rsidRDefault="009C42EC" w:rsidP="009C42EC">
      <w:pPr>
        <w:rPr>
          <w:i/>
          <w:lang w:val="nl-BE"/>
        </w:rPr>
      </w:pPr>
      <w:proofErr w:type="spellStart"/>
      <w:r w:rsidRPr="003D092C">
        <w:rPr>
          <w:i/>
          <w:lang w:val="nl-BE"/>
        </w:rPr>
        <w:t>Parl</w:t>
      </w:r>
      <w:proofErr w:type="spellEnd"/>
      <w:r w:rsidRPr="003D092C">
        <w:rPr>
          <w:i/>
          <w:lang w:val="nl-BE"/>
        </w:rPr>
        <w:t>. St.</w:t>
      </w:r>
      <w:r>
        <w:rPr>
          <w:lang w:val="nl-BE"/>
        </w:rPr>
        <w:t xml:space="preserve"> Kamer 2001-</w:t>
      </w:r>
      <w:r w:rsidRPr="001D4E8F">
        <w:rPr>
          <w:lang w:val="nl-BE"/>
        </w:rPr>
        <w:t>02, nr. 148</w:t>
      </w:r>
      <w:r>
        <w:rPr>
          <w:lang w:val="nl-BE"/>
        </w:rPr>
        <w:t>8/9.</w:t>
      </w:r>
    </w:p>
    <w:p w:rsidR="009C42EC" w:rsidRDefault="009C42EC" w:rsidP="009C42EC">
      <w:pPr>
        <w:pStyle w:val="Kop3"/>
        <w:spacing w:line="240" w:lineRule="auto"/>
        <w:rPr>
          <w:i/>
        </w:rPr>
      </w:pPr>
    </w:p>
    <w:p w:rsidR="00FD3FA2" w:rsidRDefault="00FD3FA2" w:rsidP="009C42EC">
      <w:pPr>
        <w:pStyle w:val="Kop3"/>
        <w:spacing w:line="240" w:lineRule="auto"/>
      </w:pPr>
      <w:bookmarkStart w:id="25" w:name="_Toc287994140"/>
      <w:bookmarkStart w:id="26" w:name="_Toc287994246"/>
      <w:r w:rsidRPr="00D67553">
        <w:rPr>
          <w:color w:val="000000" w:themeColor="text1"/>
        </w:rPr>
        <w:t xml:space="preserve">Wetsvoorstel </w:t>
      </w:r>
      <w:r w:rsidRPr="00D67553">
        <w:rPr>
          <w:bCs/>
          <w:color w:val="000000" w:themeColor="text1"/>
        </w:rPr>
        <w:t xml:space="preserve">van </w:t>
      </w:r>
      <w:r w:rsidRPr="00D67553">
        <w:rPr>
          <w:color w:val="000000" w:themeColor="text1"/>
        </w:rPr>
        <w:t>28 november 2007 (</w:t>
      </w:r>
      <w:hyperlink r:id="rId19" w:history="1">
        <w:r w:rsidRPr="00D67553">
          <w:rPr>
            <w:color w:val="000000" w:themeColor="text1"/>
          </w:rPr>
          <w:t xml:space="preserve">M. </w:t>
        </w:r>
        <w:proofErr w:type="spellStart"/>
        <w:r w:rsidRPr="00D67553">
          <w:rPr>
            <w:color w:val="000000" w:themeColor="text1"/>
          </w:rPr>
          <w:t>V</w:t>
        </w:r>
        <w:r w:rsidRPr="00D67553">
          <w:rPr>
            <w:smallCaps/>
            <w:color w:val="000000" w:themeColor="text1"/>
          </w:rPr>
          <w:t>anlerberghe</w:t>
        </w:r>
        <w:proofErr w:type="spellEnd"/>
      </w:hyperlink>
      <w:r w:rsidRPr="00D67553">
        <w:rPr>
          <w:color w:val="000000" w:themeColor="text1"/>
        </w:rPr>
        <w:t xml:space="preserve"> en </w:t>
      </w:r>
      <w:hyperlink r:id="rId20" w:history="1">
        <w:r w:rsidRPr="00D67553">
          <w:rPr>
            <w:color w:val="000000" w:themeColor="text1"/>
          </w:rPr>
          <w:t xml:space="preserve">A. </w:t>
        </w:r>
        <w:r w:rsidRPr="00D67553">
          <w:rPr>
            <w:smallCaps/>
            <w:color w:val="000000" w:themeColor="text1"/>
          </w:rPr>
          <w:t xml:space="preserve">Van </w:t>
        </w:r>
        <w:proofErr w:type="spellStart"/>
        <w:r w:rsidRPr="00D67553">
          <w:rPr>
            <w:smallCaps/>
            <w:color w:val="000000" w:themeColor="text1"/>
          </w:rPr>
          <w:t>Nieuwkerke</w:t>
        </w:r>
        <w:proofErr w:type="spellEnd"/>
      </w:hyperlink>
      <w:r w:rsidRPr="00D67553">
        <w:t>)</w:t>
      </w:r>
      <w:r w:rsidRPr="00D67553">
        <w:rPr>
          <w:bCs/>
        </w:rPr>
        <w:t xml:space="preserve"> </w:t>
      </w:r>
      <w:r w:rsidR="00A9257B">
        <w:rPr>
          <w:color w:val="000000" w:themeColor="text1"/>
        </w:rPr>
        <w:t xml:space="preserve">tot </w:t>
      </w:r>
      <w:r w:rsidRPr="00D67553">
        <w:rPr>
          <w:color w:val="000000" w:themeColor="text1"/>
        </w:rPr>
        <w:t>aanvulling van de wet van 28 mei 2002 betreffende de euthanasie, wat minderjarigen betreft</w:t>
      </w:r>
      <w:r w:rsidRPr="00D67553">
        <w:rPr>
          <w:bCs/>
          <w:color w:val="000000" w:themeColor="text1"/>
        </w:rPr>
        <w:t xml:space="preserve">, </w:t>
      </w:r>
      <w:proofErr w:type="spellStart"/>
      <w:r w:rsidRPr="00D67553">
        <w:rPr>
          <w:bCs/>
          <w:i/>
          <w:color w:val="000000" w:themeColor="text1"/>
        </w:rPr>
        <w:t>parl</w:t>
      </w:r>
      <w:proofErr w:type="spellEnd"/>
      <w:r w:rsidRPr="00D67553">
        <w:rPr>
          <w:bCs/>
          <w:i/>
          <w:color w:val="000000" w:themeColor="text1"/>
        </w:rPr>
        <w:t>. St.</w:t>
      </w:r>
      <w:r w:rsidRPr="00D67553">
        <w:rPr>
          <w:bCs/>
          <w:color w:val="000000" w:themeColor="text1"/>
        </w:rPr>
        <w:t xml:space="preserve"> Senaat 2007-2008, nr. </w:t>
      </w:r>
      <w:r w:rsidRPr="00D67553">
        <w:t>4-431/1.</w:t>
      </w:r>
      <w:bookmarkEnd w:id="24"/>
      <w:bookmarkEnd w:id="25"/>
      <w:bookmarkEnd w:id="26"/>
    </w:p>
    <w:p w:rsidR="00D67553" w:rsidRPr="00D67553" w:rsidRDefault="00D67553" w:rsidP="009C42EC">
      <w:pPr>
        <w:pStyle w:val="Kop3"/>
        <w:spacing w:line="240" w:lineRule="auto"/>
      </w:pPr>
    </w:p>
    <w:p w:rsidR="00FD3FA2" w:rsidRDefault="00FD3FA2" w:rsidP="009C42EC">
      <w:pPr>
        <w:jc w:val="both"/>
        <w:rPr>
          <w:bCs/>
          <w:lang w:val="nl-BE" w:eastAsia="ja-JP"/>
        </w:rPr>
      </w:pPr>
      <w:r w:rsidRPr="00D67553">
        <w:rPr>
          <w:bCs/>
          <w:lang w:val="nl-BE" w:eastAsia="ja-JP"/>
        </w:rPr>
        <w:t xml:space="preserve">Wetsvoorstel van 19 december 2007 </w:t>
      </w:r>
      <w:r w:rsidRPr="00D67553">
        <w:rPr>
          <w:lang w:val="nl-BE" w:eastAsia="ja-JP"/>
        </w:rPr>
        <w:t>(</w:t>
      </w:r>
      <w:r w:rsidRPr="00D67553">
        <w:rPr>
          <w:smallCaps/>
          <w:lang w:val="nl-BE" w:eastAsia="ja-JP"/>
        </w:rPr>
        <w:t xml:space="preserve">M. </w:t>
      </w:r>
      <w:proofErr w:type="spellStart"/>
      <w:r w:rsidRPr="00D67553">
        <w:rPr>
          <w:smallCaps/>
          <w:lang w:val="nl-BE" w:eastAsia="ja-JP"/>
        </w:rPr>
        <w:t>Detiège</w:t>
      </w:r>
      <w:proofErr w:type="spellEnd"/>
      <w:r w:rsidRPr="00D67553">
        <w:rPr>
          <w:lang w:val="nl-BE" w:eastAsia="ja-JP"/>
        </w:rPr>
        <w:t>)</w:t>
      </w:r>
      <w:r w:rsidRPr="00D67553">
        <w:t xml:space="preserve"> </w:t>
      </w:r>
      <w:r w:rsidRPr="00D67553">
        <w:rPr>
          <w:bCs/>
          <w:lang w:val="nl-BE" w:eastAsia="ja-JP"/>
        </w:rPr>
        <w:t xml:space="preserve">tot wijziging van de wet van 28 mei 2002 betreffende de euthanasie voor wat betreft minderjarigen, </w:t>
      </w:r>
      <w:proofErr w:type="spellStart"/>
      <w:r w:rsidRPr="00D67553">
        <w:rPr>
          <w:bCs/>
          <w:i/>
          <w:lang w:val="nl-BE" w:eastAsia="ja-JP"/>
        </w:rPr>
        <w:t>Parl</w:t>
      </w:r>
      <w:proofErr w:type="spellEnd"/>
      <w:r w:rsidRPr="00D67553">
        <w:rPr>
          <w:bCs/>
          <w:i/>
          <w:lang w:val="nl-BE" w:eastAsia="ja-JP"/>
        </w:rPr>
        <w:t>. St.</w:t>
      </w:r>
      <w:r w:rsidRPr="00D67553">
        <w:rPr>
          <w:bCs/>
          <w:lang w:val="nl-BE" w:eastAsia="ja-JP"/>
        </w:rPr>
        <w:t xml:space="preserve"> Kamer 2007-2008, nr. 611/1.</w:t>
      </w:r>
    </w:p>
    <w:p w:rsidR="00D67553" w:rsidRPr="00D67553" w:rsidRDefault="00D67553" w:rsidP="009C42EC">
      <w:pPr>
        <w:jc w:val="both"/>
        <w:rPr>
          <w:bCs/>
          <w:lang w:val="nl-BE" w:eastAsia="ja-JP"/>
        </w:rPr>
      </w:pPr>
    </w:p>
    <w:p w:rsidR="00FD3FA2" w:rsidRDefault="00FD3FA2" w:rsidP="009C42EC">
      <w:pPr>
        <w:pStyle w:val="Kop3"/>
        <w:spacing w:line="240" w:lineRule="auto"/>
      </w:pPr>
      <w:bookmarkStart w:id="27" w:name="_Toc287713463"/>
      <w:bookmarkStart w:id="28" w:name="_Toc287994247"/>
      <w:r w:rsidRPr="00D67553">
        <w:t xml:space="preserve">Wetsvoorstel van 26 mei 2008 (P. </w:t>
      </w:r>
      <w:proofErr w:type="spellStart"/>
      <w:r w:rsidRPr="00D67553">
        <w:t>V</w:t>
      </w:r>
      <w:r w:rsidRPr="00D67553">
        <w:rPr>
          <w:smallCaps/>
        </w:rPr>
        <w:t>ankrunkelsven</w:t>
      </w:r>
      <w:proofErr w:type="spellEnd"/>
      <w:r w:rsidRPr="00D67553">
        <w:t xml:space="preserve">) tot aanvulling van de wet van 28 mei 2002 betreffende de euthanasie, wat minderjarigen betreft, </w:t>
      </w:r>
      <w:proofErr w:type="spellStart"/>
      <w:r w:rsidRPr="00D67553">
        <w:rPr>
          <w:i/>
        </w:rPr>
        <w:t>Parl</w:t>
      </w:r>
      <w:proofErr w:type="spellEnd"/>
      <w:r w:rsidRPr="00D67553">
        <w:rPr>
          <w:i/>
        </w:rPr>
        <w:t>. St.</w:t>
      </w:r>
      <w:r w:rsidRPr="00D67553">
        <w:t xml:space="preserve"> Senaat 2007-2008, nr. 4-785/1.</w:t>
      </w:r>
      <w:bookmarkEnd w:id="27"/>
      <w:bookmarkEnd w:id="28"/>
    </w:p>
    <w:p w:rsidR="00D67553" w:rsidRPr="00D67553" w:rsidRDefault="00D67553" w:rsidP="009C42EC">
      <w:pPr>
        <w:pStyle w:val="Kop3"/>
        <w:spacing w:line="240" w:lineRule="auto"/>
      </w:pPr>
    </w:p>
    <w:p w:rsidR="00FD3FA2" w:rsidRDefault="00FD3FA2" w:rsidP="009C42EC">
      <w:pPr>
        <w:pStyle w:val="Kop3"/>
        <w:spacing w:line="240" w:lineRule="auto"/>
      </w:pPr>
      <w:bookmarkStart w:id="29" w:name="_Toc287713464"/>
      <w:bookmarkStart w:id="30" w:name="_Toc287994248"/>
      <w:r w:rsidRPr="00D67553">
        <w:t xml:space="preserve">Wetsvoorstel van 16 september 2008 </w:t>
      </w:r>
      <w:r w:rsidRPr="00D67553">
        <w:rPr>
          <w:color w:val="000000" w:themeColor="text1"/>
        </w:rPr>
        <w:t>(</w:t>
      </w:r>
      <w:hyperlink r:id="rId21" w:history="1">
        <w:r w:rsidRPr="00D67553">
          <w:rPr>
            <w:rStyle w:val="Hyperlink"/>
            <w:smallCaps/>
            <w:color w:val="000000" w:themeColor="text1"/>
            <w:u w:val="none"/>
          </w:rPr>
          <w:t xml:space="preserve">J-J. De </w:t>
        </w:r>
        <w:proofErr w:type="spellStart"/>
        <w:r w:rsidRPr="00D67553">
          <w:rPr>
            <w:rStyle w:val="Hyperlink"/>
            <w:smallCaps/>
            <w:color w:val="000000" w:themeColor="text1"/>
            <w:u w:val="none"/>
          </w:rPr>
          <w:t>Gucht</w:t>
        </w:r>
        <w:proofErr w:type="spellEnd"/>
      </w:hyperlink>
      <w:r w:rsidRPr="00D67553">
        <w:rPr>
          <w:smallCaps/>
          <w:color w:val="000000" w:themeColor="text1"/>
        </w:rPr>
        <w:t xml:space="preserve">, </w:t>
      </w:r>
      <w:hyperlink r:id="rId22" w:history="1">
        <w:r w:rsidRPr="00D67553">
          <w:rPr>
            <w:rStyle w:val="Hyperlink"/>
            <w:smallCaps/>
            <w:color w:val="000000" w:themeColor="text1"/>
            <w:u w:val="none"/>
          </w:rPr>
          <w:t>P. Wille</w:t>
        </w:r>
      </w:hyperlink>
      <w:r w:rsidRPr="00D67553">
        <w:rPr>
          <w:smallCaps/>
          <w:color w:val="000000" w:themeColor="text1"/>
        </w:rPr>
        <w:t xml:space="preserve">, </w:t>
      </w:r>
      <w:hyperlink r:id="rId23" w:history="1">
        <w:r w:rsidRPr="00D67553">
          <w:rPr>
            <w:rStyle w:val="Hyperlink"/>
            <w:smallCaps/>
            <w:color w:val="000000" w:themeColor="text1"/>
            <w:u w:val="none"/>
          </w:rPr>
          <w:t xml:space="preserve">P. </w:t>
        </w:r>
        <w:proofErr w:type="spellStart"/>
        <w:r w:rsidRPr="00D67553">
          <w:rPr>
            <w:rStyle w:val="Hyperlink"/>
            <w:smallCaps/>
            <w:color w:val="000000" w:themeColor="text1"/>
            <w:u w:val="none"/>
          </w:rPr>
          <w:t>Vankrunkelsven</w:t>
        </w:r>
        <w:proofErr w:type="spellEnd"/>
      </w:hyperlink>
      <w:r w:rsidRPr="00D67553">
        <w:rPr>
          <w:color w:val="000000" w:themeColor="text1"/>
        </w:rPr>
        <w:t xml:space="preserve"> en </w:t>
      </w:r>
      <w:hyperlink r:id="rId24" w:history="1">
        <w:r w:rsidRPr="00D67553">
          <w:rPr>
            <w:rStyle w:val="Hyperlink"/>
            <w:smallCaps/>
            <w:color w:val="000000" w:themeColor="text1"/>
            <w:u w:val="none"/>
          </w:rPr>
          <w:t xml:space="preserve">M. </w:t>
        </w:r>
        <w:proofErr w:type="spellStart"/>
        <w:r w:rsidRPr="00D67553">
          <w:rPr>
            <w:rStyle w:val="Hyperlink"/>
            <w:smallCaps/>
            <w:color w:val="000000" w:themeColor="text1"/>
            <w:u w:val="none"/>
          </w:rPr>
          <w:t>Taelman</w:t>
        </w:r>
        <w:proofErr w:type="spellEnd"/>
      </w:hyperlink>
      <w:r w:rsidRPr="00D67553">
        <w:rPr>
          <w:color w:val="000000" w:themeColor="text1"/>
        </w:rPr>
        <w:t xml:space="preserve">) </w:t>
      </w:r>
      <w:r w:rsidRPr="00D67553">
        <w:t xml:space="preserve">tot wijziging van artikel 3 van de wet van 28 mei 2002 betreffende de euthanasie,  inzake euthanasie bij minderjarigen, </w:t>
      </w:r>
      <w:proofErr w:type="spellStart"/>
      <w:r w:rsidRPr="00D67553">
        <w:rPr>
          <w:i/>
        </w:rPr>
        <w:t>Parl</w:t>
      </w:r>
      <w:proofErr w:type="spellEnd"/>
      <w:r w:rsidRPr="00D67553">
        <w:rPr>
          <w:i/>
        </w:rPr>
        <w:t>. St.</w:t>
      </w:r>
      <w:r w:rsidRPr="00D67553">
        <w:t xml:space="preserve"> Senaat 2007-2008, nr. 4-920/1.</w:t>
      </w:r>
      <w:bookmarkEnd w:id="29"/>
      <w:bookmarkEnd w:id="30"/>
    </w:p>
    <w:p w:rsidR="00D67553" w:rsidRPr="00D67553" w:rsidRDefault="00D67553" w:rsidP="009C42EC">
      <w:pPr>
        <w:pStyle w:val="Kop3"/>
        <w:spacing w:line="240" w:lineRule="auto"/>
        <w:rPr>
          <w:color w:val="000000" w:themeColor="text1"/>
        </w:rPr>
      </w:pPr>
    </w:p>
    <w:p w:rsidR="00FD3FA2" w:rsidRDefault="00FD3FA2" w:rsidP="009C42EC">
      <w:pPr>
        <w:pStyle w:val="Kop3"/>
        <w:spacing w:line="240" w:lineRule="auto"/>
      </w:pPr>
      <w:bookmarkStart w:id="31" w:name="_Toc287713465"/>
      <w:bookmarkStart w:id="32" w:name="_Toc287994249"/>
      <w:r w:rsidRPr="00D67553">
        <w:t>Wetsvoorstel van 23 september 2010 (</w:t>
      </w:r>
      <w:hyperlink r:id="rId25" w:history="1">
        <w:r w:rsidRPr="00D67553">
          <w:rPr>
            <w:rStyle w:val="Hyperlink"/>
            <w:smallCaps/>
            <w:color w:val="000000" w:themeColor="text1"/>
            <w:u w:val="none"/>
          </w:rPr>
          <w:t xml:space="preserve">C. </w:t>
        </w:r>
        <w:proofErr w:type="spellStart"/>
        <w:r w:rsidRPr="00D67553">
          <w:rPr>
            <w:rStyle w:val="Hyperlink"/>
            <w:smallCaps/>
            <w:color w:val="000000" w:themeColor="text1"/>
            <w:u w:val="none"/>
          </w:rPr>
          <w:t>Defraigne</w:t>
        </w:r>
        <w:proofErr w:type="spellEnd"/>
      </w:hyperlink>
      <w:r w:rsidRPr="00D67553">
        <w:t xml:space="preserve">) tot wijziging van de wet van 28 mei 2002 betreffende de euthanasie wat minderjarigen van vijftien jaar en ouder betreft, </w:t>
      </w:r>
      <w:proofErr w:type="spellStart"/>
      <w:r w:rsidRPr="00D67553">
        <w:rPr>
          <w:i/>
        </w:rPr>
        <w:t>Parl</w:t>
      </w:r>
      <w:proofErr w:type="spellEnd"/>
      <w:r w:rsidRPr="00D67553">
        <w:rPr>
          <w:i/>
        </w:rPr>
        <w:t>. St.</w:t>
      </w:r>
      <w:r w:rsidRPr="00D67553">
        <w:t xml:space="preserve"> Senaat BZ 2010, nr. 5-179/1.</w:t>
      </w:r>
      <w:bookmarkEnd w:id="31"/>
      <w:bookmarkEnd w:id="32"/>
    </w:p>
    <w:p w:rsidR="00375610" w:rsidRPr="00D67553" w:rsidRDefault="00375610" w:rsidP="009C42EC">
      <w:pPr>
        <w:pStyle w:val="Kop3"/>
        <w:spacing w:line="240" w:lineRule="auto"/>
      </w:pPr>
    </w:p>
    <w:p w:rsidR="00FD3FA2" w:rsidRPr="00D67553" w:rsidRDefault="00FD3FA2" w:rsidP="009C42EC">
      <w:pPr>
        <w:jc w:val="both"/>
        <w:rPr>
          <w:color w:val="000000" w:themeColor="text1"/>
          <w:lang w:val="nl-BE"/>
        </w:rPr>
      </w:pPr>
      <w:r w:rsidRPr="00D67553">
        <w:rPr>
          <w:bCs/>
          <w:color w:val="000000" w:themeColor="text1"/>
        </w:rPr>
        <w:t>Wetsvoorstel van 28 oktober 2010 (</w:t>
      </w:r>
      <w:r w:rsidRPr="00D67553">
        <w:rPr>
          <w:smallCaps/>
          <w:lang w:val="nl-BE"/>
        </w:rPr>
        <w:t xml:space="preserve">M. </w:t>
      </w:r>
      <w:proofErr w:type="spellStart"/>
      <w:r w:rsidRPr="00D67553">
        <w:rPr>
          <w:smallCaps/>
          <w:lang w:val="nl-BE"/>
        </w:rPr>
        <w:t>Vanlerberghe</w:t>
      </w:r>
      <w:proofErr w:type="spellEnd"/>
      <w:r w:rsidRPr="00D67553">
        <w:rPr>
          <w:smallCaps/>
          <w:color w:val="000000" w:themeColor="text1"/>
          <w:lang w:val="nl-BE"/>
        </w:rPr>
        <w:t xml:space="preserve">, </w:t>
      </w:r>
      <w:r w:rsidRPr="00D67553">
        <w:rPr>
          <w:smallCaps/>
          <w:lang w:val="nl-BE"/>
        </w:rPr>
        <w:t xml:space="preserve">R. </w:t>
      </w:r>
      <w:proofErr w:type="spellStart"/>
      <w:r w:rsidRPr="00D67553">
        <w:rPr>
          <w:smallCaps/>
          <w:lang w:val="nl-BE"/>
        </w:rPr>
        <w:t>Landuyt</w:t>
      </w:r>
      <w:proofErr w:type="spellEnd"/>
      <w:r w:rsidRPr="00D67553">
        <w:rPr>
          <w:smallCaps/>
          <w:color w:val="000000" w:themeColor="text1"/>
        </w:rPr>
        <w:t>,</w:t>
      </w:r>
      <w:r w:rsidRPr="00D67553">
        <w:rPr>
          <w:smallCaps/>
          <w:color w:val="000000" w:themeColor="text1"/>
          <w:lang w:val="nl-BE"/>
        </w:rPr>
        <w:t xml:space="preserve"> </w:t>
      </w:r>
      <w:hyperlink r:id="rId26" w:history="1">
        <w:r w:rsidRPr="00D67553">
          <w:rPr>
            <w:rStyle w:val="Hyperlink"/>
            <w:smallCaps/>
            <w:color w:val="000000" w:themeColor="text1"/>
            <w:u w:val="none"/>
            <w:lang w:val="nl-BE"/>
          </w:rPr>
          <w:t xml:space="preserve">M. </w:t>
        </w:r>
        <w:proofErr w:type="spellStart"/>
        <w:r w:rsidRPr="00D67553">
          <w:rPr>
            <w:rStyle w:val="Hyperlink"/>
            <w:smallCaps/>
            <w:color w:val="000000" w:themeColor="text1"/>
            <w:u w:val="none"/>
            <w:lang w:val="nl-BE"/>
          </w:rPr>
          <w:t>Detiège</w:t>
        </w:r>
        <w:proofErr w:type="spellEnd"/>
      </w:hyperlink>
      <w:r w:rsidRPr="00D67553">
        <w:rPr>
          <w:bCs/>
          <w:color w:val="000000" w:themeColor="text1"/>
        </w:rPr>
        <w:t xml:space="preserve">) tot aanvulling van de wet van 28 mei 2002 betreffende de euthanasie, wat minderjarigen betreft, </w:t>
      </w:r>
      <w:proofErr w:type="spellStart"/>
      <w:r w:rsidRPr="00D67553">
        <w:rPr>
          <w:bCs/>
          <w:i/>
          <w:color w:val="000000" w:themeColor="text1"/>
        </w:rPr>
        <w:t>Parl</w:t>
      </w:r>
      <w:proofErr w:type="spellEnd"/>
      <w:r w:rsidRPr="00D67553">
        <w:rPr>
          <w:bCs/>
          <w:i/>
          <w:color w:val="000000" w:themeColor="text1"/>
        </w:rPr>
        <w:t>. St.</w:t>
      </w:r>
      <w:r w:rsidRPr="00D67553">
        <w:rPr>
          <w:bCs/>
          <w:color w:val="000000" w:themeColor="text1"/>
        </w:rPr>
        <w:t xml:space="preserve"> Kamer 2010-2011, nr. </w:t>
      </w:r>
      <w:r w:rsidRPr="00D67553">
        <w:t>0496/001</w:t>
      </w:r>
      <w:r w:rsidRPr="00D67553">
        <w:rPr>
          <w:color w:val="000000" w:themeColor="text1"/>
        </w:rPr>
        <w:t>.</w:t>
      </w:r>
    </w:p>
    <w:p w:rsidR="00FD3FA2" w:rsidRPr="00D67553" w:rsidRDefault="00FD3FA2" w:rsidP="009C42EC">
      <w:pPr>
        <w:jc w:val="both"/>
      </w:pPr>
    </w:p>
    <w:p w:rsidR="00FD3FA2" w:rsidRPr="00D67553" w:rsidRDefault="00FD3FA2" w:rsidP="009C42EC">
      <w:pPr>
        <w:autoSpaceDE w:val="0"/>
        <w:autoSpaceDN w:val="0"/>
        <w:adjustRightInd w:val="0"/>
        <w:jc w:val="both"/>
        <w:rPr>
          <w:lang w:val="nl-BE" w:eastAsia="ja-JP"/>
        </w:rPr>
      </w:pPr>
      <w:r w:rsidRPr="00D67553">
        <w:rPr>
          <w:bCs/>
          <w:lang w:val="nl-BE" w:eastAsia="ja-JP"/>
        </w:rPr>
        <w:t xml:space="preserve">Wetsvoorstel van 16 augustus 2010 </w:t>
      </w:r>
      <w:r w:rsidRPr="00D67553">
        <w:rPr>
          <w:lang w:val="nl-BE" w:eastAsia="ja-JP"/>
        </w:rPr>
        <w:t xml:space="preserve">(A. </w:t>
      </w:r>
      <w:r w:rsidRPr="00D67553">
        <w:rPr>
          <w:smallCaps/>
          <w:lang w:val="nl-BE" w:eastAsia="ja-JP"/>
        </w:rPr>
        <w:t xml:space="preserve">De </w:t>
      </w:r>
      <w:proofErr w:type="spellStart"/>
      <w:r w:rsidRPr="00D67553">
        <w:rPr>
          <w:smallCaps/>
          <w:lang w:val="nl-BE" w:eastAsia="ja-JP"/>
        </w:rPr>
        <w:t>Croo</w:t>
      </w:r>
      <w:proofErr w:type="spellEnd"/>
      <w:r w:rsidRPr="00D67553">
        <w:rPr>
          <w:lang w:val="nl-BE" w:eastAsia="ja-JP"/>
        </w:rPr>
        <w:t xml:space="preserve"> et. al.) </w:t>
      </w:r>
      <w:r w:rsidRPr="00D67553">
        <w:rPr>
          <w:bCs/>
          <w:lang w:val="nl-BE" w:eastAsia="ja-JP"/>
        </w:rPr>
        <w:t>tot wijziging van artikel 3 van</w:t>
      </w:r>
      <w:r w:rsidR="00ED1A87" w:rsidRPr="00D67553">
        <w:rPr>
          <w:lang w:val="nl-BE" w:eastAsia="ja-JP"/>
        </w:rPr>
        <w:t xml:space="preserve"> </w:t>
      </w:r>
      <w:r w:rsidRPr="00D67553">
        <w:rPr>
          <w:bCs/>
          <w:lang w:val="nl-BE" w:eastAsia="ja-JP"/>
        </w:rPr>
        <w:t xml:space="preserve">de wet van 28 mei 2002 betreffende de euthanasie, inzake euthanasie bij minderjarigen, </w:t>
      </w:r>
      <w:proofErr w:type="spellStart"/>
      <w:r w:rsidRPr="00D67553">
        <w:rPr>
          <w:bCs/>
          <w:i/>
          <w:lang w:val="nl-BE" w:eastAsia="ja-JP"/>
        </w:rPr>
        <w:t>Parl</w:t>
      </w:r>
      <w:proofErr w:type="spellEnd"/>
      <w:r w:rsidRPr="00D67553">
        <w:rPr>
          <w:bCs/>
          <w:i/>
          <w:lang w:val="nl-BE" w:eastAsia="ja-JP"/>
        </w:rPr>
        <w:t>. St.</w:t>
      </w:r>
      <w:r w:rsidRPr="00D67553">
        <w:rPr>
          <w:bCs/>
          <w:lang w:val="nl-BE" w:eastAsia="ja-JP"/>
        </w:rPr>
        <w:t xml:space="preserve"> Senaat BZ 2010, nr. 5-21/1.</w:t>
      </w:r>
    </w:p>
    <w:p w:rsidR="00FD3FA2" w:rsidRDefault="00FD3FA2" w:rsidP="009C42EC">
      <w:pPr>
        <w:jc w:val="both"/>
      </w:pPr>
    </w:p>
    <w:p w:rsidR="00FD3FA2" w:rsidRPr="009E0005" w:rsidRDefault="00FD3FA2" w:rsidP="009C42EC">
      <w:pPr>
        <w:jc w:val="both"/>
        <w:rPr>
          <w:u w:val="single"/>
          <w:lang w:val="nl-BE"/>
        </w:rPr>
      </w:pPr>
      <w:r>
        <w:rPr>
          <w:lang w:val="nl-BE"/>
        </w:rPr>
        <w:t xml:space="preserve">Raadgevend Comité  voor Bio-ethiek, Advies betreffende de wenselijkheid van een wettelijke regeling van euthanasie, 12 mei 1997, nr. 1, </w:t>
      </w:r>
      <w:r w:rsidRPr="009E0005">
        <w:rPr>
          <w:u w:val="single"/>
          <w:lang w:val="nl-BE"/>
        </w:rPr>
        <w:t>http://www.health.belgium.be/filestore/7946414/Advies1-euthanasie_7946414_nl.pdf</w:t>
      </w:r>
      <w:r w:rsidRPr="001C2E8B">
        <w:rPr>
          <w:lang w:val="nl-BE"/>
        </w:rPr>
        <w:t>.</w:t>
      </w:r>
    </w:p>
    <w:p w:rsidR="00FD3FA2" w:rsidRDefault="00FD3FA2" w:rsidP="009C42EC">
      <w:pPr>
        <w:jc w:val="both"/>
        <w:rPr>
          <w:lang w:val="nl-BE"/>
        </w:rPr>
      </w:pPr>
    </w:p>
    <w:p w:rsidR="00FD3FA2" w:rsidRPr="00750657" w:rsidRDefault="00FD3FA2" w:rsidP="009C42EC">
      <w:pPr>
        <w:jc w:val="both"/>
        <w:rPr>
          <w:lang w:val="nl-BE"/>
        </w:rPr>
      </w:pPr>
      <w:r>
        <w:rPr>
          <w:lang w:val="nl-BE"/>
        </w:rPr>
        <w:lastRenderedPageBreak/>
        <w:t xml:space="preserve">Raadgevend Comité voor Bio-ethiek, Advies betreffende het levensbeëindigend handelen bij </w:t>
      </w:r>
      <w:proofErr w:type="spellStart"/>
      <w:r>
        <w:rPr>
          <w:lang w:val="nl-BE"/>
        </w:rPr>
        <w:t>wilsonb</w:t>
      </w:r>
      <w:r w:rsidR="00556ADB">
        <w:rPr>
          <w:lang w:val="nl-BE"/>
        </w:rPr>
        <w:t>ekwamen</w:t>
      </w:r>
      <w:proofErr w:type="spellEnd"/>
      <w:r w:rsidR="00556ADB">
        <w:rPr>
          <w:lang w:val="nl-BE"/>
        </w:rPr>
        <w:t>, 22 februari 1999, nr.9 en</w:t>
      </w:r>
    </w:p>
    <w:p w:rsidR="00FD3FA2" w:rsidRPr="009E0005" w:rsidRDefault="00FD3FA2" w:rsidP="009C42EC">
      <w:pPr>
        <w:jc w:val="both"/>
        <w:rPr>
          <w:u w:val="single"/>
        </w:rPr>
      </w:pPr>
      <w:r w:rsidRPr="009E0005">
        <w:rPr>
          <w:u w:val="single"/>
        </w:rPr>
        <w:t>http://www.health.belgium.be/filestore/7948443/Advies9-euthanasie_7948443_nl.pdf</w:t>
      </w:r>
      <w:r w:rsidRPr="001C2E8B">
        <w:t>.</w:t>
      </w:r>
    </w:p>
    <w:p w:rsidR="00FD3FA2" w:rsidRDefault="00FD3FA2" w:rsidP="009C42EC">
      <w:pPr>
        <w:jc w:val="both"/>
        <w:rPr>
          <w:lang w:val="nl-BE"/>
        </w:rPr>
      </w:pPr>
    </w:p>
    <w:p w:rsidR="00793673" w:rsidRDefault="00793673" w:rsidP="009C42EC">
      <w:pPr>
        <w:autoSpaceDE w:val="0"/>
        <w:autoSpaceDN w:val="0"/>
        <w:adjustRightInd w:val="0"/>
        <w:jc w:val="both"/>
        <w:rPr>
          <w:u w:val="single"/>
          <w:lang w:val="nl-BE" w:eastAsia="ja-JP"/>
        </w:rPr>
      </w:pPr>
      <w:r w:rsidRPr="00180346">
        <w:rPr>
          <w:lang w:val="nl-BE" w:eastAsia="ja-JP"/>
        </w:rPr>
        <w:t>Advies van de Nationale Raad van de Orde v</w:t>
      </w:r>
      <w:r w:rsidR="002B2429">
        <w:rPr>
          <w:lang w:val="nl-BE" w:eastAsia="ja-JP"/>
        </w:rPr>
        <w:t>an g</w:t>
      </w:r>
      <w:r w:rsidRPr="00180346">
        <w:rPr>
          <w:lang w:val="nl-BE" w:eastAsia="ja-JP"/>
        </w:rPr>
        <w:t xml:space="preserve">eneesheren betreffende de medische betrokkenheid bij het naderende levenseinde, </w:t>
      </w:r>
      <w:r>
        <w:rPr>
          <w:lang w:val="nl-BE" w:eastAsia="ja-JP"/>
        </w:rPr>
        <w:t>euthanasie, 15 januari 2000</w:t>
      </w:r>
      <w:r w:rsidRPr="00180346">
        <w:rPr>
          <w:lang w:val="nl-BE" w:eastAsia="ja-JP"/>
        </w:rPr>
        <w:t xml:space="preserve">, </w:t>
      </w:r>
      <w:r w:rsidRPr="00180346">
        <w:rPr>
          <w:i/>
          <w:iCs/>
          <w:lang w:val="nl-BE" w:eastAsia="ja-JP"/>
        </w:rPr>
        <w:t xml:space="preserve">Tijdschrift van de Nationale </w:t>
      </w:r>
      <w:r w:rsidRPr="00180346">
        <w:rPr>
          <w:i/>
          <w:lang w:val="nl-BE" w:eastAsia="ja-JP"/>
        </w:rPr>
        <w:t>Raad</w:t>
      </w:r>
      <w:r>
        <w:rPr>
          <w:lang w:val="nl-BE" w:eastAsia="ja-JP"/>
        </w:rPr>
        <w:t xml:space="preserve">, nr. 87, 8 en </w:t>
      </w:r>
      <w:r w:rsidR="00556ADB" w:rsidRPr="00556ADB">
        <w:rPr>
          <w:u w:val="single"/>
          <w:lang w:val="nl-BE" w:eastAsia="ja-JP"/>
        </w:rPr>
        <w:t>www.ordomedic.be/nl/adviezen/advies/advies-van-de-nationale-raad-van-de-orde-der-geneesheren-betreffende-de-medische-betrokkenheid-bij-het-naderende-levenseinde-euthanasie</w:t>
      </w:r>
      <w:r w:rsidRPr="001C2E8B">
        <w:rPr>
          <w:lang w:val="nl-BE" w:eastAsia="ja-JP"/>
        </w:rPr>
        <w:t>.</w:t>
      </w:r>
    </w:p>
    <w:p w:rsidR="00556ADB" w:rsidRDefault="00556ADB" w:rsidP="009C42EC">
      <w:pPr>
        <w:autoSpaceDE w:val="0"/>
        <w:autoSpaceDN w:val="0"/>
        <w:adjustRightInd w:val="0"/>
        <w:jc w:val="both"/>
        <w:rPr>
          <w:u w:val="single"/>
          <w:lang w:val="nl-BE" w:eastAsia="ja-JP"/>
        </w:rPr>
      </w:pPr>
    </w:p>
    <w:p w:rsidR="00556ADB" w:rsidRPr="00556ADB" w:rsidRDefault="00556ADB" w:rsidP="009C42EC">
      <w:pPr>
        <w:autoSpaceDE w:val="0"/>
        <w:autoSpaceDN w:val="0"/>
        <w:adjustRightInd w:val="0"/>
        <w:rPr>
          <w:u w:val="single"/>
          <w:lang w:val="nl-BE" w:eastAsia="ja-JP"/>
        </w:rPr>
      </w:pPr>
      <w:r w:rsidRPr="00556ADB">
        <w:rPr>
          <w:lang w:val="nl-BE" w:eastAsia="ja-JP"/>
        </w:rPr>
        <w:t xml:space="preserve">Advies van de </w:t>
      </w:r>
      <w:r w:rsidR="002B2429">
        <w:rPr>
          <w:lang w:val="nl-BE" w:eastAsia="ja-JP"/>
        </w:rPr>
        <w:t>Nationale Raad van de Orde van g</w:t>
      </w:r>
      <w:r w:rsidRPr="00556ADB">
        <w:rPr>
          <w:lang w:val="nl-BE" w:eastAsia="ja-JP"/>
        </w:rPr>
        <w:t xml:space="preserve">eneesheren betreffende euthanasie, 17 november 2001, </w:t>
      </w:r>
      <w:r w:rsidRPr="00556ADB">
        <w:rPr>
          <w:i/>
          <w:iCs/>
          <w:lang w:val="nl-BE" w:eastAsia="ja-JP"/>
        </w:rPr>
        <w:t xml:space="preserve">Tijdschrift van de Nationale </w:t>
      </w:r>
      <w:r w:rsidRPr="00556ADB">
        <w:rPr>
          <w:i/>
          <w:lang w:val="nl-BE" w:eastAsia="ja-JP"/>
        </w:rPr>
        <w:t>Raad</w:t>
      </w:r>
      <w:r w:rsidRPr="00556ADB">
        <w:t>,  nr. 94, 2 en</w:t>
      </w:r>
      <w:r>
        <w:t xml:space="preserve"> </w:t>
      </w:r>
      <w:r w:rsidRPr="00556ADB">
        <w:rPr>
          <w:rFonts w:eastAsia="Times New Roman"/>
          <w:bCs/>
          <w:u w:val="single"/>
          <w:lang w:val="nl-BE" w:eastAsia="ja-JP"/>
        </w:rPr>
        <w:t>http://www.ordomedic.be/nl/adviezen/advies/euthanasie-1</w:t>
      </w:r>
      <w:r w:rsidRPr="001C2E8B">
        <w:rPr>
          <w:rFonts w:eastAsia="Times New Roman"/>
          <w:bCs/>
          <w:lang w:val="nl-BE" w:eastAsia="ja-JP"/>
        </w:rPr>
        <w:t>.</w:t>
      </w:r>
    </w:p>
    <w:p w:rsidR="00793673" w:rsidRPr="00556ADB" w:rsidRDefault="00793673" w:rsidP="009C42EC">
      <w:pPr>
        <w:autoSpaceDE w:val="0"/>
        <w:autoSpaceDN w:val="0"/>
        <w:adjustRightInd w:val="0"/>
        <w:jc w:val="both"/>
        <w:rPr>
          <w:lang w:val="nl-BE"/>
        </w:rPr>
      </w:pPr>
    </w:p>
    <w:p w:rsidR="00793673" w:rsidRPr="001C2E8B" w:rsidRDefault="00793673" w:rsidP="009C42EC">
      <w:pPr>
        <w:autoSpaceDE w:val="0"/>
        <w:autoSpaceDN w:val="0"/>
        <w:adjustRightInd w:val="0"/>
        <w:jc w:val="both"/>
        <w:rPr>
          <w:lang w:val="nl-BE" w:eastAsia="ja-JP"/>
        </w:rPr>
      </w:pPr>
      <w:r w:rsidRPr="00793673">
        <w:rPr>
          <w:lang w:val="nl-BE" w:eastAsia="ja-JP"/>
        </w:rPr>
        <w:t xml:space="preserve">Advies </w:t>
      </w:r>
      <w:r w:rsidR="00556ADB">
        <w:rPr>
          <w:lang w:val="nl-BE" w:eastAsia="ja-JP"/>
        </w:rPr>
        <w:t xml:space="preserve">van de </w:t>
      </w:r>
      <w:r w:rsidR="002B2429">
        <w:rPr>
          <w:lang w:val="nl-BE" w:eastAsia="ja-JP"/>
        </w:rPr>
        <w:t>Nationale Raad van de Orde van g</w:t>
      </w:r>
      <w:r w:rsidR="00556ADB">
        <w:rPr>
          <w:lang w:val="nl-BE" w:eastAsia="ja-JP"/>
        </w:rPr>
        <w:t xml:space="preserve">eneesheren </w:t>
      </w:r>
      <w:r w:rsidRPr="00793673">
        <w:rPr>
          <w:lang w:val="nl-BE" w:eastAsia="ja-JP"/>
        </w:rPr>
        <w:t xml:space="preserve">betreffende de </w:t>
      </w:r>
      <w:proofErr w:type="spellStart"/>
      <w:r w:rsidRPr="00793673">
        <w:rPr>
          <w:lang w:val="nl-BE" w:eastAsia="ja-JP"/>
        </w:rPr>
        <w:t>palliatieve</w:t>
      </w:r>
      <w:proofErr w:type="spellEnd"/>
      <w:r w:rsidRPr="00793673">
        <w:rPr>
          <w:lang w:val="nl-BE" w:eastAsia="ja-JP"/>
        </w:rPr>
        <w:t xml:space="preserve"> zorg, euthanasie en andere medische beslissingen omtrent het levenseinde, 22 maart 2003, </w:t>
      </w:r>
      <w:r w:rsidRPr="00793673">
        <w:rPr>
          <w:i/>
          <w:iCs/>
          <w:lang w:val="nl-BE" w:eastAsia="ja-JP"/>
        </w:rPr>
        <w:t xml:space="preserve">Tijdschrift van de Nationale Raad, </w:t>
      </w:r>
      <w:r w:rsidRPr="00793673">
        <w:rPr>
          <w:lang w:val="nl-BE" w:eastAsia="ja-JP"/>
        </w:rPr>
        <w:t>nr. 100, 5 en</w:t>
      </w:r>
      <w:r>
        <w:rPr>
          <w:lang w:val="nl-BE" w:eastAsia="ja-JP"/>
        </w:rPr>
        <w:t xml:space="preserve"> </w:t>
      </w:r>
      <w:r w:rsidRPr="00793673">
        <w:rPr>
          <w:u w:val="single"/>
          <w:lang w:val="nl-BE" w:eastAsia="ja-JP"/>
        </w:rPr>
        <w:t>www.ordomedic.be/nl/adviezen/advies/advies-betreffende-palliatieve-zorg-euthanasie-en-andere-medische-beslissingen-omtrent-het-levenseinde</w:t>
      </w:r>
      <w:r w:rsidR="001C2E8B">
        <w:rPr>
          <w:lang w:val="nl-BE" w:eastAsia="ja-JP"/>
        </w:rPr>
        <w:t>.</w:t>
      </w:r>
    </w:p>
    <w:p w:rsidR="00FD3FA2" w:rsidRDefault="00FD3FA2" w:rsidP="009C42EC">
      <w:pPr>
        <w:jc w:val="both"/>
        <w:rPr>
          <w:lang w:val="nl-BE"/>
        </w:rPr>
      </w:pPr>
    </w:p>
    <w:p w:rsidR="00FD3FA2" w:rsidRDefault="00556ADB" w:rsidP="009C42EC">
      <w:pPr>
        <w:rPr>
          <w:lang w:val="nl-BE"/>
        </w:rPr>
      </w:pPr>
      <w:r>
        <w:rPr>
          <w:rFonts w:eastAsia="Times New Roman"/>
          <w:color w:val="000000"/>
          <w:lang w:val="nl-BE" w:eastAsia="ja-JP"/>
        </w:rPr>
        <w:t xml:space="preserve">KINDERRECHTENCOMMISARIAAT, “Advies: Euthanasie en Minderjarigen bij het wetsvoorstel betreffende de euthanasie”, </w:t>
      </w:r>
      <w:r w:rsidRPr="00556ADB">
        <w:rPr>
          <w:rFonts w:eastAsia="Times New Roman"/>
          <w:color w:val="000000"/>
          <w:u w:val="single"/>
          <w:lang w:val="nl-BE" w:eastAsia="ja-JP"/>
        </w:rPr>
        <w:t>http://www.kinderrechten.be/IUSR/adviezen//Adviezen_pdf/2001_2002/2001-2002_8_Euthanasie_en_minderjarigen_pdf.pdf</w:t>
      </w:r>
      <w:r w:rsidRPr="001C2E8B">
        <w:rPr>
          <w:rFonts w:eastAsia="Times New Roman"/>
          <w:color w:val="000000"/>
          <w:lang w:val="nl-BE" w:eastAsia="ja-JP"/>
        </w:rPr>
        <w:t>.</w:t>
      </w:r>
    </w:p>
    <w:tbl>
      <w:tblPr>
        <w:tblpPr w:leftFromText="141" w:rightFromText="141" w:vertAnchor="text" w:horzAnchor="page" w:tblpX="11650" w:tblpY="4616"/>
        <w:tblW w:w="264" w:type="dxa"/>
        <w:tblCellSpacing w:w="15" w:type="dxa"/>
        <w:tblCellMar>
          <w:top w:w="15" w:type="dxa"/>
          <w:left w:w="15" w:type="dxa"/>
          <w:bottom w:w="15" w:type="dxa"/>
          <w:right w:w="15" w:type="dxa"/>
        </w:tblCellMar>
        <w:tblLook w:val="04A0"/>
      </w:tblPr>
      <w:tblGrid>
        <w:gridCol w:w="84"/>
        <w:gridCol w:w="30"/>
        <w:gridCol w:w="69"/>
        <w:gridCol w:w="33"/>
        <w:gridCol w:w="48"/>
      </w:tblGrid>
      <w:tr w:rsidR="00FD3FA2" w:rsidRPr="003C0B17" w:rsidTr="009B10B3">
        <w:trPr>
          <w:gridBefore w:val="2"/>
          <w:tblCellSpacing w:w="15" w:type="dxa"/>
        </w:trPr>
        <w:tc>
          <w:tcPr>
            <w:tcW w:w="0" w:type="auto"/>
            <w:vAlign w:val="center"/>
            <w:hideMark/>
          </w:tcPr>
          <w:p w:rsidR="00FD3FA2" w:rsidRPr="003C0B17" w:rsidRDefault="00FD3FA2" w:rsidP="009C42EC">
            <w:pPr>
              <w:rPr>
                <w:color w:val="000000"/>
              </w:rPr>
            </w:pPr>
          </w:p>
        </w:tc>
        <w:tc>
          <w:tcPr>
            <w:tcW w:w="0" w:type="auto"/>
            <w:gridSpan w:val="2"/>
            <w:vAlign w:val="center"/>
            <w:hideMark/>
          </w:tcPr>
          <w:p w:rsidR="00FD3FA2" w:rsidRPr="003C0B17" w:rsidRDefault="00FD3FA2" w:rsidP="009C42EC">
            <w:pPr>
              <w:rPr>
                <w:color w:val="000000"/>
              </w:rPr>
            </w:pPr>
          </w:p>
        </w:tc>
      </w:tr>
      <w:tr w:rsidR="00FD3FA2" w:rsidTr="009B10B3">
        <w:trPr>
          <w:gridAfter w:val="1"/>
          <w:tblCellSpacing w:w="15" w:type="dxa"/>
        </w:trPr>
        <w:tc>
          <w:tcPr>
            <w:tcW w:w="0" w:type="auto"/>
            <w:hideMark/>
          </w:tcPr>
          <w:p w:rsidR="00FD3FA2" w:rsidRDefault="00FD3FA2" w:rsidP="009C42EC">
            <w:pPr>
              <w:rPr>
                <w:rFonts w:ascii="Verdana" w:hAnsi="Verdana"/>
                <w:color w:val="000000"/>
              </w:rPr>
            </w:pPr>
          </w:p>
        </w:tc>
        <w:tc>
          <w:tcPr>
            <w:tcW w:w="0" w:type="auto"/>
            <w:gridSpan w:val="3"/>
            <w:vAlign w:val="center"/>
            <w:hideMark/>
          </w:tcPr>
          <w:p w:rsidR="00FD3FA2" w:rsidRDefault="00FD3FA2" w:rsidP="009C42EC">
            <w:pPr>
              <w:rPr>
                <w:rFonts w:ascii="Verdana" w:hAnsi="Verdana"/>
                <w:color w:val="000000"/>
              </w:rPr>
            </w:pPr>
          </w:p>
        </w:tc>
      </w:tr>
      <w:tr w:rsidR="00FD3FA2" w:rsidTr="009B10B3">
        <w:trPr>
          <w:gridAfter w:val="1"/>
          <w:tblCellSpacing w:w="15" w:type="dxa"/>
        </w:trPr>
        <w:tc>
          <w:tcPr>
            <w:tcW w:w="0" w:type="auto"/>
            <w:hideMark/>
          </w:tcPr>
          <w:p w:rsidR="00FD3FA2" w:rsidRDefault="00FD3FA2" w:rsidP="009C42EC">
            <w:pPr>
              <w:rPr>
                <w:rFonts w:ascii="Verdana" w:hAnsi="Verdana"/>
                <w:color w:val="000000"/>
              </w:rPr>
            </w:pPr>
          </w:p>
        </w:tc>
        <w:tc>
          <w:tcPr>
            <w:tcW w:w="0" w:type="auto"/>
            <w:gridSpan w:val="3"/>
            <w:vAlign w:val="center"/>
            <w:hideMark/>
          </w:tcPr>
          <w:p w:rsidR="00FD3FA2" w:rsidRDefault="00FD3FA2" w:rsidP="009C42EC">
            <w:pPr>
              <w:rPr>
                <w:rFonts w:ascii="Verdana" w:hAnsi="Verdana"/>
                <w:color w:val="000000"/>
              </w:rPr>
            </w:pPr>
          </w:p>
        </w:tc>
      </w:tr>
      <w:tr w:rsidR="00FD3FA2" w:rsidTr="009B10B3">
        <w:trPr>
          <w:gridAfter w:val="1"/>
          <w:tblCellSpacing w:w="15" w:type="dxa"/>
        </w:trPr>
        <w:tc>
          <w:tcPr>
            <w:tcW w:w="0" w:type="auto"/>
            <w:hideMark/>
          </w:tcPr>
          <w:p w:rsidR="00FD3FA2" w:rsidRDefault="00FD3FA2" w:rsidP="009C42EC">
            <w:pPr>
              <w:rPr>
                <w:rFonts w:ascii="Verdana" w:hAnsi="Verdana"/>
                <w:color w:val="000000"/>
              </w:rPr>
            </w:pPr>
          </w:p>
        </w:tc>
        <w:tc>
          <w:tcPr>
            <w:tcW w:w="0" w:type="auto"/>
            <w:gridSpan w:val="3"/>
            <w:vAlign w:val="center"/>
            <w:hideMark/>
          </w:tcPr>
          <w:p w:rsidR="00FD3FA2" w:rsidRDefault="00FD3FA2" w:rsidP="009C42EC">
            <w:pPr>
              <w:rPr>
                <w:rFonts w:ascii="Verdana" w:hAnsi="Verdana"/>
                <w:color w:val="000000"/>
              </w:rPr>
            </w:pPr>
          </w:p>
        </w:tc>
      </w:tr>
    </w:tbl>
    <w:p w:rsidR="006F019C" w:rsidRPr="00FD3FA2" w:rsidRDefault="006F019C" w:rsidP="009C42EC">
      <w:pPr>
        <w:spacing w:line="360" w:lineRule="auto"/>
        <w:rPr>
          <w:lang w:val="nl-BE"/>
        </w:rPr>
      </w:pPr>
    </w:p>
    <w:sectPr w:rsidR="006F019C" w:rsidRPr="00FD3FA2" w:rsidSect="001C2E8B">
      <w:footerReference w:type="default" r:id="rId27"/>
      <w:footerReference w:type="first" r:id="rId28"/>
      <w:pgSz w:w="11906" w:h="16838"/>
      <w:pgMar w:top="1440" w:right="1797" w:bottom="1440" w:left="1797"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CDA" w:rsidRDefault="00CB7CDA" w:rsidP="00EC7F8D">
      <w:r>
        <w:separator/>
      </w:r>
    </w:p>
  </w:endnote>
  <w:endnote w:type="continuationSeparator" w:id="0">
    <w:p w:rsidR="00CB7CDA" w:rsidRDefault="00CB7CDA" w:rsidP="00EC7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NormaPr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8244"/>
      <w:docPartObj>
        <w:docPartGallery w:val="Page Numbers (Bottom of Page)"/>
        <w:docPartUnique/>
      </w:docPartObj>
    </w:sdtPr>
    <w:sdtContent>
      <w:p w:rsidR="001A0466" w:rsidRDefault="001A0466">
        <w:pPr>
          <w:pStyle w:val="Voettekst"/>
          <w:jc w:val="right"/>
        </w:pPr>
      </w:p>
    </w:sdtContent>
  </w:sdt>
  <w:p w:rsidR="001A0466" w:rsidRDefault="001A046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8240"/>
      <w:docPartObj>
        <w:docPartGallery w:val="Page Numbers (Bottom of Page)"/>
        <w:docPartUnique/>
      </w:docPartObj>
    </w:sdtPr>
    <w:sdtContent>
      <w:p w:rsidR="001A0466" w:rsidRDefault="001A0466">
        <w:pPr>
          <w:pStyle w:val="Voettekst"/>
          <w:jc w:val="right"/>
        </w:pPr>
      </w:p>
    </w:sdtContent>
  </w:sdt>
  <w:p w:rsidR="001A0466" w:rsidRDefault="001A0466">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8246"/>
      <w:docPartObj>
        <w:docPartGallery w:val="Page Numbers (Bottom of Page)"/>
        <w:docPartUnique/>
      </w:docPartObj>
    </w:sdtPr>
    <w:sdtContent>
      <w:p w:rsidR="001A0466" w:rsidRDefault="001A0466">
        <w:pPr>
          <w:pStyle w:val="Voettekst"/>
          <w:jc w:val="right"/>
        </w:pPr>
        <w:fldSimple w:instr=" PAGE   \* MERGEFORMAT ">
          <w:r w:rsidR="00770CC6">
            <w:rPr>
              <w:noProof/>
            </w:rPr>
            <w:t>28</w:t>
          </w:r>
        </w:fldSimple>
      </w:p>
    </w:sdtContent>
  </w:sdt>
  <w:p w:rsidR="001A0466" w:rsidRDefault="001A0466">
    <w:pPr>
      <w:pStyle w:val="Voettek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8241"/>
      <w:docPartObj>
        <w:docPartGallery w:val="Page Numbers (Bottom of Page)"/>
        <w:docPartUnique/>
      </w:docPartObj>
    </w:sdtPr>
    <w:sdtContent>
      <w:p w:rsidR="001A0466" w:rsidRDefault="001A0466">
        <w:pPr>
          <w:pStyle w:val="Voettekst"/>
          <w:jc w:val="right"/>
        </w:pPr>
        <w:fldSimple w:instr=" PAGE   \* MERGEFORMAT ">
          <w:r>
            <w:rPr>
              <w:noProof/>
            </w:rPr>
            <w:t>1</w:t>
          </w:r>
        </w:fldSimple>
      </w:p>
    </w:sdtContent>
  </w:sdt>
  <w:p w:rsidR="001A0466" w:rsidRDefault="001A046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CDA" w:rsidRDefault="00CB7CDA" w:rsidP="00EC7F8D">
      <w:r>
        <w:separator/>
      </w:r>
    </w:p>
  </w:footnote>
  <w:footnote w:type="continuationSeparator" w:id="0">
    <w:p w:rsidR="00CB7CDA" w:rsidRDefault="00CB7CDA" w:rsidP="00EC7F8D">
      <w:r>
        <w:continuationSeparator/>
      </w:r>
    </w:p>
  </w:footnote>
  <w:footnote w:id="1">
    <w:p w:rsidR="001A0466" w:rsidRPr="00470955" w:rsidRDefault="001A0466" w:rsidP="007A2E27">
      <w:pPr>
        <w:pStyle w:val="Voetnoottekst"/>
        <w:jc w:val="both"/>
        <w:rPr>
          <w:lang w:val="nl-BE"/>
        </w:rPr>
      </w:pPr>
      <w:r w:rsidRPr="00470955">
        <w:rPr>
          <w:rStyle w:val="Voetnootmarkering"/>
        </w:rPr>
        <w:footnoteRef/>
      </w:r>
      <w:r w:rsidRPr="00470955">
        <w:t xml:space="preserve"> Wet 28 mei 2002 betreffende de euthanasie, </w:t>
      </w:r>
      <w:r w:rsidRPr="00470955">
        <w:rPr>
          <w:i/>
          <w:iCs/>
          <w:lang w:val="nl-BE" w:eastAsia="ja-JP"/>
        </w:rPr>
        <w:t xml:space="preserve">BS </w:t>
      </w:r>
      <w:r w:rsidRPr="00470955">
        <w:rPr>
          <w:lang w:val="nl-BE" w:eastAsia="ja-JP"/>
        </w:rPr>
        <w:t xml:space="preserve">22 juni 2002, 28 515. Later gewijzigd door </w:t>
      </w:r>
      <w:r w:rsidRPr="00470955">
        <w:t xml:space="preserve">Wet 10 november 2005  tot aanvulling van de wet van 28 mei 2002 betreffende de </w:t>
      </w:r>
      <w:bookmarkStart w:id="2" w:name="hit1"/>
      <w:bookmarkEnd w:id="2"/>
      <w:r w:rsidRPr="00470955">
        <w:t>euthanasie met bepalingen over de rol van de apotheker en het gebruik en de beschikbaarheid van euthanatica</w:t>
      </w:r>
      <w:r w:rsidRPr="00470955">
        <w:rPr>
          <w:lang w:val="nl-BE" w:eastAsia="ja-JP"/>
        </w:rPr>
        <w:t xml:space="preserve">, </w:t>
      </w:r>
      <w:r w:rsidRPr="00470955">
        <w:rPr>
          <w:i/>
          <w:iCs/>
          <w:lang w:val="nl-BE" w:eastAsia="ja-JP"/>
        </w:rPr>
        <w:t xml:space="preserve">BS </w:t>
      </w:r>
      <w:r w:rsidRPr="00470955">
        <w:rPr>
          <w:lang w:val="nl-BE" w:eastAsia="ja-JP"/>
        </w:rPr>
        <w:t xml:space="preserve">13 december 2005, </w:t>
      </w:r>
      <w:r w:rsidRPr="00470955">
        <w:rPr>
          <w:i/>
          <w:lang w:val="nl-BE" w:eastAsia="ja-JP"/>
        </w:rPr>
        <w:t>erratum BS</w:t>
      </w:r>
      <w:r w:rsidRPr="00470955">
        <w:rPr>
          <w:lang w:val="nl-BE" w:eastAsia="ja-JP"/>
        </w:rPr>
        <w:t xml:space="preserve"> 25 september 2006. </w:t>
      </w:r>
      <w:r>
        <w:rPr>
          <w:lang w:val="nl-BE"/>
        </w:rPr>
        <w:t>Hierna ‘de e</w:t>
      </w:r>
      <w:r w:rsidRPr="00470955">
        <w:rPr>
          <w:lang w:val="nl-BE"/>
        </w:rPr>
        <w:t xml:space="preserve">uthanasiewet’. </w:t>
      </w:r>
    </w:p>
  </w:footnote>
  <w:footnote w:id="2">
    <w:p w:rsidR="001A0466" w:rsidRPr="00470955" w:rsidRDefault="001A0466" w:rsidP="007A2E27">
      <w:pPr>
        <w:jc w:val="both"/>
        <w:rPr>
          <w:sz w:val="20"/>
          <w:szCs w:val="20"/>
          <w:lang w:val="nl-BE"/>
        </w:rPr>
      </w:pPr>
      <w:r w:rsidRPr="00470955">
        <w:rPr>
          <w:rStyle w:val="Voetnootmarkering"/>
          <w:sz w:val="20"/>
          <w:szCs w:val="20"/>
        </w:rPr>
        <w:footnoteRef/>
      </w:r>
      <w:r w:rsidRPr="00470955">
        <w:rPr>
          <w:sz w:val="20"/>
          <w:szCs w:val="20"/>
        </w:rPr>
        <w:t xml:space="preserve"> H. </w:t>
      </w:r>
      <w:proofErr w:type="spellStart"/>
      <w:r w:rsidRPr="00470955">
        <w:rPr>
          <w:smallCaps/>
          <w:sz w:val="20"/>
          <w:szCs w:val="20"/>
          <w:lang w:val="nl-BE"/>
        </w:rPr>
        <w:t>Nys</w:t>
      </w:r>
      <w:proofErr w:type="spellEnd"/>
      <w:r w:rsidRPr="00470955">
        <w:rPr>
          <w:smallCaps/>
          <w:sz w:val="20"/>
          <w:szCs w:val="20"/>
          <w:lang w:val="nl-BE"/>
        </w:rPr>
        <w:t xml:space="preserve">, </w:t>
      </w:r>
      <w:r w:rsidRPr="00470955">
        <w:rPr>
          <w:i/>
          <w:sz w:val="20"/>
          <w:szCs w:val="20"/>
          <w:lang w:val="nl-BE"/>
        </w:rPr>
        <w:t>Medisch recht</w:t>
      </w:r>
      <w:r w:rsidRPr="00470955">
        <w:rPr>
          <w:sz w:val="20"/>
          <w:szCs w:val="20"/>
          <w:lang w:val="nl-BE"/>
        </w:rPr>
        <w:t xml:space="preserve">, Leuven, </w:t>
      </w:r>
      <w:proofErr w:type="spellStart"/>
      <w:r w:rsidRPr="00470955">
        <w:rPr>
          <w:sz w:val="20"/>
          <w:szCs w:val="20"/>
          <w:lang w:val="nl-BE"/>
        </w:rPr>
        <w:t>Acco</w:t>
      </w:r>
      <w:proofErr w:type="spellEnd"/>
      <w:r w:rsidRPr="00470955">
        <w:rPr>
          <w:sz w:val="20"/>
          <w:szCs w:val="20"/>
          <w:lang w:val="nl-BE"/>
        </w:rPr>
        <w:t xml:space="preserve">, 2000, 165. </w:t>
      </w:r>
      <w:r w:rsidRPr="00470955">
        <w:rPr>
          <w:sz w:val="20"/>
          <w:szCs w:val="20"/>
        </w:rPr>
        <w:t xml:space="preserve">Dat men strafbaar zou zijn op basis van doodslag of moord wordt door sommigen betwist. Euthanasie plegen zou dan, wegens gebrek aan verwijzing naar art. 393 e.v. </w:t>
      </w:r>
      <w:proofErr w:type="spellStart"/>
      <w:r w:rsidRPr="00470955">
        <w:rPr>
          <w:sz w:val="20"/>
          <w:szCs w:val="20"/>
        </w:rPr>
        <w:t>Sw</w:t>
      </w:r>
      <w:proofErr w:type="spellEnd"/>
      <w:r w:rsidRPr="00470955">
        <w:rPr>
          <w:sz w:val="20"/>
          <w:szCs w:val="20"/>
        </w:rPr>
        <w:t xml:space="preserve">, een zelfstandig misdrijf zijn. Zie H. </w:t>
      </w:r>
      <w:proofErr w:type="spellStart"/>
      <w:r w:rsidRPr="00470955">
        <w:rPr>
          <w:smallCaps/>
          <w:sz w:val="20"/>
          <w:szCs w:val="20"/>
          <w:lang w:val="nl-BE"/>
        </w:rPr>
        <w:t>Nys</w:t>
      </w:r>
      <w:proofErr w:type="spellEnd"/>
      <w:r w:rsidRPr="00470955">
        <w:rPr>
          <w:smallCaps/>
          <w:sz w:val="20"/>
          <w:szCs w:val="20"/>
          <w:lang w:val="nl-BE"/>
        </w:rPr>
        <w:t xml:space="preserve">, </w:t>
      </w:r>
      <w:r w:rsidRPr="00470955">
        <w:rPr>
          <w:i/>
          <w:sz w:val="20"/>
          <w:szCs w:val="20"/>
          <w:lang w:val="nl-BE"/>
        </w:rPr>
        <w:t>De wet op de euthanasie</w:t>
      </w:r>
      <w:r w:rsidRPr="00470955">
        <w:rPr>
          <w:sz w:val="20"/>
          <w:szCs w:val="20"/>
          <w:lang w:val="nl-BE"/>
        </w:rPr>
        <w:t xml:space="preserve">, Mechelen, </w:t>
      </w:r>
      <w:proofErr w:type="spellStart"/>
      <w:r w:rsidRPr="00470955">
        <w:rPr>
          <w:sz w:val="20"/>
          <w:szCs w:val="20"/>
          <w:lang w:val="nl-BE"/>
        </w:rPr>
        <w:t>Kluwer</w:t>
      </w:r>
      <w:proofErr w:type="spellEnd"/>
      <w:r w:rsidRPr="00470955">
        <w:rPr>
          <w:sz w:val="20"/>
          <w:szCs w:val="20"/>
          <w:lang w:val="nl-BE"/>
        </w:rPr>
        <w:t>, 2004, 15-16.</w:t>
      </w:r>
    </w:p>
  </w:footnote>
  <w:footnote w:id="3">
    <w:p w:rsidR="001A0466" w:rsidRPr="00470955" w:rsidRDefault="001A0466" w:rsidP="007A2E27">
      <w:pPr>
        <w:pStyle w:val="Voetnoottekst"/>
        <w:jc w:val="both"/>
        <w:rPr>
          <w:lang w:val="nl-BE"/>
        </w:rPr>
      </w:pPr>
      <w:r w:rsidRPr="00470955">
        <w:rPr>
          <w:rStyle w:val="Voetnootmarkering"/>
        </w:rPr>
        <w:footnoteRef/>
      </w:r>
      <w:r w:rsidRPr="00470955">
        <w:t xml:space="preserve"> </w:t>
      </w:r>
      <w:r w:rsidRPr="00470955">
        <w:rPr>
          <w:lang w:val="nl-BE" w:eastAsia="ja-JP"/>
        </w:rPr>
        <w:t>T</w:t>
      </w:r>
      <w:r w:rsidRPr="00470955">
        <w:rPr>
          <w:smallCaps/>
          <w:lang w:val="nl-BE" w:eastAsia="ja-JP"/>
        </w:rPr>
        <w:t xml:space="preserve">. </w:t>
      </w:r>
      <w:proofErr w:type="spellStart"/>
      <w:r w:rsidRPr="00470955">
        <w:rPr>
          <w:smallCaps/>
          <w:lang w:val="nl-BE" w:eastAsia="ja-JP"/>
        </w:rPr>
        <w:t>Vansweevelt</w:t>
      </w:r>
      <w:proofErr w:type="spellEnd"/>
      <w:r w:rsidRPr="00470955">
        <w:rPr>
          <w:smallCaps/>
          <w:lang w:val="nl-BE" w:eastAsia="ja-JP"/>
        </w:rPr>
        <w:t xml:space="preserve">, </w:t>
      </w:r>
      <w:r w:rsidRPr="00470955">
        <w:rPr>
          <w:lang w:val="nl-BE"/>
        </w:rPr>
        <w:t xml:space="preserve"> “</w:t>
      </w:r>
      <w:r w:rsidRPr="00470955">
        <w:rPr>
          <w:color w:val="000000"/>
        </w:rPr>
        <w:t xml:space="preserve">De euthanasiewet. De ultieme bevestiging van het zelfbeschikkingsrecht of een gecontroleerde keuzevrijheid?”, </w:t>
      </w:r>
      <w:proofErr w:type="spellStart"/>
      <w:r w:rsidRPr="00470955">
        <w:rPr>
          <w:i/>
          <w:color w:val="000000"/>
        </w:rPr>
        <w:t>T.Gez</w:t>
      </w:r>
      <w:proofErr w:type="spellEnd"/>
      <w:r w:rsidRPr="00470955">
        <w:rPr>
          <w:color w:val="000000"/>
        </w:rPr>
        <w:t>. 2002, afl.4, 221.</w:t>
      </w:r>
    </w:p>
  </w:footnote>
  <w:footnote w:id="4">
    <w:p w:rsidR="001A0466" w:rsidRPr="00470955" w:rsidRDefault="001A0466" w:rsidP="007A2E27">
      <w:pPr>
        <w:jc w:val="both"/>
        <w:rPr>
          <w:sz w:val="20"/>
          <w:szCs w:val="20"/>
          <w:lang w:val="nl-BE"/>
        </w:rPr>
      </w:pPr>
      <w:r w:rsidRPr="00470955">
        <w:rPr>
          <w:rStyle w:val="Voetnootmarkering"/>
          <w:sz w:val="20"/>
          <w:szCs w:val="20"/>
        </w:rPr>
        <w:footnoteRef/>
      </w:r>
      <w:r w:rsidRPr="00470955">
        <w:rPr>
          <w:sz w:val="20"/>
          <w:szCs w:val="20"/>
        </w:rPr>
        <w:t xml:space="preserve"> M. </w:t>
      </w:r>
      <w:r w:rsidRPr="00470955">
        <w:rPr>
          <w:smallCaps/>
          <w:sz w:val="20"/>
          <w:szCs w:val="20"/>
          <w:lang w:val="nl-BE"/>
        </w:rPr>
        <w:t>Adams</w:t>
      </w:r>
      <w:r w:rsidRPr="00470955">
        <w:rPr>
          <w:sz w:val="20"/>
          <w:szCs w:val="20"/>
          <w:lang w:val="nl-BE"/>
        </w:rPr>
        <w:t xml:space="preserve"> en H. </w:t>
      </w:r>
      <w:proofErr w:type="spellStart"/>
      <w:r w:rsidRPr="00470955">
        <w:rPr>
          <w:smallCaps/>
          <w:sz w:val="20"/>
          <w:szCs w:val="20"/>
          <w:lang w:val="nl-BE"/>
        </w:rPr>
        <w:t>Nys</w:t>
      </w:r>
      <w:proofErr w:type="spellEnd"/>
      <w:r w:rsidRPr="00470955">
        <w:rPr>
          <w:sz w:val="20"/>
          <w:szCs w:val="20"/>
          <w:lang w:val="nl-BE"/>
        </w:rPr>
        <w:t xml:space="preserve">, “De Belgische euthanasiewet in rechtsvergelijkend perspectief” in M. </w:t>
      </w:r>
      <w:r w:rsidRPr="00470955">
        <w:rPr>
          <w:smallCaps/>
          <w:sz w:val="20"/>
          <w:szCs w:val="20"/>
          <w:lang w:val="nl-BE"/>
        </w:rPr>
        <w:t xml:space="preserve">Adams, J. </w:t>
      </w:r>
      <w:proofErr w:type="spellStart"/>
      <w:r w:rsidRPr="00470955">
        <w:rPr>
          <w:smallCaps/>
          <w:sz w:val="20"/>
          <w:szCs w:val="20"/>
          <w:lang w:val="nl-BE"/>
        </w:rPr>
        <w:t>Grifiths</w:t>
      </w:r>
      <w:proofErr w:type="spellEnd"/>
      <w:r w:rsidRPr="00470955">
        <w:rPr>
          <w:sz w:val="20"/>
          <w:szCs w:val="20"/>
          <w:lang w:val="nl-BE"/>
        </w:rPr>
        <w:t xml:space="preserve"> en G. </w:t>
      </w:r>
      <w:r w:rsidRPr="00470955">
        <w:rPr>
          <w:smallCaps/>
          <w:sz w:val="20"/>
          <w:szCs w:val="20"/>
          <w:lang w:val="nl-BE"/>
        </w:rPr>
        <w:t xml:space="preserve">den </w:t>
      </w:r>
      <w:proofErr w:type="spellStart"/>
      <w:r w:rsidRPr="00470955">
        <w:rPr>
          <w:smallCaps/>
          <w:sz w:val="20"/>
          <w:szCs w:val="20"/>
          <w:lang w:val="nl-BE"/>
        </w:rPr>
        <w:t>Hartogh</w:t>
      </w:r>
      <w:proofErr w:type="spellEnd"/>
      <w:r w:rsidRPr="00470955">
        <w:rPr>
          <w:smallCaps/>
          <w:sz w:val="20"/>
          <w:szCs w:val="20"/>
          <w:lang w:val="nl-BE"/>
        </w:rPr>
        <w:t xml:space="preserve"> </w:t>
      </w:r>
      <w:r w:rsidRPr="00470955">
        <w:rPr>
          <w:sz w:val="20"/>
          <w:szCs w:val="20"/>
          <w:lang w:val="nl-BE"/>
        </w:rPr>
        <w:t>(</w:t>
      </w:r>
      <w:proofErr w:type="spellStart"/>
      <w:r w:rsidRPr="00470955">
        <w:rPr>
          <w:sz w:val="20"/>
          <w:szCs w:val="20"/>
          <w:lang w:val="nl-BE"/>
        </w:rPr>
        <w:t>eds</w:t>
      </w:r>
      <w:proofErr w:type="spellEnd"/>
      <w:r w:rsidRPr="00470955">
        <w:rPr>
          <w:sz w:val="20"/>
          <w:szCs w:val="20"/>
          <w:lang w:val="nl-BE"/>
        </w:rPr>
        <w:t xml:space="preserve">.), </w:t>
      </w:r>
      <w:r w:rsidRPr="00470955">
        <w:rPr>
          <w:i/>
          <w:sz w:val="20"/>
          <w:szCs w:val="20"/>
          <w:lang w:val="nl-BE"/>
        </w:rPr>
        <w:t>Euthanasie. Nieuwe knelpunten in een voortgezette discussie</w:t>
      </w:r>
      <w:r w:rsidRPr="00470955">
        <w:rPr>
          <w:sz w:val="20"/>
          <w:szCs w:val="20"/>
          <w:lang w:val="nl-BE"/>
        </w:rPr>
        <w:t>, Kampen, Kok, 2003, 37.</w:t>
      </w:r>
    </w:p>
  </w:footnote>
  <w:footnote w:id="5">
    <w:p w:rsidR="001A0466" w:rsidRPr="00470955" w:rsidRDefault="001A0466" w:rsidP="007A2E27">
      <w:pPr>
        <w:pStyle w:val="Voetnoottekst"/>
        <w:jc w:val="both"/>
      </w:pPr>
      <w:r w:rsidRPr="00470955">
        <w:rPr>
          <w:rStyle w:val="Voetnootmarkering"/>
        </w:rPr>
        <w:footnoteRef/>
      </w:r>
      <w:r w:rsidRPr="00470955">
        <w:t xml:space="preserve"> Zie </w:t>
      </w:r>
      <w:proofErr w:type="spellStart"/>
      <w:r w:rsidRPr="00470955">
        <w:rPr>
          <w:i/>
        </w:rPr>
        <w:t>Infra</w:t>
      </w:r>
      <w:proofErr w:type="spellEnd"/>
      <w:r w:rsidRPr="00470955">
        <w:rPr>
          <w:i/>
        </w:rPr>
        <w:t>.</w:t>
      </w:r>
    </w:p>
  </w:footnote>
  <w:footnote w:id="6">
    <w:p w:rsidR="001A0466" w:rsidRPr="00057DDC" w:rsidRDefault="001A0466" w:rsidP="007A2E27">
      <w:pPr>
        <w:pStyle w:val="Voetnoottekst"/>
        <w:jc w:val="both"/>
      </w:pPr>
      <w:r>
        <w:rPr>
          <w:rStyle w:val="Voetnootmarkering"/>
        </w:rPr>
        <w:footnoteRef/>
      </w:r>
      <w:r>
        <w:t xml:space="preserve"> </w:t>
      </w:r>
      <w:r w:rsidRPr="000F4EC1">
        <w:rPr>
          <w:lang w:val="nl-BE" w:eastAsia="ja-JP"/>
        </w:rPr>
        <w:t>T</w:t>
      </w:r>
      <w:r w:rsidRPr="000F4EC1">
        <w:rPr>
          <w:smallCaps/>
          <w:lang w:val="nl-BE" w:eastAsia="ja-JP"/>
        </w:rPr>
        <w:t xml:space="preserve">. </w:t>
      </w:r>
      <w:proofErr w:type="spellStart"/>
      <w:r w:rsidRPr="000F4EC1">
        <w:rPr>
          <w:smallCaps/>
          <w:lang w:val="nl-BE" w:eastAsia="ja-JP"/>
        </w:rPr>
        <w:t>Vansweevelt</w:t>
      </w:r>
      <w:proofErr w:type="spellEnd"/>
      <w:r w:rsidRPr="000F4EC1">
        <w:rPr>
          <w:smallCaps/>
          <w:lang w:val="nl-BE" w:eastAsia="ja-JP"/>
        </w:rPr>
        <w:t xml:space="preserve">, </w:t>
      </w:r>
      <w:r w:rsidRPr="000F4EC1">
        <w:rPr>
          <w:lang w:val="nl-BE"/>
        </w:rPr>
        <w:t xml:space="preserve"> “</w:t>
      </w:r>
      <w:r w:rsidRPr="000F4EC1">
        <w:rPr>
          <w:color w:val="000000"/>
        </w:rPr>
        <w:t xml:space="preserve">De euthanasiewet. De ultieme bevestiging van het zelfbeschikkingsrecht of een gecontroleerde keuzevrijheid?”, </w:t>
      </w:r>
      <w:proofErr w:type="spellStart"/>
      <w:r w:rsidRPr="000F4EC1">
        <w:rPr>
          <w:i/>
          <w:color w:val="000000"/>
        </w:rPr>
        <w:t>T.Gez</w:t>
      </w:r>
      <w:proofErr w:type="spellEnd"/>
      <w:r>
        <w:rPr>
          <w:color w:val="000000"/>
        </w:rPr>
        <w:t>. 2002, afl.4, 221.</w:t>
      </w:r>
    </w:p>
  </w:footnote>
  <w:footnote w:id="7">
    <w:p w:rsidR="001A0466" w:rsidRPr="00345C94" w:rsidRDefault="001A0466" w:rsidP="000F4EC1">
      <w:pPr>
        <w:pStyle w:val="Voetnoottekst"/>
        <w:jc w:val="both"/>
      </w:pPr>
      <w:r>
        <w:rPr>
          <w:rStyle w:val="Voetnootmarkering"/>
        </w:rPr>
        <w:footnoteRef/>
      </w:r>
      <w:r>
        <w:t xml:space="preserve"> In tegenstelling tot Nederland, waardoor het debat rond euthanasie er sneller aanvang nam, zie </w:t>
      </w:r>
      <w:proofErr w:type="spellStart"/>
      <w:r w:rsidRPr="00057DDC">
        <w:rPr>
          <w:i/>
        </w:rPr>
        <w:t>infra</w:t>
      </w:r>
      <w:proofErr w:type="spellEnd"/>
      <w:r>
        <w:t>.</w:t>
      </w:r>
    </w:p>
  </w:footnote>
  <w:footnote w:id="8">
    <w:p w:rsidR="001A0466" w:rsidRPr="000F4EC1" w:rsidRDefault="001A0466" w:rsidP="000F4EC1">
      <w:pPr>
        <w:jc w:val="both"/>
        <w:rPr>
          <w:sz w:val="20"/>
          <w:szCs w:val="20"/>
          <w:u w:val="single"/>
          <w:lang w:val="nl-BE"/>
        </w:rPr>
      </w:pPr>
      <w:r w:rsidRPr="000F4EC1">
        <w:rPr>
          <w:rStyle w:val="Voetnootmarkering"/>
          <w:sz w:val="20"/>
          <w:szCs w:val="20"/>
        </w:rPr>
        <w:footnoteRef/>
      </w:r>
      <w:r w:rsidRPr="000F4EC1">
        <w:rPr>
          <w:sz w:val="20"/>
          <w:szCs w:val="20"/>
        </w:rPr>
        <w:t xml:space="preserve"> </w:t>
      </w:r>
      <w:r>
        <w:rPr>
          <w:sz w:val="20"/>
          <w:szCs w:val="20"/>
          <w:lang w:val="nl-BE"/>
        </w:rPr>
        <w:t>Raadgevend Comité</w:t>
      </w:r>
      <w:r w:rsidRPr="000F4EC1">
        <w:rPr>
          <w:sz w:val="20"/>
          <w:szCs w:val="20"/>
          <w:lang w:val="nl-BE"/>
        </w:rPr>
        <w:t xml:space="preserve"> voor Bio-ethiek, Advies betreffende de wenselijkheid van een wettelijke regeling van euthanasie, 12 mei 1997, nr. 1, </w:t>
      </w:r>
      <w:r w:rsidRPr="000F4EC1">
        <w:rPr>
          <w:sz w:val="20"/>
          <w:szCs w:val="20"/>
          <w:u w:val="single"/>
          <w:lang w:val="nl-BE"/>
        </w:rPr>
        <w:t xml:space="preserve">http://www.health.belgium.be/filestore/7946414/Advies1-euthanasie_7946414_nl.pdf </w:t>
      </w:r>
      <w:r w:rsidRPr="000F4EC1">
        <w:rPr>
          <w:sz w:val="20"/>
          <w:szCs w:val="20"/>
          <w:lang w:val="nl-BE"/>
        </w:rPr>
        <w:t xml:space="preserve">; </w:t>
      </w:r>
      <w:r w:rsidRPr="000F4EC1">
        <w:rPr>
          <w:sz w:val="20"/>
          <w:szCs w:val="20"/>
        </w:rPr>
        <w:t xml:space="preserve">H. </w:t>
      </w:r>
      <w:proofErr w:type="spellStart"/>
      <w:r w:rsidRPr="000F4EC1">
        <w:rPr>
          <w:smallCaps/>
          <w:sz w:val="20"/>
          <w:szCs w:val="20"/>
          <w:lang w:val="nl-BE"/>
        </w:rPr>
        <w:t>Nys</w:t>
      </w:r>
      <w:proofErr w:type="spellEnd"/>
      <w:r w:rsidRPr="000F4EC1">
        <w:rPr>
          <w:smallCaps/>
          <w:sz w:val="20"/>
          <w:szCs w:val="20"/>
          <w:lang w:val="nl-BE"/>
        </w:rPr>
        <w:t xml:space="preserve">, </w:t>
      </w:r>
      <w:r w:rsidRPr="000F4EC1">
        <w:rPr>
          <w:i/>
          <w:sz w:val="20"/>
          <w:szCs w:val="20"/>
          <w:lang w:val="nl-BE"/>
        </w:rPr>
        <w:t>De wet op de euthanasie</w:t>
      </w:r>
      <w:r w:rsidRPr="000F4EC1">
        <w:rPr>
          <w:sz w:val="20"/>
          <w:szCs w:val="20"/>
          <w:lang w:val="nl-BE"/>
        </w:rPr>
        <w:t xml:space="preserve">, Mechelen, </w:t>
      </w:r>
      <w:proofErr w:type="spellStart"/>
      <w:r w:rsidRPr="000F4EC1">
        <w:rPr>
          <w:sz w:val="20"/>
          <w:szCs w:val="20"/>
          <w:lang w:val="nl-BE"/>
        </w:rPr>
        <w:t>Kluwer</w:t>
      </w:r>
      <w:proofErr w:type="spellEnd"/>
      <w:r w:rsidRPr="000F4EC1">
        <w:rPr>
          <w:sz w:val="20"/>
          <w:szCs w:val="20"/>
          <w:lang w:val="nl-BE"/>
        </w:rPr>
        <w:t>, 2004, 11.</w:t>
      </w:r>
    </w:p>
  </w:footnote>
  <w:footnote w:id="9">
    <w:p w:rsidR="001A0466" w:rsidRPr="000F4EC1" w:rsidRDefault="001A0466" w:rsidP="000F4EC1">
      <w:pPr>
        <w:jc w:val="both"/>
        <w:rPr>
          <w:sz w:val="20"/>
          <w:szCs w:val="20"/>
          <w:lang w:val="nl-BE"/>
        </w:rPr>
      </w:pPr>
      <w:r w:rsidRPr="000F4EC1">
        <w:rPr>
          <w:rStyle w:val="Voetnootmarkering"/>
          <w:sz w:val="20"/>
          <w:szCs w:val="20"/>
        </w:rPr>
        <w:footnoteRef/>
      </w:r>
      <w:r w:rsidRPr="000F4EC1">
        <w:rPr>
          <w:sz w:val="20"/>
          <w:szCs w:val="20"/>
        </w:rPr>
        <w:t xml:space="preserve"> H. </w:t>
      </w:r>
      <w:proofErr w:type="spellStart"/>
      <w:r w:rsidRPr="000F4EC1">
        <w:rPr>
          <w:smallCaps/>
          <w:sz w:val="20"/>
          <w:szCs w:val="20"/>
          <w:lang w:val="nl-BE"/>
        </w:rPr>
        <w:t>Nys</w:t>
      </w:r>
      <w:proofErr w:type="spellEnd"/>
      <w:r w:rsidRPr="000F4EC1">
        <w:rPr>
          <w:smallCaps/>
          <w:sz w:val="20"/>
          <w:szCs w:val="20"/>
          <w:lang w:val="nl-BE"/>
        </w:rPr>
        <w:t xml:space="preserve">, </w:t>
      </w:r>
      <w:r w:rsidRPr="000F4EC1">
        <w:rPr>
          <w:i/>
          <w:sz w:val="20"/>
          <w:szCs w:val="20"/>
          <w:lang w:val="nl-BE"/>
        </w:rPr>
        <w:t>De wet op de euthanasie</w:t>
      </w:r>
      <w:r w:rsidRPr="000F4EC1">
        <w:rPr>
          <w:sz w:val="20"/>
          <w:szCs w:val="20"/>
          <w:lang w:val="nl-BE"/>
        </w:rPr>
        <w:t>, Mechelen,</w:t>
      </w:r>
      <w:r>
        <w:rPr>
          <w:sz w:val="20"/>
          <w:szCs w:val="20"/>
          <w:lang w:val="nl-BE"/>
        </w:rPr>
        <w:t xml:space="preserve"> </w:t>
      </w:r>
      <w:proofErr w:type="spellStart"/>
      <w:r>
        <w:rPr>
          <w:sz w:val="20"/>
          <w:szCs w:val="20"/>
          <w:lang w:val="nl-BE"/>
        </w:rPr>
        <w:t>Kluwer</w:t>
      </w:r>
      <w:proofErr w:type="spellEnd"/>
      <w:r>
        <w:rPr>
          <w:sz w:val="20"/>
          <w:szCs w:val="20"/>
          <w:lang w:val="nl-BE"/>
        </w:rPr>
        <w:t>, 2004, 17. Zie o.a. Artikel</w:t>
      </w:r>
      <w:r w:rsidRPr="000F4EC1">
        <w:rPr>
          <w:sz w:val="20"/>
          <w:szCs w:val="20"/>
          <w:lang w:val="nl-BE"/>
        </w:rPr>
        <w:t xml:space="preserve"> 3 §1 euthanasiewet: ‘de </w:t>
      </w:r>
      <w:r w:rsidRPr="000F4EC1">
        <w:rPr>
          <w:sz w:val="20"/>
          <w:szCs w:val="20"/>
          <w:u w:val="single"/>
          <w:lang w:val="nl-BE"/>
        </w:rPr>
        <w:t xml:space="preserve">arts </w:t>
      </w:r>
      <w:r w:rsidRPr="000F4EC1">
        <w:rPr>
          <w:sz w:val="20"/>
          <w:szCs w:val="20"/>
          <w:lang w:val="nl-BE"/>
        </w:rPr>
        <w:t>die euthanasie toepast pleegt geen misdrijf wanneer..’.</w:t>
      </w:r>
    </w:p>
  </w:footnote>
  <w:footnote w:id="10">
    <w:p w:rsidR="001A0466" w:rsidRPr="001A0466" w:rsidRDefault="001A0466" w:rsidP="000F4EC1">
      <w:pPr>
        <w:pStyle w:val="Voetnoottekst"/>
        <w:jc w:val="both"/>
        <w:rPr>
          <w:lang w:val="nl-BE"/>
        </w:rPr>
      </w:pPr>
      <w:r w:rsidRPr="000F4EC1">
        <w:rPr>
          <w:rStyle w:val="Voetnootmarkering"/>
        </w:rPr>
        <w:footnoteRef/>
      </w:r>
      <w:r w:rsidRPr="001A0466">
        <w:rPr>
          <w:lang w:val="nl-BE"/>
        </w:rPr>
        <w:t xml:space="preserve"> </w:t>
      </w:r>
      <w:r w:rsidRPr="001A0466">
        <w:rPr>
          <w:i/>
          <w:lang w:val="nl-BE"/>
        </w:rPr>
        <w:t>Ibid</w:t>
      </w:r>
      <w:r w:rsidRPr="001A0466">
        <w:rPr>
          <w:lang w:val="nl-BE"/>
        </w:rPr>
        <w:t>.</w:t>
      </w:r>
    </w:p>
  </w:footnote>
  <w:footnote w:id="11">
    <w:p w:rsidR="001A0466" w:rsidRPr="001A0466" w:rsidRDefault="001A0466" w:rsidP="000F4EC1">
      <w:pPr>
        <w:pStyle w:val="Voetnoottekst"/>
        <w:jc w:val="both"/>
        <w:rPr>
          <w:lang w:val="nl-BE"/>
        </w:rPr>
      </w:pPr>
      <w:r w:rsidRPr="000F4EC1">
        <w:rPr>
          <w:rStyle w:val="Voetnootmarkering"/>
        </w:rPr>
        <w:footnoteRef/>
      </w:r>
      <w:r w:rsidRPr="001A0466">
        <w:rPr>
          <w:lang w:val="nl-BE"/>
        </w:rPr>
        <w:t xml:space="preserve"> Artikel 3 euthanasiewet.</w:t>
      </w:r>
    </w:p>
  </w:footnote>
  <w:footnote w:id="12">
    <w:p w:rsidR="001A0466" w:rsidRPr="001A0466" w:rsidRDefault="001A0466" w:rsidP="000F4EC1">
      <w:pPr>
        <w:pStyle w:val="Voetnoottekst"/>
        <w:jc w:val="both"/>
        <w:rPr>
          <w:lang w:val="nl-BE"/>
        </w:rPr>
      </w:pPr>
      <w:r w:rsidRPr="000F4EC1">
        <w:rPr>
          <w:rStyle w:val="Voetnootmarkering"/>
        </w:rPr>
        <w:footnoteRef/>
      </w:r>
      <w:r w:rsidRPr="001A0466">
        <w:rPr>
          <w:lang w:val="nl-BE"/>
        </w:rPr>
        <w:t xml:space="preserve"> Artikel 4 euthanasiewet.</w:t>
      </w:r>
    </w:p>
  </w:footnote>
  <w:footnote w:id="13">
    <w:p w:rsidR="001A0466" w:rsidRPr="000F4EC1" w:rsidRDefault="001A0466" w:rsidP="000F4EC1">
      <w:pPr>
        <w:pStyle w:val="Voetnoottekst"/>
        <w:jc w:val="both"/>
      </w:pPr>
      <w:r w:rsidRPr="000F4EC1">
        <w:rPr>
          <w:rStyle w:val="Voetnootmarkering"/>
        </w:rPr>
        <w:footnoteRef/>
      </w:r>
      <w:r w:rsidRPr="000F4EC1">
        <w:t xml:space="preserve"> Artikel 3§1, eerste streepje en artikel 4§1 Euthanasiewet legaliseren het actuele en voorafgaande verzoek tot euthanasie enkel voor meerderjarigen en ontvoogde minderjarigen.</w:t>
      </w:r>
    </w:p>
  </w:footnote>
  <w:footnote w:id="14">
    <w:p w:rsidR="001A0466" w:rsidRPr="00D67553" w:rsidRDefault="001A0466" w:rsidP="00EC3BED">
      <w:pPr>
        <w:pStyle w:val="Voetnoottekst"/>
        <w:jc w:val="both"/>
        <w:rPr>
          <w:lang w:val="nl-BE"/>
        </w:rPr>
      </w:pPr>
      <w:r w:rsidRPr="000F4EC1">
        <w:rPr>
          <w:rStyle w:val="Voetnootmarkering"/>
        </w:rPr>
        <w:footnoteRef/>
      </w:r>
      <w:r w:rsidRPr="000F4EC1">
        <w:t xml:space="preserve"> O.a. Patrick </w:t>
      </w:r>
      <w:proofErr w:type="spellStart"/>
      <w:r w:rsidRPr="000F4EC1">
        <w:t>Vankrunkelsven</w:t>
      </w:r>
      <w:proofErr w:type="spellEnd"/>
      <w:r w:rsidRPr="000F4EC1">
        <w:t xml:space="preserve"> stelde voor om </w:t>
      </w:r>
      <w:r>
        <w:t>euthanasie toe te laten bij 16-</w:t>
      </w:r>
      <w:r w:rsidRPr="000F4EC1">
        <w:t xml:space="preserve">18jarigen na raadpleging </w:t>
      </w:r>
      <w:r w:rsidRPr="005134AD">
        <w:t xml:space="preserve">van de ouders, amendementen 6 en 115, </w:t>
      </w:r>
      <w:proofErr w:type="spellStart"/>
      <w:r w:rsidRPr="005134AD">
        <w:rPr>
          <w:i/>
        </w:rPr>
        <w:t>Parl</w:t>
      </w:r>
      <w:proofErr w:type="spellEnd"/>
      <w:r w:rsidRPr="005134AD">
        <w:rPr>
          <w:i/>
        </w:rPr>
        <w:t>. St.</w:t>
      </w:r>
      <w:r>
        <w:t xml:space="preserve"> Senaat 2000-01, 2-244/3, 2 en 2-244/8, </w:t>
      </w:r>
      <w:r w:rsidRPr="005134AD">
        <w:t xml:space="preserve"> 6. In dezelfde zin: een amendement van Mevr. Van de </w:t>
      </w:r>
      <w:proofErr w:type="spellStart"/>
      <w:r w:rsidRPr="005134AD">
        <w:t>Castelee</w:t>
      </w:r>
      <w:proofErr w:type="spellEnd"/>
      <w:r w:rsidRPr="005134AD">
        <w:t xml:space="preserve">; </w:t>
      </w:r>
      <w:proofErr w:type="spellStart"/>
      <w:r w:rsidRPr="005134AD">
        <w:rPr>
          <w:i/>
        </w:rPr>
        <w:t>Parl</w:t>
      </w:r>
      <w:proofErr w:type="spellEnd"/>
      <w:r w:rsidRPr="005134AD">
        <w:rPr>
          <w:i/>
        </w:rPr>
        <w:t>. St.</w:t>
      </w:r>
      <w:r w:rsidRPr="005134AD">
        <w:t xml:space="preserve"> Kamer 2001-02, nr. 1488/004. </w:t>
      </w:r>
      <w:r>
        <w:t xml:space="preserve">Zie ook </w:t>
      </w:r>
      <w:r>
        <w:rPr>
          <w:rFonts w:eastAsia="Times New Roman"/>
          <w:color w:val="000000"/>
          <w:lang w:val="nl-BE" w:eastAsia="ja-JP"/>
        </w:rPr>
        <w:t xml:space="preserve">KINDERRECHTENCOMMISARIAAT, “Advies: Euthanasie en Minderjarigen bij het wetsvoorstel betreffende de euthanasie”, </w:t>
      </w:r>
      <w:r w:rsidRPr="00EC3BED">
        <w:rPr>
          <w:rFonts w:eastAsia="Times New Roman"/>
          <w:color w:val="000000"/>
          <w:u w:val="single"/>
          <w:lang w:val="nl-BE" w:eastAsia="ja-JP"/>
        </w:rPr>
        <w:t>http://www.kinderrechten.be/IUSR/adviezen//Adviezen_pdf/2001_2002/2001-2002_8_Euthanasie_en_minderjarigen_pdf.pdf</w:t>
      </w:r>
      <w:r>
        <w:rPr>
          <w:rFonts w:eastAsia="Times New Roman"/>
          <w:color w:val="000000"/>
          <w:lang w:val="nl-BE" w:eastAsia="ja-JP"/>
        </w:rPr>
        <w:t xml:space="preserve">, 2 en 8; </w:t>
      </w:r>
      <w:r>
        <w:t>E.</w:t>
      </w:r>
      <w:r w:rsidRPr="005134AD">
        <w:t xml:space="preserve"> </w:t>
      </w:r>
      <w:r w:rsidRPr="005134AD">
        <w:rPr>
          <w:rFonts w:eastAsia="Times New Roman"/>
          <w:smallCaps/>
          <w:color w:val="000000"/>
          <w:lang w:val="nl-BE" w:eastAsia="ja-JP"/>
        </w:rPr>
        <w:t xml:space="preserve">De </w:t>
      </w:r>
      <w:proofErr w:type="spellStart"/>
      <w:r w:rsidRPr="005134AD">
        <w:rPr>
          <w:rFonts w:eastAsia="Times New Roman"/>
          <w:smallCaps/>
          <w:color w:val="000000"/>
          <w:lang w:val="nl-BE" w:eastAsia="ja-JP"/>
        </w:rPr>
        <w:t>Keyser</w:t>
      </w:r>
      <w:proofErr w:type="spellEnd"/>
      <w:r w:rsidRPr="005134AD">
        <w:rPr>
          <w:rFonts w:eastAsia="Times New Roman"/>
          <w:smallCaps/>
          <w:color w:val="000000"/>
          <w:lang w:val="nl-BE" w:eastAsia="ja-JP"/>
        </w:rPr>
        <w:t xml:space="preserve">, </w:t>
      </w:r>
      <w:r w:rsidRPr="005134AD">
        <w:rPr>
          <w:rFonts w:eastAsia="Times New Roman"/>
          <w:color w:val="000000"/>
          <w:lang w:val="nl-BE" w:eastAsia="ja-JP"/>
        </w:rPr>
        <w:t xml:space="preserve"> “Respect voor het zelfbeschikkingsrecht van de patiënt: gevolgen voor de wet betreffende</w:t>
      </w:r>
      <w:r w:rsidRPr="000F4EC1">
        <w:rPr>
          <w:rFonts w:eastAsia="Times New Roman"/>
          <w:color w:val="000000"/>
          <w:lang w:val="nl-BE" w:eastAsia="ja-JP"/>
        </w:rPr>
        <w:t xml:space="preserve"> de euthanasie”, </w:t>
      </w:r>
      <w:proofErr w:type="spellStart"/>
      <w:r w:rsidRPr="000F4EC1">
        <w:rPr>
          <w:rFonts w:eastAsia="Times New Roman"/>
          <w:i/>
          <w:color w:val="000000"/>
          <w:lang w:val="nl-BE" w:eastAsia="ja-JP"/>
        </w:rPr>
        <w:t>T.Gez</w:t>
      </w:r>
      <w:proofErr w:type="spellEnd"/>
      <w:r w:rsidRPr="000F4EC1">
        <w:rPr>
          <w:rFonts w:eastAsia="Times New Roman"/>
          <w:i/>
          <w:color w:val="000000"/>
          <w:lang w:val="nl-BE" w:eastAsia="ja-JP"/>
        </w:rPr>
        <w:t>.</w:t>
      </w:r>
      <w:r w:rsidRPr="000F4EC1">
        <w:rPr>
          <w:rFonts w:eastAsia="Times New Roman"/>
          <w:color w:val="000000"/>
          <w:lang w:val="nl-BE" w:eastAsia="ja-JP"/>
        </w:rPr>
        <w:t xml:space="preserve"> 2005, afl. 5, 377; </w:t>
      </w:r>
      <w:r w:rsidRPr="000F4EC1">
        <w:rPr>
          <w:lang w:val="nl-BE"/>
        </w:rPr>
        <w:t xml:space="preserve">H. </w:t>
      </w:r>
      <w:proofErr w:type="spellStart"/>
      <w:r>
        <w:rPr>
          <w:smallCaps/>
          <w:lang w:val="nl-BE"/>
        </w:rPr>
        <w:t>Nys</w:t>
      </w:r>
      <w:proofErr w:type="spellEnd"/>
      <w:r>
        <w:rPr>
          <w:smallCaps/>
          <w:lang w:val="nl-BE"/>
        </w:rPr>
        <w:t xml:space="preserve"> </w:t>
      </w:r>
      <w:r w:rsidRPr="002426EE">
        <w:rPr>
          <w:lang w:val="nl-BE"/>
        </w:rPr>
        <w:t>en</w:t>
      </w:r>
      <w:r w:rsidRPr="000F4EC1">
        <w:rPr>
          <w:smallCaps/>
          <w:lang w:val="nl-BE"/>
        </w:rPr>
        <w:t xml:space="preserve"> E. Deckers, </w:t>
      </w:r>
      <w:r w:rsidRPr="000F4EC1">
        <w:rPr>
          <w:i/>
          <w:lang w:val="nl-BE"/>
        </w:rPr>
        <w:t>Nieuwe wetgeving inzake euthanasie, Gecoördineerde teksten en uittreksels uit de Parlementaire Werkzaamheden</w:t>
      </w:r>
      <w:r w:rsidRPr="000F4EC1">
        <w:rPr>
          <w:lang w:val="nl-BE"/>
        </w:rPr>
        <w:t xml:space="preserve">, Mechelen, </w:t>
      </w:r>
      <w:proofErr w:type="spellStart"/>
      <w:r w:rsidRPr="000F4EC1">
        <w:rPr>
          <w:lang w:val="nl-BE"/>
        </w:rPr>
        <w:t>Kluwer</w:t>
      </w:r>
      <w:proofErr w:type="spellEnd"/>
      <w:r w:rsidRPr="000F4EC1">
        <w:rPr>
          <w:lang w:val="nl-BE"/>
        </w:rPr>
        <w:t xml:space="preserve">, 2003, 4; </w:t>
      </w:r>
      <w:r w:rsidRPr="000F4EC1">
        <w:t xml:space="preserve">H. </w:t>
      </w:r>
      <w:proofErr w:type="spellStart"/>
      <w:r w:rsidRPr="000F4EC1">
        <w:rPr>
          <w:smallCaps/>
          <w:lang w:val="nl-BE"/>
        </w:rPr>
        <w:t>Nys</w:t>
      </w:r>
      <w:proofErr w:type="spellEnd"/>
      <w:r w:rsidRPr="000F4EC1">
        <w:rPr>
          <w:smallCaps/>
          <w:lang w:val="nl-BE"/>
        </w:rPr>
        <w:t xml:space="preserve">, </w:t>
      </w:r>
      <w:r w:rsidRPr="000F4EC1">
        <w:rPr>
          <w:i/>
          <w:lang w:val="nl-BE"/>
        </w:rPr>
        <w:t>De wet op de euthanasie</w:t>
      </w:r>
      <w:r w:rsidRPr="000F4EC1">
        <w:rPr>
          <w:lang w:val="nl-BE"/>
        </w:rPr>
        <w:t xml:space="preserve">, Mechelen, </w:t>
      </w:r>
      <w:proofErr w:type="spellStart"/>
      <w:r w:rsidRPr="000F4EC1">
        <w:rPr>
          <w:lang w:val="nl-BE"/>
        </w:rPr>
        <w:t>Kluwer</w:t>
      </w:r>
      <w:proofErr w:type="spellEnd"/>
      <w:r w:rsidRPr="000F4EC1">
        <w:rPr>
          <w:lang w:val="nl-BE"/>
        </w:rPr>
        <w:t xml:space="preserve">, 2004, 12; </w:t>
      </w:r>
      <w:r w:rsidRPr="000F4EC1">
        <w:rPr>
          <w:lang w:val="nl-BE" w:eastAsia="ja-JP"/>
        </w:rPr>
        <w:t xml:space="preserve">H. </w:t>
      </w:r>
      <w:proofErr w:type="spellStart"/>
      <w:r w:rsidRPr="000F4EC1">
        <w:rPr>
          <w:smallCaps/>
          <w:lang w:val="nl-BE"/>
        </w:rPr>
        <w:t>Nys</w:t>
      </w:r>
      <w:proofErr w:type="spellEnd"/>
      <w:r w:rsidRPr="000F4EC1">
        <w:rPr>
          <w:smallCaps/>
          <w:lang w:val="nl-BE"/>
        </w:rPr>
        <w:t xml:space="preserve">, </w:t>
      </w:r>
      <w:r w:rsidRPr="000F4EC1">
        <w:rPr>
          <w:i/>
          <w:lang w:val="nl-BE"/>
        </w:rPr>
        <w:t>Algemene praktische rechtsverzameling, Geneeskunde, Recht en medisch handelen</w:t>
      </w:r>
      <w:r w:rsidRPr="000F4EC1">
        <w:rPr>
          <w:lang w:val="nl-BE"/>
        </w:rPr>
        <w:t xml:space="preserve">, Mechelen, </w:t>
      </w:r>
      <w:proofErr w:type="spellStart"/>
      <w:r w:rsidRPr="000F4EC1">
        <w:rPr>
          <w:lang w:val="nl-BE"/>
        </w:rPr>
        <w:t>Kluwer</w:t>
      </w:r>
      <w:proofErr w:type="spellEnd"/>
      <w:r w:rsidRPr="000F4EC1">
        <w:rPr>
          <w:lang w:val="nl-BE"/>
        </w:rPr>
        <w:t>, 2005</w:t>
      </w:r>
      <w:r>
        <w:rPr>
          <w:lang w:val="nl-BE"/>
        </w:rPr>
        <w:t>, 371</w:t>
      </w:r>
      <w:r w:rsidRPr="000F4EC1">
        <w:rPr>
          <w:rFonts w:eastAsia="Times New Roman"/>
          <w:color w:val="000000"/>
          <w:lang w:val="nl-BE" w:eastAsia="ja-JP"/>
        </w:rPr>
        <w:t>.</w:t>
      </w:r>
    </w:p>
  </w:footnote>
  <w:footnote w:id="15">
    <w:p w:rsidR="001A0466" w:rsidRPr="000F4EC1" w:rsidRDefault="001A0466" w:rsidP="000F4EC1">
      <w:pPr>
        <w:jc w:val="both"/>
        <w:rPr>
          <w:sz w:val="20"/>
          <w:szCs w:val="20"/>
          <w:lang w:val="nl-BE"/>
        </w:rPr>
      </w:pPr>
      <w:r w:rsidRPr="000F4EC1">
        <w:rPr>
          <w:rStyle w:val="Voetnootmarkering"/>
          <w:sz w:val="20"/>
          <w:szCs w:val="20"/>
        </w:rPr>
        <w:footnoteRef/>
      </w:r>
      <w:r w:rsidRPr="000F4EC1">
        <w:rPr>
          <w:sz w:val="20"/>
          <w:szCs w:val="20"/>
        </w:rPr>
        <w:t xml:space="preserve"> </w:t>
      </w:r>
      <w:proofErr w:type="spellStart"/>
      <w:r>
        <w:rPr>
          <w:i/>
          <w:iCs/>
          <w:sz w:val="20"/>
          <w:szCs w:val="20"/>
          <w:lang w:val="nl-BE" w:eastAsia="ja-JP"/>
        </w:rPr>
        <w:t>Parl</w:t>
      </w:r>
      <w:proofErr w:type="spellEnd"/>
      <w:r w:rsidRPr="005134AD">
        <w:rPr>
          <w:i/>
          <w:iCs/>
          <w:sz w:val="20"/>
          <w:szCs w:val="20"/>
          <w:lang w:val="nl-BE" w:eastAsia="ja-JP"/>
        </w:rPr>
        <w:t>.</w:t>
      </w:r>
      <w:r>
        <w:rPr>
          <w:i/>
          <w:iCs/>
          <w:sz w:val="20"/>
          <w:szCs w:val="20"/>
          <w:lang w:val="nl-BE" w:eastAsia="ja-JP"/>
        </w:rPr>
        <w:t xml:space="preserve"> </w:t>
      </w:r>
      <w:r w:rsidRPr="005134AD">
        <w:rPr>
          <w:i/>
          <w:iCs/>
          <w:sz w:val="20"/>
          <w:szCs w:val="20"/>
          <w:lang w:val="nl-BE" w:eastAsia="ja-JP"/>
        </w:rPr>
        <w:t>St</w:t>
      </w:r>
      <w:r>
        <w:rPr>
          <w:i/>
          <w:iCs/>
          <w:sz w:val="20"/>
          <w:szCs w:val="20"/>
          <w:lang w:val="nl-BE" w:eastAsia="ja-JP"/>
        </w:rPr>
        <w:t>.</w:t>
      </w:r>
      <w:r w:rsidRPr="005134AD">
        <w:rPr>
          <w:i/>
          <w:iCs/>
          <w:sz w:val="20"/>
          <w:szCs w:val="20"/>
          <w:lang w:val="nl-BE" w:eastAsia="ja-JP"/>
        </w:rPr>
        <w:t xml:space="preserve"> </w:t>
      </w:r>
      <w:r w:rsidRPr="005134AD">
        <w:rPr>
          <w:sz w:val="20"/>
          <w:szCs w:val="20"/>
          <w:lang w:val="nl-BE" w:eastAsia="ja-JP"/>
        </w:rPr>
        <w:t>Kamer 2001-02, nr. 1488/9, 379</w:t>
      </w:r>
      <w:r w:rsidRPr="000F4EC1">
        <w:rPr>
          <w:sz w:val="20"/>
          <w:szCs w:val="20"/>
          <w:lang w:val="nl-BE" w:eastAsia="ja-JP"/>
        </w:rPr>
        <w:t xml:space="preserve">; </w:t>
      </w:r>
      <w:r w:rsidRPr="000F4EC1">
        <w:rPr>
          <w:sz w:val="20"/>
          <w:szCs w:val="20"/>
          <w:lang w:val="nl-BE"/>
        </w:rPr>
        <w:t xml:space="preserve">H. </w:t>
      </w:r>
      <w:proofErr w:type="spellStart"/>
      <w:r>
        <w:rPr>
          <w:smallCaps/>
          <w:sz w:val="20"/>
          <w:szCs w:val="20"/>
          <w:lang w:val="nl-BE"/>
        </w:rPr>
        <w:t>Nys</w:t>
      </w:r>
      <w:proofErr w:type="spellEnd"/>
      <w:r>
        <w:rPr>
          <w:smallCaps/>
          <w:sz w:val="20"/>
          <w:szCs w:val="20"/>
          <w:lang w:val="nl-BE"/>
        </w:rPr>
        <w:t xml:space="preserve"> </w:t>
      </w:r>
      <w:r w:rsidRPr="002426EE">
        <w:rPr>
          <w:sz w:val="20"/>
          <w:szCs w:val="20"/>
          <w:lang w:val="nl-BE"/>
        </w:rPr>
        <w:t>en</w:t>
      </w:r>
      <w:r>
        <w:rPr>
          <w:smallCaps/>
          <w:sz w:val="20"/>
          <w:szCs w:val="20"/>
          <w:lang w:val="nl-BE"/>
        </w:rPr>
        <w:t xml:space="preserve"> </w:t>
      </w:r>
      <w:r w:rsidRPr="000F4EC1">
        <w:rPr>
          <w:smallCaps/>
          <w:sz w:val="20"/>
          <w:szCs w:val="20"/>
          <w:lang w:val="nl-BE"/>
        </w:rPr>
        <w:t xml:space="preserve">E. Deckers, </w:t>
      </w:r>
      <w:r w:rsidRPr="000F4EC1">
        <w:rPr>
          <w:i/>
          <w:sz w:val="20"/>
          <w:szCs w:val="20"/>
          <w:lang w:val="nl-BE"/>
        </w:rPr>
        <w:t>Nieuwe wetgeving inzake euthanasie, Gecoördineerde teksten en uittreksels uit de Parlementaire Werkzaamheden</w:t>
      </w:r>
      <w:r w:rsidRPr="000F4EC1">
        <w:rPr>
          <w:sz w:val="20"/>
          <w:szCs w:val="20"/>
          <w:lang w:val="nl-BE"/>
        </w:rPr>
        <w:t xml:space="preserve">, Mechelen, </w:t>
      </w:r>
      <w:proofErr w:type="spellStart"/>
      <w:r w:rsidRPr="000F4EC1">
        <w:rPr>
          <w:sz w:val="20"/>
          <w:szCs w:val="20"/>
          <w:lang w:val="nl-BE"/>
        </w:rPr>
        <w:t>Kluwer</w:t>
      </w:r>
      <w:proofErr w:type="spellEnd"/>
      <w:r w:rsidRPr="000F4EC1">
        <w:rPr>
          <w:sz w:val="20"/>
          <w:szCs w:val="20"/>
          <w:lang w:val="nl-BE"/>
        </w:rPr>
        <w:t>, 2003, 4;</w:t>
      </w:r>
      <w:r w:rsidRPr="000F4EC1">
        <w:rPr>
          <w:sz w:val="20"/>
          <w:szCs w:val="20"/>
          <w:lang w:val="nl-BE" w:eastAsia="ja-JP"/>
        </w:rPr>
        <w:t xml:space="preserve"> </w:t>
      </w:r>
      <w:r w:rsidRPr="000F4EC1">
        <w:rPr>
          <w:sz w:val="20"/>
          <w:szCs w:val="20"/>
        </w:rPr>
        <w:t xml:space="preserve">H. </w:t>
      </w:r>
      <w:proofErr w:type="spellStart"/>
      <w:r w:rsidRPr="000F4EC1">
        <w:rPr>
          <w:smallCaps/>
          <w:sz w:val="20"/>
          <w:szCs w:val="20"/>
          <w:lang w:val="nl-BE"/>
        </w:rPr>
        <w:t>Nys</w:t>
      </w:r>
      <w:proofErr w:type="spellEnd"/>
      <w:r w:rsidRPr="000F4EC1">
        <w:rPr>
          <w:smallCaps/>
          <w:sz w:val="20"/>
          <w:szCs w:val="20"/>
          <w:lang w:val="nl-BE"/>
        </w:rPr>
        <w:t xml:space="preserve">, </w:t>
      </w:r>
      <w:r w:rsidRPr="000F4EC1">
        <w:rPr>
          <w:i/>
          <w:sz w:val="20"/>
          <w:szCs w:val="20"/>
          <w:lang w:val="nl-BE"/>
        </w:rPr>
        <w:t>De wet op de euthanasie</w:t>
      </w:r>
      <w:r w:rsidRPr="000F4EC1">
        <w:rPr>
          <w:sz w:val="20"/>
          <w:szCs w:val="20"/>
          <w:lang w:val="nl-BE"/>
        </w:rPr>
        <w:t xml:space="preserve">, Mechelen, </w:t>
      </w:r>
      <w:proofErr w:type="spellStart"/>
      <w:r w:rsidRPr="000F4EC1">
        <w:rPr>
          <w:sz w:val="20"/>
          <w:szCs w:val="20"/>
          <w:lang w:val="nl-BE"/>
        </w:rPr>
        <w:t>Kluwer</w:t>
      </w:r>
      <w:proofErr w:type="spellEnd"/>
      <w:r w:rsidRPr="000F4EC1">
        <w:rPr>
          <w:sz w:val="20"/>
          <w:szCs w:val="20"/>
          <w:lang w:val="nl-BE"/>
        </w:rPr>
        <w:t xml:space="preserve">, 2004, 12; </w:t>
      </w:r>
      <w:r w:rsidRPr="000F4EC1">
        <w:rPr>
          <w:sz w:val="20"/>
          <w:szCs w:val="20"/>
          <w:lang w:val="nl-BE" w:eastAsia="ja-JP"/>
        </w:rPr>
        <w:t xml:space="preserve">H. </w:t>
      </w:r>
      <w:proofErr w:type="spellStart"/>
      <w:r w:rsidRPr="000F4EC1">
        <w:rPr>
          <w:smallCaps/>
          <w:sz w:val="20"/>
          <w:szCs w:val="20"/>
          <w:lang w:val="nl-BE"/>
        </w:rPr>
        <w:t>Nys</w:t>
      </w:r>
      <w:proofErr w:type="spellEnd"/>
      <w:r w:rsidRPr="000F4EC1">
        <w:rPr>
          <w:smallCaps/>
          <w:sz w:val="20"/>
          <w:szCs w:val="20"/>
          <w:lang w:val="nl-BE"/>
        </w:rPr>
        <w:t xml:space="preserve">, </w:t>
      </w:r>
      <w:r w:rsidRPr="000F4EC1">
        <w:rPr>
          <w:i/>
          <w:sz w:val="20"/>
          <w:szCs w:val="20"/>
          <w:lang w:val="nl-BE"/>
        </w:rPr>
        <w:t>Algemene praktische rechtsverzameling, Geneeskunde, Recht en medisch handelen</w:t>
      </w:r>
      <w:r w:rsidRPr="000F4EC1">
        <w:rPr>
          <w:sz w:val="20"/>
          <w:szCs w:val="20"/>
          <w:lang w:val="nl-BE"/>
        </w:rPr>
        <w:t xml:space="preserve">, Mechelen, </w:t>
      </w:r>
      <w:proofErr w:type="spellStart"/>
      <w:r w:rsidRPr="000F4EC1">
        <w:rPr>
          <w:sz w:val="20"/>
          <w:szCs w:val="20"/>
          <w:lang w:val="nl-BE"/>
        </w:rPr>
        <w:t>Kluwer</w:t>
      </w:r>
      <w:proofErr w:type="spellEnd"/>
      <w:r w:rsidRPr="000F4EC1">
        <w:rPr>
          <w:sz w:val="20"/>
          <w:szCs w:val="20"/>
          <w:lang w:val="nl-BE"/>
        </w:rPr>
        <w:t>, 2005, 371.</w:t>
      </w:r>
    </w:p>
  </w:footnote>
  <w:footnote w:id="16">
    <w:p w:rsidR="001A0466" w:rsidRPr="000F4EC1" w:rsidRDefault="001A0466" w:rsidP="000F4EC1">
      <w:pPr>
        <w:jc w:val="both"/>
        <w:rPr>
          <w:sz w:val="20"/>
          <w:szCs w:val="20"/>
          <w:lang w:val="nl-BE"/>
        </w:rPr>
      </w:pPr>
      <w:r w:rsidRPr="000F4EC1">
        <w:rPr>
          <w:rStyle w:val="Voetnootmarkering"/>
          <w:sz w:val="20"/>
          <w:szCs w:val="20"/>
        </w:rPr>
        <w:footnoteRef/>
      </w:r>
      <w:r w:rsidRPr="000F4EC1">
        <w:rPr>
          <w:sz w:val="20"/>
          <w:szCs w:val="20"/>
        </w:rPr>
        <w:t xml:space="preserve"> </w:t>
      </w:r>
      <w:r w:rsidRPr="000F4EC1">
        <w:rPr>
          <w:sz w:val="20"/>
          <w:szCs w:val="20"/>
          <w:lang w:val="nl-BE"/>
        </w:rPr>
        <w:t xml:space="preserve">Raadgevend Comité voor Bio-ethiek, Advies betreffende het levensbeëindigend handelen bij </w:t>
      </w:r>
      <w:proofErr w:type="spellStart"/>
      <w:r w:rsidRPr="000F4EC1">
        <w:rPr>
          <w:sz w:val="20"/>
          <w:szCs w:val="20"/>
          <w:lang w:val="nl-BE"/>
        </w:rPr>
        <w:t>wilsonbekwamen</w:t>
      </w:r>
      <w:proofErr w:type="spellEnd"/>
      <w:r w:rsidRPr="000F4EC1">
        <w:rPr>
          <w:sz w:val="20"/>
          <w:szCs w:val="20"/>
          <w:lang w:val="nl-BE"/>
        </w:rPr>
        <w:t>, 22 februari 1999, nr.</w:t>
      </w:r>
      <w:r>
        <w:rPr>
          <w:sz w:val="20"/>
          <w:szCs w:val="20"/>
          <w:lang w:val="nl-BE"/>
        </w:rPr>
        <w:t xml:space="preserve"> </w:t>
      </w:r>
      <w:r w:rsidRPr="000F4EC1">
        <w:rPr>
          <w:sz w:val="20"/>
          <w:szCs w:val="20"/>
          <w:lang w:val="nl-BE"/>
        </w:rPr>
        <w:t>9,</w:t>
      </w:r>
    </w:p>
    <w:p w:rsidR="001A0466" w:rsidRPr="000F4EC1" w:rsidRDefault="001A0466" w:rsidP="000F4EC1">
      <w:pPr>
        <w:jc w:val="both"/>
        <w:rPr>
          <w:sz w:val="20"/>
          <w:szCs w:val="20"/>
          <w:u w:val="single"/>
        </w:rPr>
      </w:pPr>
      <w:r w:rsidRPr="000F4EC1">
        <w:rPr>
          <w:sz w:val="20"/>
          <w:szCs w:val="20"/>
          <w:u w:val="single"/>
        </w:rPr>
        <w:t>http://www.health.belgium.be/filestore/7948443/Advies9-euthanasie_7948443_nl.pdf</w:t>
      </w:r>
      <w:r w:rsidRPr="00F24E1F">
        <w:rPr>
          <w:sz w:val="20"/>
          <w:szCs w:val="20"/>
        </w:rPr>
        <w:t>.</w:t>
      </w:r>
    </w:p>
  </w:footnote>
  <w:footnote w:id="17">
    <w:p w:rsidR="001A0466" w:rsidRPr="00F24E1F" w:rsidRDefault="001A0466" w:rsidP="000F4EC1">
      <w:pPr>
        <w:autoSpaceDE w:val="0"/>
        <w:autoSpaceDN w:val="0"/>
        <w:adjustRightInd w:val="0"/>
        <w:jc w:val="both"/>
        <w:rPr>
          <w:sz w:val="20"/>
          <w:szCs w:val="20"/>
          <w:lang w:val="nl-BE" w:eastAsia="ja-JP"/>
        </w:rPr>
      </w:pPr>
      <w:r w:rsidRPr="000F4EC1">
        <w:rPr>
          <w:rStyle w:val="Voetnootmarkering"/>
          <w:sz w:val="20"/>
          <w:szCs w:val="20"/>
        </w:rPr>
        <w:footnoteRef/>
      </w:r>
      <w:r w:rsidRPr="000F4EC1">
        <w:rPr>
          <w:sz w:val="20"/>
          <w:szCs w:val="20"/>
        </w:rPr>
        <w:t xml:space="preserve"> </w:t>
      </w:r>
      <w:r w:rsidRPr="000F4EC1">
        <w:rPr>
          <w:sz w:val="20"/>
          <w:szCs w:val="20"/>
          <w:lang w:val="nl-BE" w:eastAsia="ja-JP"/>
        </w:rPr>
        <w:t xml:space="preserve">Advies van de </w:t>
      </w:r>
      <w:r>
        <w:rPr>
          <w:sz w:val="20"/>
          <w:szCs w:val="20"/>
          <w:lang w:val="nl-BE" w:eastAsia="ja-JP"/>
        </w:rPr>
        <w:t>Nationale Raad van de Orde van g</w:t>
      </w:r>
      <w:r w:rsidRPr="000F4EC1">
        <w:rPr>
          <w:sz w:val="20"/>
          <w:szCs w:val="20"/>
          <w:lang w:val="nl-BE" w:eastAsia="ja-JP"/>
        </w:rPr>
        <w:t xml:space="preserve">eneesheren betreffende de medische betrokkenheid bij het naderende levenseinde, euthanasie, 15 januari 2000, </w:t>
      </w:r>
      <w:r w:rsidRPr="000F4EC1">
        <w:rPr>
          <w:i/>
          <w:iCs/>
          <w:sz w:val="20"/>
          <w:szCs w:val="20"/>
          <w:lang w:val="nl-BE" w:eastAsia="ja-JP"/>
        </w:rPr>
        <w:t xml:space="preserve">Tijdschrift van de Nationale </w:t>
      </w:r>
      <w:r w:rsidRPr="000F4EC1">
        <w:rPr>
          <w:i/>
          <w:sz w:val="20"/>
          <w:szCs w:val="20"/>
          <w:lang w:val="nl-BE" w:eastAsia="ja-JP"/>
        </w:rPr>
        <w:t>Raad</w:t>
      </w:r>
      <w:r w:rsidRPr="000F4EC1">
        <w:rPr>
          <w:sz w:val="20"/>
          <w:szCs w:val="20"/>
          <w:lang w:val="nl-BE" w:eastAsia="ja-JP"/>
        </w:rPr>
        <w:t xml:space="preserve">, nr. 87, 8 en </w:t>
      </w:r>
      <w:r w:rsidRPr="000F4EC1">
        <w:rPr>
          <w:sz w:val="20"/>
          <w:szCs w:val="20"/>
          <w:u w:val="single"/>
          <w:lang w:val="nl-BE" w:eastAsia="ja-JP"/>
        </w:rPr>
        <w:t>www.ordomedic.be/nl/adviezen/advies/advies-van-de-nationale-raad-van-de-orde-der-geneesheren-betreffende-de-medische-betrokkenheid-bij-het-naderende-levenseinde-euthanasie</w:t>
      </w:r>
      <w:r w:rsidRPr="00F24E1F">
        <w:rPr>
          <w:sz w:val="20"/>
          <w:szCs w:val="20"/>
          <w:lang w:val="nl-BE" w:eastAsia="ja-JP"/>
        </w:rPr>
        <w:t>.</w:t>
      </w:r>
    </w:p>
  </w:footnote>
  <w:footnote w:id="18">
    <w:p w:rsidR="001A0466" w:rsidRPr="007A2E27" w:rsidRDefault="001A0466" w:rsidP="00AE0F83">
      <w:pPr>
        <w:jc w:val="both"/>
        <w:rPr>
          <w:sz w:val="20"/>
          <w:szCs w:val="20"/>
          <w:lang w:val="nl-BE"/>
        </w:rPr>
      </w:pPr>
      <w:r w:rsidRPr="007A2E27">
        <w:rPr>
          <w:rStyle w:val="Voetnootmarkering"/>
          <w:sz w:val="20"/>
          <w:szCs w:val="20"/>
        </w:rPr>
        <w:footnoteRef/>
      </w:r>
      <w:r w:rsidRPr="007A2E27">
        <w:rPr>
          <w:sz w:val="20"/>
          <w:szCs w:val="20"/>
        </w:rPr>
        <w:t xml:space="preserve"> </w:t>
      </w:r>
      <w:r w:rsidRPr="007A2E27">
        <w:rPr>
          <w:sz w:val="20"/>
          <w:szCs w:val="20"/>
          <w:lang w:val="nl-BE" w:eastAsia="ja-JP"/>
        </w:rPr>
        <w:t xml:space="preserve">Toelichting bij het wetsvoorstel betreffende de problemen rond het levenseinde en de toestand van ongeneeslijk zieke patiënten, </w:t>
      </w:r>
      <w:proofErr w:type="spellStart"/>
      <w:r w:rsidRPr="007A2E27">
        <w:rPr>
          <w:i/>
          <w:iCs/>
          <w:sz w:val="20"/>
          <w:szCs w:val="20"/>
          <w:lang w:val="nl-BE" w:eastAsia="ja-JP"/>
        </w:rPr>
        <w:t>Parl</w:t>
      </w:r>
      <w:proofErr w:type="spellEnd"/>
      <w:r w:rsidRPr="007A2E27">
        <w:rPr>
          <w:i/>
          <w:iCs/>
          <w:sz w:val="20"/>
          <w:szCs w:val="20"/>
          <w:lang w:val="nl-BE" w:eastAsia="ja-JP"/>
        </w:rPr>
        <w:t>. St.</w:t>
      </w:r>
      <w:r w:rsidRPr="007A2E27">
        <w:rPr>
          <w:sz w:val="20"/>
          <w:szCs w:val="20"/>
          <w:lang w:val="nl-BE" w:eastAsia="ja-JP"/>
        </w:rPr>
        <w:t xml:space="preserve"> Senaat 1999, 2-10/1 (</w:t>
      </w:r>
      <w:proofErr w:type="spellStart"/>
      <w:r w:rsidRPr="007A2E27">
        <w:rPr>
          <w:sz w:val="20"/>
          <w:szCs w:val="20"/>
          <w:lang w:val="nl-BE" w:eastAsia="ja-JP"/>
        </w:rPr>
        <w:t>Mahoux</w:t>
      </w:r>
      <w:proofErr w:type="spellEnd"/>
      <w:r w:rsidRPr="007A2E27">
        <w:rPr>
          <w:sz w:val="20"/>
          <w:szCs w:val="20"/>
          <w:lang w:val="nl-BE" w:eastAsia="ja-JP"/>
        </w:rPr>
        <w:t xml:space="preserve"> en </w:t>
      </w:r>
      <w:proofErr w:type="spellStart"/>
      <w:r w:rsidRPr="007A2E27">
        <w:rPr>
          <w:sz w:val="20"/>
          <w:szCs w:val="20"/>
          <w:lang w:val="nl-BE" w:eastAsia="ja-JP"/>
        </w:rPr>
        <w:t>Vanlerberghe</w:t>
      </w:r>
      <w:proofErr w:type="spellEnd"/>
      <w:r w:rsidRPr="007A2E27">
        <w:rPr>
          <w:sz w:val="20"/>
          <w:szCs w:val="20"/>
          <w:lang w:val="nl-BE" w:eastAsia="ja-JP"/>
        </w:rPr>
        <w:t>); Toelichting bij het wetsvoorstel betreffende euthanasie (</w:t>
      </w:r>
      <w:proofErr w:type="spellStart"/>
      <w:r w:rsidRPr="007A2E27">
        <w:rPr>
          <w:sz w:val="20"/>
          <w:szCs w:val="20"/>
          <w:lang w:val="nl-BE" w:eastAsia="ja-JP"/>
        </w:rPr>
        <w:t>Mahoux</w:t>
      </w:r>
      <w:proofErr w:type="spellEnd"/>
      <w:r w:rsidRPr="007A2E27">
        <w:rPr>
          <w:sz w:val="20"/>
          <w:szCs w:val="20"/>
          <w:lang w:val="nl-BE" w:eastAsia="ja-JP"/>
        </w:rPr>
        <w:t xml:space="preserve">, e.a.), </w:t>
      </w:r>
      <w:proofErr w:type="spellStart"/>
      <w:r w:rsidRPr="007A2E27">
        <w:rPr>
          <w:i/>
          <w:iCs/>
          <w:sz w:val="20"/>
          <w:szCs w:val="20"/>
          <w:lang w:val="nl-BE" w:eastAsia="ja-JP"/>
        </w:rPr>
        <w:t>Parl</w:t>
      </w:r>
      <w:proofErr w:type="spellEnd"/>
      <w:r w:rsidRPr="007A2E27">
        <w:rPr>
          <w:i/>
          <w:iCs/>
          <w:sz w:val="20"/>
          <w:szCs w:val="20"/>
          <w:lang w:val="nl-BE" w:eastAsia="ja-JP"/>
        </w:rPr>
        <w:t>. St.</w:t>
      </w:r>
      <w:r>
        <w:rPr>
          <w:sz w:val="20"/>
          <w:szCs w:val="20"/>
          <w:lang w:val="nl-BE" w:eastAsia="ja-JP"/>
        </w:rPr>
        <w:t xml:space="preserve"> Senaat 1999-2000, 2-244/1,</w:t>
      </w:r>
      <w:r w:rsidRPr="007A2E27">
        <w:rPr>
          <w:sz w:val="20"/>
          <w:szCs w:val="20"/>
          <w:lang w:val="nl-BE" w:eastAsia="ja-JP"/>
        </w:rPr>
        <w:t xml:space="preserve"> 3;Verslag LALOY en VAN RIET, </w:t>
      </w:r>
      <w:proofErr w:type="spellStart"/>
      <w:r w:rsidRPr="007A2E27">
        <w:rPr>
          <w:i/>
          <w:iCs/>
          <w:sz w:val="20"/>
          <w:szCs w:val="20"/>
          <w:lang w:val="nl-BE" w:eastAsia="ja-JP"/>
        </w:rPr>
        <w:t>Parl</w:t>
      </w:r>
      <w:proofErr w:type="spellEnd"/>
      <w:r w:rsidRPr="007A2E27">
        <w:rPr>
          <w:i/>
          <w:iCs/>
          <w:sz w:val="20"/>
          <w:szCs w:val="20"/>
          <w:lang w:val="nl-BE" w:eastAsia="ja-JP"/>
        </w:rPr>
        <w:t>. St.</w:t>
      </w:r>
      <w:r w:rsidRPr="007A2E27">
        <w:rPr>
          <w:sz w:val="20"/>
          <w:szCs w:val="20"/>
          <w:lang w:val="nl-BE" w:eastAsia="ja-JP"/>
        </w:rPr>
        <w:t xml:space="preserve"> Senaat 2000- 2001, 2</w:t>
      </w:r>
      <w:r>
        <w:rPr>
          <w:sz w:val="20"/>
          <w:szCs w:val="20"/>
          <w:lang w:val="nl-BE" w:eastAsia="ja-JP"/>
        </w:rPr>
        <w:t xml:space="preserve">-244/22, </w:t>
      </w:r>
      <w:r w:rsidRPr="007A2E27">
        <w:rPr>
          <w:sz w:val="20"/>
          <w:szCs w:val="20"/>
          <w:lang w:val="nl-BE" w:eastAsia="ja-JP"/>
        </w:rPr>
        <w:t>58-59;</w:t>
      </w:r>
      <w:r w:rsidRPr="007A2E27">
        <w:rPr>
          <w:sz w:val="20"/>
          <w:szCs w:val="20"/>
          <w:lang w:val="nl-BE"/>
        </w:rPr>
        <w:t xml:space="preserve"> </w:t>
      </w:r>
    </w:p>
    <w:p w:rsidR="001A0466" w:rsidRPr="007A2E27" w:rsidRDefault="001A0466" w:rsidP="00AE0F83">
      <w:pPr>
        <w:jc w:val="both"/>
        <w:rPr>
          <w:sz w:val="20"/>
          <w:szCs w:val="20"/>
          <w:lang w:val="nl-BE"/>
        </w:rPr>
      </w:pPr>
      <w:r w:rsidRPr="007A2E27">
        <w:rPr>
          <w:rFonts w:eastAsia="Times New Roman"/>
          <w:color w:val="000000"/>
          <w:sz w:val="20"/>
          <w:szCs w:val="20"/>
          <w:lang w:val="nl-BE" w:eastAsia="ja-JP"/>
        </w:rPr>
        <w:t xml:space="preserve">KINDERRECHTENCOMMISARIAAT, “Advies: Euthanasie en Minderjarigen bij het wetsvoorstel betreffende de euthanasie”, </w:t>
      </w:r>
      <w:hyperlink r:id="rId1" w:history="1">
        <w:r w:rsidRPr="007A2E27">
          <w:rPr>
            <w:rStyle w:val="Hyperlink"/>
            <w:rFonts w:eastAsia="Times New Roman"/>
            <w:color w:val="auto"/>
            <w:sz w:val="20"/>
            <w:szCs w:val="20"/>
            <w:lang w:val="nl-BE" w:eastAsia="ja-JP"/>
          </w:rPr>
          <w:t>http://www.kinderrechten.be/IUSR/adviezen//Adviezen_pdf/2001_2002/2001-2002_8_Euthanasie_en_minderjarigen_pdf.pdf</w:t>
        </w:r>
      </w:hyperlink>
      <w:r w:rsidRPr="007A2E27">
        <w:rPr>
          <w:rFonts w:eastAsia="Times New Roman"/>
          <w:sz w:val="20"/>
          <w:szCs w:val="20"/>
          <w:u w:val="single"/>
          <w:lang w:val="nl-BE" w:eastAsia="ja-JP"/>
        </w:rPr>
        <w:t>.</w:t>
      </w:r>
      <w:r w:rsidRPr="007A2E27">
        <w:rPr>
          <w:rFonts w:eastAsia="Times New Roman"/>
          <w:sz w:val="20"/>
          <w:szCs w:val="20"/>
          <w:lang w:val="nl-BE" w:eastAsia="ja-JP"/>
        </w:rPr>
        <w:t>,</w:t>
      </w:r>
      <w:r w:rsidRPr="007A2E27">
        <w:rPr>
          <w:rFonts w:eastAsia="Times New Roman"/>
          <w:color w:val="000000"/>
          <w:sz w:val="20"/>
          <w:szCs w:val="20"/>
          <w:lang w:val="nl-BE" w:eastAsia="ja-JP"/>
        </w:rPr>
        <w:t xml:space="preserve"> 2; </w:t>
      </w:r>
      <w:r w:rsidRPr="007A2E27">
        <w:rPr>
          <w:sz w:val="20"/>
          <w:szCs w:val="20"/>
        </w:rPr>
        <w:t xml:space="preserve">E. </w:t>
      </w:r>
      <w:r w:rsidRPr="007A2E27">
        <w:rPr>
          <w:rFonts w:eastAsia="Times New Roman"/>
          <w:smallCaps/>
          <w:color w:val="000000"/>
          <w:sz w:val="20"/>
          <w:szCs w:val="20"/>
          <w:lang w:val="nl-BE" w:eastAsia="ja-JP"/>
        </w:rPr>
        <w:t xml:space="preserve">De </w:t>
      </w:r>
      <w:proofErr w:type="spellStart"/>
      <w:r w:rsidRPr="007A2E27">
        <w:rPr>
          <w:rFonts w:eastAsia="Times New Roman"/>
          <w:smallCaps/>
          <w:color w:val="000000"/>
          <w:sz w:val="20"/>
          <w:szCs w:val="20"/>
          <w:lang w:val="nl-BE" w:eastAsia="ja-JP"/>
        </w:rPr>
        <w:t>Keyser</w:t>
      </w:r>
      <w:proofErr w:type="spellEnd"/>
      <w:r w:rsidRPr="007A2E27">
        <w:rPr>
          <w:rFonts w:eastAsia="Times New Roman"/>
          <w:smallCaps/>
          <w:color w:val="000000"/>
          <w:sz w:val="20"/>
          <w:szCs w:val="20"/>
          <w:lang w:val="nl-BE" w:eastAsia="ja-JP"/>
        </w:rPr>
        <w:t xml:space="preserve">, </w:t>
      </w:r>
      <w:r w:rsidRPr="007A2E27">
        <w:rPr>
          <w:rFonts w:eastAsia="Times New Roman"/>
          <w:color w:val="000000"/>
          <w:sz w:val="20"/>
          <w:szCs w:val="20"/>
          <w:lang w:val="nl-BE" w:eastAsia="ja-JP"/>
        </w:rPr>
        <w:t xml:space="preserve"> “Respect voor het zelfbeschikkingsrecht van de patiënt: gevolgen voor de wet betreffende de euthanasie”, </w:t>
      </w:r>
      <w:proofErr w:type="spellStart"/>
      <w:r w:rsidRPr="007A2E27">
        <w:rPr>
          <w:rFonts w:eastAsia="Times New Roman"/>
          <w:i/>
          <w:color w:val="000000"/>
          <w:sz w:val="20"/>
          <w:szCs w:val="20"/>
          <w:lang w:val="nl-BE" w:eastAsia="ja-JP"/>
        </w:rPr>
        <w:t>T.Gez</w:t>
      </w:r>
      <w:proofErr w:type="spellEnd"/>
      <w:r w:rsidRPr="007A2E27">
        <w:rPr>
          <w:rFonts w:eastAsia="Times New Roman"/>
          <w:i/>
          <w:color w:val="000000"/>
          <w:sz w:val="20"/>
          <w:szCs w:val="20"/>
          <w:lang w:val="nl-BE" w:eastAsia="ja-JP"/>
        </w:rPr>
        <w:t>.</w:t>
      </w:r>
      <w:r w:rsidRPr="007A2E27">
        <w:rPr>
          <w:rFonts w:eastAsia="Times New Roman"/>
          <w:color w:val="000000"/>
          <w:sz w:val="20"/>
          <w:szCs w:val="20"/>
          <w:lang w:val="nl-BE" w:eastAsia="ja-JP"/>
        </w:rPr>
        <w:t xml:space="preserve"> 2005, afl. 5, 377; </w:t>
      </w:r>
      <w:r w:rsidRPr="007A2E27">
        <w:rPr>
          <w:sz w:val="20"/>
          <w:szCs w:val="20"/>
          <w:lang w:val="nl-BE"/>
        </w:rPr>
        <w:t xml:space="preserve">G. </w:t>
      </w:r>
      <w:proofErr w:type="spellStart"/>
      <w:r w:rsidRPr="007A2E27">
        <w:rPr>
          <w:smallCaps/>
          <w:sz w:val="20"/>
          <w:szCs w:val="20"/>
          <w:lang w:val="nl-BE"/>
        </w:rPr>
        <w:t>Genicot</w:t>
      </w:r>
      <w:proofErr w:type="spellEnd"/>
      <w:r w:rsidRPr="007A2E27">
        <w:rPr>
          <w:sz w:val="20"/>
          <w:szCs w:val="20"/>
          <w:lang w:val="nl-BE"/>
        </w:rPr>
        <w:t xml:space="preserve">, </w:t>
      </w:r>
      <w:proofErr w:type="spellStart"/>
      <w:r w:rsidRPr="007A2E27">
        <w:rPr>
          <w:i/>
          <w:sz w:val="20"/>
          <w:szCs w:val="20"/>
          <w:lang w:val="nl-BE"/>
        </w:rPr>
        <w:t>Droit</w:t>
      </w:r>
      <w:proofErr w:type="spellEnd"/>
      <w:r w:rsidRPr="007A2E27">
        <w:rPr>
          <w:i/>
          <w:sz w:val="20"/>
          <w:szCs w:val="20"/>
          <w:lang w:val="nl-BE"/>
        </w:rPr>
        <w:t xml:space="preserve"> </w:t>
      </w:r>
      <w:proofErr w:type="spellStart"/>
      <w:r w:rsidRPr="007A2E27">
        <w:rPr>
          <w:i/>
          <w:sz w:val="20"/>
          <w:szCs w:val="20"/>
          <w:lang w:val="nl-BE"/>
        </w:rPr>
        <w:t>médical</w:t>
      </w:r>
      <w:proofErr w:type="spellEnd"/>
      <w:r w:rsidRPr="007A2E27">
        <w:rPr>
          <w:i/>
          <w:sz w:val="20"/>
          <w:szCs w:val="20"/>
          <w:lang w:val="nl-BE"/>
        </w:rPr>
        <w:t xml:space="preserve"> et </w:t>
      </w:r>
      <w:proofErr w:type="spellStart"/>
      <w:r w:rsidRPr="007A2E27">
        <w:rPr>
          <w:i/>
          <w:sz w:val="20"/>
          <w:szCs w:val="20"/>
          <w:lang w:val="nl-BE"/>
        </w:rPr>
        <w:t>biomédical</w:t>
      </w:r>
      <w:proofErr w:type="spellEnd"/>
      <w:r w:rsidRPr="007A2E27">
        <w:rPr>
          <w:sz w:val="20"/>
          <w:szCs w:val="20"/>
          <w:lang w:val="nl-BE"/>
        </w:rPr>
        <w:t xml:space="preserve">, Brussel, </w:t>
      </w:r>
      <w:proofErr w:type="spellStart"/>
      <w:r w:rsidRPr="007A2E27">
        <w:rPr>
          <w:sz w:val="20"/>
          <w:szCs w:val="20"/>
          <w:lang w:val="nl-BE"/>
        </w:rPr>
        <w:t>Larcier</w:t>
      </w:r>
      <w:proofErr w:type="spellEnd"/>
      <w:r w:rsidRPr="007A2E27">
        <w:rPr>
          <w:sz w:val="20"/>
          <w:szCs w:val="20"/>
          <w:lang w:val="nl-BE"/>
        </w:rPr>
        <w:t xml:space="preserve">, 2010, 662; H. </w:t>
      </w:r>
      <w:proofErr w:type="spellStart"/>
      <w:r w:rsidRPr="007A2E27">
        <w:rPr>
          <w:sz w:val="20"/>
          <w:szCs w:val="20"/>
          <w:lang w:val="nl-BE"/>
        </w:rPr>
        <w:t>N</w:t>
      </w:r>
      <w:r w:rsidRPr="007A2E27">
        <w:rPr>
          <w:smallCaps/>
          <w:sz w:val="20"/>
          <w:szCs w:val="20"/>
          <w:lang w:val="nl-BE"/>
        </w:rPr>
        <w:t>ys</w:t>
      </w:r>
      <w:proofErr w:type="spellEnd"/>
      <w:r w:rsidRPr="007A2E27">
        <w:rPr>
          <w:sz w:val="20"/>
          <w:szCs w:val="20"/>
          <w:lang w:val="nl-BE"/>
        </w:rPr>
        <w:t xml:space="preserve">, “Euthanasie bij kinderen naar Belgisch recht”, </w:t>
      </w:r>
      <w:r w:rsidRPr="007A2E27">
        <w:rPr>
          <w:i/>
          <w:sz w:val="20"/>
          <w:szCs w:val="20"/>
          <w:lang w:val="nl-BE"/>
        </w:rPr>
        <w:t>TJK</w:t>
      </w:r>
      <w:r w:rsidRPr="007A2E27">
        <w:rPr>
          <w:sz w:val="20"/>
          <w:szCs w:val="20"/>
          <w:lang w:val="nl-BE"/>
        </w:rPr>
        <w:t xml:space="preserve"> 2009, afl. 4, 277-278; T. </w:t>
      </w:r>
      <w:proofErr w:type="spellStart"/>
      <w:r w:rsidRPr="007A2E27">
        <w:rPr>
          <w:smallCaps/>
          <w:sz w:val="20"/>
          <w:szCs w:val="20"/>
          <w:lang w:val="nl-BE" w:eastAsia="ja-JP"/>
        </w:rPr>
        <w:t>Vansweevelt</w:t>
      </w:r>
      <w:proofErr w:type="spellEnd"/>
      <w:r w:rsidRPr="007A2E27">
        <w:rPr>
          <w:smallCaps/>
          <w:sz w:val="20"/>
          <w:szCs w:val="20"/>
          <w:lang w:val="nl-BE" w:eastAsia="ja-JP"/>
        </w:rPr>
        <w:t xml:space="preserve">, </w:t>
      </w:r>
      <w:r w:rsidRPr="007A2E27">
        <w:rPr>
          <w:sz w:val="20"/>
          <w:szCs w:val="20"/>
          <w:lang w:val="nl-BE" w:eastAsia="ja-JP"/>
        </w:rPr>
        <w:t xml:space="preserve">“De euthanasiewet. Toepassingsgebied en krachtlijnen.”, </w:t>
      </w:r>
      <w:r w:rsidRPr="007A2E27">
        <w:rPr>
          <w:i/>
          <w:sz w:val="20"/>
          <w:szCs w:val="20"/>
          <w:lang w:val="nl-BE" w:eastAsia="ja-JP"/>
        </w:rPr>
        <w:t>NJW</w:t>
      </w:r>
      <w:r w:rsidRPr="007A2E27">
        <w:rPr>
          <w:sz w:val="20"/>
          <w:szCs w:val="20"/>
          <w:lang w:val="nl-BE" w:eastAsia="ja-JP"/>
        </w:rPr>
        <w:t xml:space="preserve"> 2002, afl. 13, 447; </w:t>
      </w:r>
      <w:r w:rsidRPr="007A2E27">
        <w:rPr>
          <w:smallCaps/>
          <w:sz w:val="20"/>
          <w:szCs w:val="20"/>
          <w:lang w:val="nl-BE" w:eastAsia="ja-JP"/>
        </w:rPr>
        <w:t xml:space="preserve">T. </w:t>
      </w:r>
      <w:proofErr w:type="spellStart"/>
      <w:r w:rsidRPr="007A2E27">
        <w:rPr>
          <w:smallCaps/>
          <w:sz w:val="20"/>
          <w:szCs w:val="20"/>
          <w:lang w:val="nl-BE" w:eastAsia="ja-JP"/>
        </w:rPr>
        <w:t>Vansweevelt</w:t>
      </w:r>
      <w:proofErr w:type="spellEnd"/>
      <w:r w:rsidRPr="007A2E27">
        <w:rPr>
          <w:smallCaps/>
          <w:sz w:val="20"/>
          <w:szCs w:val="20"/>
          <w:lang w:val="nl-BE" w:eastAsia="ja-JP"/>
        </w:rPr>
        <w:t xml:space="preserve">, </w:t>
      </w:r>
      <w:r w:rsidRPr="007A2E27">
        <w:rPr>
          <w:sz w:val="20"/>
          <w:szCs w:val="20"/>
          <w:lang w:val="nl-BE"/>
        </w:rPr>
        <w:t xml:space="preserve"> “</w:t>
      </w:r>
      <w:r w:rsidRPr="007A2E27">
        <w:rPr>
          <w:color w:val="000000"/>
          <w:sz w:val="20"/>
          <w:szCs w:val="20"/>
        </w:rPr>
        <w:t xml:space="preserve">De euthanasiewet. De ultieme bevestiging van het zelfbeschikkingsrecht of een gecontroleerde keuzevrijheid?”, </w:t>
      </w:r>
      <w:proofErr w:type="spellStart"/>
      <w:r w:rsidRPr="007A2E27">
        <w:rPr>
          <w:i/>
          <w:color w:val="000000"/>
          <w:sz w:val="20"/>
          <w:szCs w:val="20"/>
        </w:rPr>
        <w:t>T.Gez</w:t>
      </w:r>
      <w:proofErr w:type="spellEnd"/>
      <w:r w:rsidRPr="007A2E27">
        <w:rPr>
          <w:color w:val="000000"/>
          <w:sz w:val="20"/>
          <w:szCs w:val="20"/>
        </w:rPr>
        <w:t>. 2002, afl.4, 233</w:t>
      </w:r>
      <w:r>
        <w:rPr>
          <w:color w:val="000000"/>
          <w:sz w:val="20"/>
          <w:szCs w:val="20"/>
        </w:rPr>
        <w:t xml:space="preserve"> </w:t>
      </w:r>
      <w:r w:rsidRPr="007A2E27">
        <w:rPr>
          <w:color w:val="000000"/>
          <w:sz w:val="20"/>
          <w:szCs w:val="20"/>
        </w:rPr>
        <w:t>en in</w:t>
      </w:r>
      <w:r w:rsidRPr="007A2E27">
        <w:rPr>
          <w:sz w:val="20"/>
          <w:szCs w:val="20"/>
          <w:lang w:val="nl-BE" w:eastAsia="ja-JP"/>
        </w:rPr>
        <w:t xml:space="preserve"> M. </w:t>
      </w:r>
      <w:proofErr w:type="spellStart"/>
      <w:r w:rsidRPr="007A2E27">
        <w:rPr>
          <w:smallCaps/>
          <w:sz w:val="20"/>
          <w:szCs w:val="20"/>
          <w:lang w:val="nl-BE"/>
        </w:rPr>
        <w:t>Cosyns</w:t>
      </w:r>
      <w:proofErr w:type="spellEnd"/>
      <w:r w:rsidRPr="007A2E27">
        <w:rPr>
          <w:smallCaps/>
          <w:sz w:val="20"/>
          <w:szCs w:val="20"/>
          <w:lang w:val="nl-BE"/>
        </w:rPr>
        <w:t xml:space="preserve">, T. </w:t>
      </w:r>
      <w:proofErr w:type="spellStart"/>
      <w:r w:rsidRPr="007A2E27">
        <w:rPr>
          <w:smallCaps/>
          <w:sz w:val="20"/>
          <w:szCs w:val="20"/>
          <w:lang w:val="nl-BE"/>
        </w:rPr>
        <w:t>Van</w:t>
      </w:r>
      <w:r>
        <w:rPr>
          <w:smallCaps/>
          <w:sz w:val="20"/>
          <w:szCs w:val="20"/>
          <w:lang w:val="nl-BE"/>
        </w:rPr>
        <w:t>sweevelt</w:t>
      </w:r>
      <w:proofErr w:type="spellEnd"/>
      <w:r>
        <w:rPr>
          <w:smallCaps/>
          <w:sz w:val="20"/>
          <w:szCs w:val="20"/>
          <w:lang w:val="nl-BE"/>
        </w:rPr>
        <w:t xml:space="preserve">, H. </w:t>
      </w:r>
      <w:proofErr w:type="spellStart"/>
      <w:r>
        <w:rPr>
          <w:smallCaps/>
          <w:sz w:val="20"/>
          <w:szCs w:val="20"/>
          <w:lang w:val="nl-BE"/>
        </w:rPr>
        <w:t>Nys</w:t>
      </w:r>
      <w:proofErr w:type="spellEnd"/>
      <w:r>
        <w:rPr>
          <w:smallCaps/>
          <w:sz w:val="20"/>
          <w:szCs w:val="20"/>
          <w:lang w:val="nl-BE"/>
        </w:rPr>
        <w:t xml:space="preserve">, T. </w:t>
      </w:r>
      <w:proofErr w:type="spellStart"/>
      <w:r>
        <w:rPr>
          <w:smallCaps/>
          <w:sz w:val="20"/>
          <w:szCs w:val="20"/>
          <w:lang w:val="nl-BE"/>
        </w:rPr>
        <w:t>Balthazar</w:t>
      </w:r>
      <w:proofErr w:type="spellEnd"/>
      <w:r>
        <w:rPr>
          <w:smallCaps/>
          <w:sz w:val="20"/>
          <w:szCs w:val="20"/>
          <w:lang w:val="nl-BE"/>
        </w:rPr>
        <w:t xml:space="preserve"> </w:t>
      </w:r>
      <w:r w:rsidRPr="005469DA">
        <w:rPr>
          <w:sz w:val="20"/>
          <w:szCs w:val="20"/>
          <w:lang w:val="nl-BE"/>
        </w:rPr>
        <w:t>en</w:t>
      </w:r>
      <w:r>
        <w:rPr>
          <w:smallCaps/>
          <w:sz w:val="20"/>
          <w:szCs w:val="20"/>
          <w:lang w:val="nl-BE"/>
        </w:rPr>
        <w:t xml:space="preserve"> </w:t>
      </w:r>
      <w:r w:rsidRPr="007A2E27">
        <w:rPr>
          <w:smallCaps/>
          <w:sz w:val="20"/>
          <w:szCs w:val="20"/>
          <w:lang w:val="nl-BE"/>
        </w:rPr>
        <w:t xml:space="preserve">J. </w:t>
      </w:r>
      <w:proofErr w:type="spellStart"/>
      <w:r w:rsidRPr="007A2E27">
        <w:rPr>
          <w:smallCaps/>
          <w:sz w:val="20"/>
          <w:szCs w:val="20"/>
          <w:lang w:val="nl-BE"/>
        </w:rPr>
        <w:t>Legemaate</w:t>
      </w:r>
      <w:proofErr w:type="spellEnd"/>
      <w:r w:rsidRPr="007A2E27">
        <w:rPr>
          <w:smallCaps/>
          <w:sz w:val="20"/>
          <w:szCs w:val="20"/>
          <w:lang w:val="nl-BE"/>
        </w:rPr>
        <w:t xml:space="preserve">, </w:t>
      </w:r>
      <w:r w:rsidRPr="007A2E27">
        <w:rPr>
          <w:i/>
          <w:sz w:val="20"/>
          <w:szCs w:val="20"/>
          <w:lang w:val="nl-BE"/>
        </w:rPr>
        <w:t>De euthanasiewet doorgelicht</w:t>
      </w:r>
      <w:r w:rsidRPr="007A2E27">
        <w:rPr>
          <w:sz w:val="20"/>
          <w:szCs w:val="20"/>
          <w:lang w:val="nl-BE"/>
        </w:rPr>
        <w:t xml:space="preserve">, Mechelen, </w:t>
      </w:r>
      <w:proofErr w:type="spellStart"/>
      <w:r w:rsidRPr="007A2E27">
        <w:rPr>
          <w:sz w:val="20"/>
          <w:szCs w:val="20"/>
          <w:lang w:val="nl-BE"/>
        </w:rPr>
        <w:t>Kluwer</w:t>
      </w:r>
      <w:proofErr w:type="spellEnd"/>
      <w:r w:rsidRPr="007A2E27">
        <w:rPr>
          <w:sz w:val="20"/>
          <w:szCs w:val="20"/>
          <w:lang w:val="nl-BE"/>
        </w:rPr>
        <w:t>, 2003, 60</w:t>
      </w:r>
      <w:r w:rsidRPr="007A2E27">
        <w:rPr>
          <w:color w:val="000000"/>
          <w:sz w:val="20"/>
          <w:szCs w:val="20"/>
        </w:rPr>
        <w:t>.</w:t>
      </w:r>
    </w:p>
  </w:footnote>
  <w:footnote w:id="19">
    <w:p w:rsidR="001A0466" w:rsidRPr="007A2E27" w:rsidRDefault="001A0466" w:rsidP="000F4EC1">
      <w:pPr>
        <w:jc w:val="both"/>
        <w:rPr>
          <w:sz w:val="20"/>
          <w:szCs w:val="20"/>
          <w:lang w:val="nl-BE"/>
        </w:rPr>
      </w:pPr>
      <w:r w:rsidRPr="007A2E27">
        <w:rPr>
          <w:rStyle w:val="Voetnootmarkering"/>
          <w:sz w:val="20"/>
          <w:szCs w:val="20"/>
        </w:rPr>
        <w:footnoteRef/>
      </w:r>
      <w:r w:rsidRPr="007A2E27">
        <w:rPr>
          <w:sz w:val="20"/>
          <w:szCs w:val="20"/>
        </w:rPr>
        <w:t xml:space="preserve"> </w:t>
      </w:r>
      <w:r w:rsidRPr="007A2E27">
        <w:rPr>
          <w:sz w:val="20"/>
          <w:szCs w:val="20"/>
          <w:lang w:val="nl-BE"/>
        </w:rPr>
        <w:t xml:space="preserve">Raadgevend Comité voor Bio-ethiek, Advies betreffende het levensbeëindigend handelen bij </w:t>
      </w:r>
      <w:proofErr w:type="spellStart"/>
      <w:r w:rsidRPr="007A2E27">
        <w:rPr>
          <w:sz w:val="20"/>
          <w:szCs w:val="20"/>
          <w:lang w:val="nl-BE"/>
        </w:rPr>
        <w:t>wilsonbekwamen</w:t>
      </w:r>
      <w:proofErr w:type="spellEnd"/>
      <w:r w:rsidRPr="007A2E27">
        <w:rPr>
          <w:sz w:val="20"/>
          <w:szCs w:val="20"/>
          <w:lang w:val="nl-BE"/>
        </w:rPr>
        <w:t>, 22 februari 1999, nr. 9,</w:t>
      </w:r>
    </w:p>
    <w:p w:rsidR="001A0466" w:rsidRPr="007A2E27" w:rsidRDefault="001A0466" w:rsidP="000F4EC1">
      <w:pPr>
        <w:jc w:val="both"/>
        <w:rPr>
          <w:sz w:val="20"/>
          <w:szCs w:val="20"/>
          <w:u w:val="single"/>
        </w:rPr>
      </w:pPr>
      <w:r w:rsidRPr="007A2E27">
        <w:rPr>
          <w:sz w:val="20"/>
          <w:szCs w:val="20"/>
          <w:u w:val="single"/>
        </w:rPr>
        <w:t>http://www.health.belgium.be/filestore/7948443/Advies9-euthanasie_7948443_nl.pdf.</w:t>
      </w:r>
    </w:p>
  </w:footnote>
  <w:footnote w:id="20">
    <w:p w:rsidR="001A0466" w:rsidRPr="007A2E27" w:rsidRDefault="001A0466" w:rsidP="00F24E1F">
      <w:pPr>
        <w:jc w:val="both"/>
        <w:rPr>
          <w:sz w:val="20"/>
          <w:szCs w:val="20"/>
          <w:lang w:val="nl-BE"/>
        </w:rPr>
      </w:pPr>
      <w:r w:rsidRPr="007A2E27">
        <w:rPr>
          <w:rStyle w:val="Voetnootmarkering"/>
          <w:sz w:val="20"/>
          <w:szCs w:val="20"/>
        </w:rPr>
        <w:footnoteRef/>
      </w:r>
      <w:r w:rsidRPr="007A2E27">
        <w:rPr>
          <w:sz w:val="20"/>
          <w:szCs w:val="20"/>
          <w:lang w:val="nl-BE"/>
        </w:rPr>
        <w:t xml:space="preserve"> Raadgevend Comité voor Bio-ethiek, Advies betreffende het levensbeëindigend handelen bij </w:t>
      </w:r>
      <w:proofErr w:type="spellStart"/>
      <w:r w:rsidRPr="007A2E27">
        <w:rPr>
          <w:sz w:val="20"/>
          <w:szCs w:val="20"/>
          <w:lang w:val="nl-BE"/>
        </w:rPr>
        <w:t>wilsonbekwamen</w:t>
      </w:r>
      <w:proofErr w:type="spellEnd"/>
      <w:r w:rsidRPr="007A2E27">
        <w:rPr>
          <w:sz w:val="20"/>
          <w:szCs w:val="20"/>
          <w:lang w:val="nl-BE"/>
        </w:rPr>
        <w:t>, 22 februari 1999, nr. 9,</w:t>
      </w:r>
    </w:p>
    <w:p w:rsidR="001A0466" w:rsidRPr="007A2E27" w:rsidRDefault="001A0466" w:rsidP="000F4EC1">
      <w:pPr>
        <w:jc w:val="both"/>
        <w:rPr>
          <w:sz w:val="20"/>
          <w:szCs w:val="20"/>
          <w:u w:val="single"/>
        </w:rPr>
      </w:pPr>
      <w:r w:rsidRPr="007A2E27">
        <w:rPr>
          <w:sz w:val="20"/>
          <w:szCs w:val="20"/>
          <w:u w:val="single"/>
        </w:rPr>
        <w:t>http://www.health.belgium.be/filestore/7948443/Advies9-euthanasie_7948443_nl.pdf</w:t>
      </w:r>
      <w:r w:rsidRPr="007A2E27">
        <w:rPr>
          <w:sz w:val="20"/>
          <w:szCs w:val="20"/>
        </w:rPr>
        <w:t xml:space="preserve">, </w:t>
      </w:r>
      <w:r w:rsidRPr="007A2E27">
        <w:rPr>
          <w:sz w:val="20"/>
          <w:szCs w:val="20"/>
          <w:lang w:val="nl-BE"/>
        </w:rPr>
        <w:t>9.</w:t>
      </w:r>
    </w:p>
  </w:footnote>
  <w:footnote w:id="21">
    <w:p w:rsidR="001A0466" w:rsidRPr="002B2429" w:rsidRDefault="001A0466" w:rsidP="000F4EC1">
      <w:pPr>
        <w:pStyle w:val="Voetnoottekst"/>
        <w:jc w:val="both"/>
        <w:rPr>
          <w:lang w:val="nl-BE"/>
        </w:rPr>
      </w:pPr>
      <w:r w:rsidRPr="00F24E1F">
        <w:rPr>
          <w:rStyle w:val="Voetnootmarkering"/>
        </w:rPr>
        <w:footnoteRef/>
      </w:r>
      <w:r w:rsidRPr="002B2429">
        <w:rPr>
          <w:lang w:val="nl-BE"/>
        </w:rPr>
        <w:t xml:space="preserve"> </w:t>
      </w:r>
      <w:r w:rsidRPr="002B2429">
        <w:rPr>
          <w:i/>
          <w:lang w:val="nl-BE"/>
        </w:rPr>
        <w:t>Ibid.</w:t>
      </w:r>
      <w:r w:rsidRPr="002B2429">
        <w:rPr>
          <w:lang w:val="nl-BE"/>
        </w:rPr>
        <w:t xml:space="preserve"> </w:t>
      </w:r>
    </w:p>
  </w:footnote>
  <w:footnote w:id="22">
    <w:p w:rsidR="001A0466" w:rsidRPr="00F24E1F" w:rsidRDefault="001A0466" w:rsidP="00F24E1F">
      <w:pPr>
        <w:jc w:val="both"/>
        <w:rPr>
          <w:sz w:val="20"/>
          <w:szCs w:val="20"/>
          <w:lang w:val="nl-BE"/>
        </w:rPr>
      </w:pPr>
      <w:r w:rsidRPr="00F24E1F">
        <w:rPr>
          <w:rStyle w:val="Voetnootmarkering"/>
          <w:sz w:val="20"/>
          <w:szCs w:val="20"/>
        </w:rPr>
        <w:footnoteRef/>
      </w:r>
      <w:r w:rsidRPr="00F24E1F">
        <w:rPr>
          <w:sz w:val="20"/>
          <w:szCs w:val="20"/>
          <w:lang w:val="nl-BE"/>
        </w:rPr>
        <w:t xml:space="preserve"> Raadgevend Comité voor Bio-ethiek, Advies betreffende het levensbeëindigend handelen bij </w:t>
      </w:r>
      <w:proofErr w:type="spellStart"/>
      <w:r w:rsidRPr="00F24E1F">
        <w:rPr>
          <w:sz w:val="20"/>
          <w:szCs w:val="20"/>
          <w:lang w:val="nl-BE"/>
        </w:rPr>
        <w:t>wilsonbekwamen</w:t>
      </w:r>
      <w:proofErr w:type="spellEnd"/>
      <w:r w:rsidRPr="00F24E1F">
        <w:rPr>
          <w:sz w:val="20"/>
          <w:szCs w:val="20"/>
          <w:lang w:val="nl-BE"/>
        </w:rPr>
        <w:t>, 22 februari 1999, nr.</w:t>
      </w:r>
      <w:r>
        <w:rPr>
          <w:sz w:val="20"/>
          <w:szCs w:val="20"/>
          <w:lang w:val="nl-BE"/>
        </w:rPr>
        <w:t xml:space="preserve"> </w:t>
      </w:r>
      <w:r w:rsidRPr="00F24E1F">
        <w:rPr>
          <w:sz w:val="20"/>
          <w:szCs w:val="20"/>
          <w:lang w:val="nl-BE"/>
        </w:rPr>
        <w:t>9,</w:t>
      </w:r>
    </w:p>
    <w:p w:rsidR="001A0466" w:rsidRPr="00F24E1F" w:rsidRDefault="001A0466" w:rsidP="00F24E1F">
      <w:pPr>
        <w:jc w:val="both"/>
        <w:rPr>
          <w:sz w:val="20"/>
          <w:szCs w:val="20"/>
          <w:u w:val="single"/>
        </w:rPr>
      </w:pPr>
      <w:r w:rsidRPr="00F24E1F">
        <w:rPr>
          <w:sz w:val="20"/>
          <w:szCs w:val="20"/>
          <w:u w:val="single"/>
        </w:rPr>
        <w:t>http://www.health.belgium.be/filestore/7948443/Advies9-euthanasie_7948443_nl.pdf</w:t>
      </w:r>
      <w:r w:rsidRPr="00F24E1F">
        <w:rPr>
          <w:sz w:val="20"/>
          <w:szCs w:val="20"/>
        </w:rPr>
        <w:t xml:space="preserve">,  </w:t>
      </w:r>
      <w:r w:rsidRPr="00F24E1F">
        <w:rPr>
          <w:sz w:val="20"/>
          <w:szCs w:val="20"/>
          <w:lang w:val="nl-BE"/>
        </w:rPr>
        <w:t>9-10.</w:t>
      </w:r>
    </w:p>
  </w:footnote>
  <w:footnote w:id="23">
    <w:p w:rsidR="001A0466" w:rsidRPr="000F4EC1" w:rsidRDefault="001A0466" w:rsidP="00F24E1F">
      <w:pPr>
        <w:jc w:val="both"/>
        <w:rPr>
          <w:sz w:val="20"/>
          <w:szCs w:val="20"/>
          <w:lang w:val="nl-BE"/>
        </w:rPr>
      </w:pPr>
      <w:r w:rsidRPr="00F24E1F">
        <w:rPr>
          <w:rStyle w:val="Voetnootmarkering"/>
          <w:sz w:val="20"/>
          <w:szCs w:val="20"/>
        </w:rPr>
        <w:footnoteRef/>
      </w:r>
      <w:r w:rsidRPr="00F24E1F">
        <w:rPr>
          <w:sz w:val="20"/>
          <w:szCs w:val="20"/>
        </w:rPr>
        <w:t xml:space="preserve"> </w:t>
      </w:r>
      <w:r w:rsidRPr="000F4EC1">
        <w:rPr>
          <w:sz w:val="20"/>
          <w:szCs w:val="20"/>
          <w:lang w:val="nl-BE"/>
        </w:rPr>
        <w:t xml:space="preserve">Raadgevend Comité voor Bio-ethiek, Advies betreffende het levensbeëindigend handelen bij </w:t>
      </w:r>
      <w:proofErr w:type="spellStart"/>
      <w:r w:rsidRPr="000F4EC1">
        <w:rPr>
          <w:sz w:val="20"/>
          <w:szCs w:val="20"/>
          <w:lang w:val="nl-BE"/>
        </w:rPr>
        <w:t>wilsonbekwamen</w:t>
      </w:r>
      <w:proofErr w:type="spellEnd"/>
      <w:r w:rsidRPr="000F4EC1">
        <w:rPr>
          <w:sz w:val="20"/>
          <w:szCs w:val="20"/>
          <w:lang w:val="nl-BE"/>
        </w:rPr>
        <w:t>, 22 februari 1999, nr.</w:t>
      </w:r>
      <w:r>
        <w:rPr>
          <w:sz w:val="20"/>
          <w:szCs w:val="20"/>
          <w:lang w:val="nl-BE"/>
        </w:rPr>
        <w:t xml:space="preserve"> </w:t>
      </w:r>
      <w:r w:rsidRPr="000F4EC1">
        <w:rPr>
          <w:sz w:val="20"/>
          <w:szCs w:val="20"/>
          <w:lang w:val="nl-BE"/>
        </w:rPr>
        <w:t>9,</w:t>
      </w:r>
    </w:p>
    <w:p w:rsidR="001A0466" w:rsidRPr="00F24E1F" w:rsidRDefault="001A0466" w:rsidP="00F24E1F">
      <w:pPr>
        <w:jc w:val="both"/>
        <w:rPr>
          <w:sz w:val="20"/>
          <w:szCs w:val="20"/>
          <w:u w:val="single"/>
        </w:rPr>
      </w:pPr>
      <w:r w:rsidRPr="00F24E1F">
        <w:rPr>
          <w:sz w:val="20"/>
          <w:szCs w:val="20"/>
          <w:u w:val="single"/>
        </w:rPr>
        <w:t>http://www.health.belgium.be/filestore/7948443/Advies9-euthanasie_7948443_nl.pdf</w:t>
      </w:r>
      <w:r w:rsidRPr="00F24E1F">
        <w:rPr>
          <w:sz w:val="20"/>
          <w:szCs w:val="20"/>
        </w:rPr>
        <w:t xml:space="preserve">, </w:t>
      </w:r>
      <w:r>
        <w:rPr>
          <w:sz w:val="20"/>
          <w:szCs w:val="20"/>
        </w:rPr>
        <w:t>13.</w:t>
      </w:r>
    </w:p>
  </w:footnote>
  <w:footnote w:id="24">
    <w:p w:rsidR="001A0466" w:rsidRPr="00F24E1F" w:rsidRDefault="001A0466" w:rsidP="000F4EC1">
      <w:pPr>
        <w:jc w:val="both"/>
        <w:rPr>
          <w:sz w:val="20"/>
          <w:szCs w:val="20"/>
          <w:lang w:val="nl-BE"/>
        </w:rPr>
      </w:pPr>
      <w:r w:rsidRPr="00F24E1F">
        <w:rPr>
          <w:rStyle w:val="Voetnootmarkering"/>
          <w:sz w:val="20"/>
          <w:szCs w:val="20"/>
        </w:rPr>
        <w:footnoteRef/>
      </w:r>
      <w:r w:rsidRPr="00F24E1F">
        <w:rPr>
          <w:sz w:val="20"/>
          <w:szCs w:val="20"/>
        </w:rPr>
        <w:t xml:space="preserve"> </w:t>
      </w:r>
      <w:r>
        <w:rPr>
          <w:sz w:val="20"/>
          <w:szCs w:val="20"/>
        </w:rPr>
        <w:t xml:space="preserve">E. </w:t>
      </w:r>
      <w:proofErr w:type="spellStart"/>
      <w:r>
        <w:rPr>
          <w:smallCaps/>
          <w:sz w:val="20"/>
          <w:szCs w:val="20"/>
          <w:lang w:val="nl-BE"/>
        </w:rPr>
        <w:t>Strubbe</w:t>
      </w:r>
      <w:proofErr w:type="spellEnd"/>
      <w:r>
        <w:rPr>
          <w:smallCaps/>
          <w:sz w:val="20"/>
          <w:szCs w:val="20"/>
          <w:lang w:val="nl-BE"/>
        </w:rPr>
        <w:t xml:space="preserve">, </w:t>
      </w:r>
      <w:r w:rsidRPr="00F24E1F">
        <w:rPr>
          <w:sz w:val="20"/>
          <w:szCs w:val="20"/>
          <w:lang w:val="nl-BE"/>
        </w:rPr>
        <w:t xml:space="preserve">“Naar en wettelijke erkenning van levensbeëindiging bij </w:t>
      </w:r>
      <w:proofErr w:type="spellStart"/>
      <w:r w:rsidRPr="00F24E1F">
        <w:rPr>
          <w:sz w:val="20"/>
          <w:szCs w:val="20"/>
          <w:lang w:val="nl-BE"/>
        </w:rPr>
        <w:t>wilsonbekwamen</w:t>
      </w:r>
      <w:proofErr w:type="spellEnd"/>
      <w:r w:rsidRPr="00F24E1F">
        <w:rPr>
          <w:sz w:val="20"/>
          <w:szCs w:val="20"/>
          <w:lang w:val="nl-BE"/>
        </w:rPr>
        <w:t xml:space="preserve">?”, </w:t>
      </w:r>
      <w:r w:rsidRPr="00F24E1F">
        <w:rPr>
          <w:i/>
          <w:sz w:val="20"/>
          <w:szCs w:val="20"/>
          <w:lang w:val="nl-BE"/>
        </w:rPr>
        <w:t>RW</w:t>
      </w:r>
      <w:r w:rsidRPr="00F24E1F">
        <w:rPr>
          <w:sz w:val="20"/>
          <w:szCs w:val="20"/>
          <w:lang w:val="nl-BE"/>
        </w:rPr>
        <w:t xml:space="preserve"> 1999-2000, afl. 10, 322.</w:t>
      </w:r>
    </w:p>
  </w:footnote>
  <w:footnote w:id="25">
    <w:p w:rsidR="001A0466" w:rsidRPr="00F24E1F" w:rsidRDefault="001A0466" w:rsidP="003B5A27">
      <w:pPr>
        <w:autoSpaceDE w:val="0"/>
        <w:autoSpaceDN w:val="0"/>
        <w:adjustRightInd w:val="0"/>
        <w:jc w:val="both"/>
        <w:rPr>
          <w:sz w:val="20"/>
          <w:szCs w:val="20"/>
          <w:lang w:val="nl-BE" w:eastAsia="ja-JP"/>
        </w:rPr>
      </w:pPr>
      <w:r w:rsidRPr="00F24E1F">
        <w:rPr>
          <w:rStyle w:val="Voetnootmarkering"/>
          <w:sz w:val="20"/>
          <w:szCs w:val="20"/>
        </w:rPr>
        <w:footnoteRef/>
      </w:r>
      <w:r w:rsidRPr="00F24E1F">
        <w:rPr>
          <w:sz w:val="20"/>
          <w:szCs w:val="20"/>
        </w:rPr>
        <w:t xml:space="preserve"> </w:t>
      </w:r>
      <w:r w:rsidRPr="00F24E1F">
        <w:rPr>
          <w:sz w:val="20"/>
          <w:szCs w:val="20"/>
          <w:lang w:val="nl-BE" w:eastAsia="ja-JP"/>
        </w:rPr>
        <w:t xml:space="preserve">Advies van de </w:t>
      </w:r>
      <w:r>
        <w:rPr>
          <w:sz w:val="20"/>
          <w:szCs w:val="20"/>
          <w:lang w:val="nl-BE" w:eastAsia="ja-JP"/>
        </w:rPr>
        <w:t>Nationale Raad van de Orde van g</w:t>
      </w:r>
      <w:r w:rsidRPr="00F24E1F">
        <w:rPr>
          <w:sz w:val="20"/>
          <w:szCs w:val="20"/>
          <w:lang w:val="nl-BE" w:eastAsia="ja-JP"/>
        </w:rPr>
        <w:t xml:space="preserve">eneesheren betreffende de medische betrokkenheid bij het naderende levenseinde, euthanasie, 15 januari 2000, </w:t>
      </w:r>
      <w:r w:rsidRPr="00F24E1F">
        <w:rPr>
          <w:i/>
          <w:iCs/>
          <w:sz w:val="20"/>
          <w:szCs w:val="20"/>
          <w:lang w:val="nl-BE" w:eastAsia="ja-JP"/>
        </w:rPr>
        <w:t xml:space="preserve">Tijdschrift van de Nationale </w:t>
      </w:r>
      <w:r w:rsidRPr="00F24E1F">
        <w:rPr>
          <w:i/>
          <w:sz w:val="20"/>
          <w:szCs w:val="20"/>
          <w:lang w:val="nl-BE" w:eastAsia="ja-JP"/>
        </w:rPr>
        <w:t>Raad</w:t>
      </w:r>
      <w:r w:rsidRPr="00F24E1F">
        <w:rPr>
          <w:sz w:val="20"/>
          <w:szCs w:val="20"/>
          <w:lang w:val="nl-BE" w:eastAsia="ja-JP"/>
        </w:rPr>
        <w:t xml:space="preserve">, nr. 87, 8 en </w:t>
      </w:r>
      <w:r w:rsidRPr="00F24E1F">
        <w:rPr>
          <w:sz w:val="20"/>
          <w:szCs w:val="20"/>
          <w:u w:val="single"/>
          <w:lang w:val="nl-BE" w:eastAsia="ja-JP"/>
        </w:rPr>
        <w:t>www.ordomedic.be/nl/adviezen/advies/advies-van-de-nationale-raad-van-de-orde-der-geneesheren-betreffende-de-medische-betrokkenheid-bij-het-naderende-levenseinde-euthanasie</w:t>
      </w:r>
      <w:r w:rsidRPr="00F24E1F">
        <w:rPr>
          <w:sz w:val="20"/>
          <w:szCs w:val="20"/>
          <w:lang w:val="nl-BE" w:eastAsia="ja-JP"/>
        </w:rPr>
        <w:t>.</w:t>
      </w:r>
    </w:p>
  </w:footnote>
  <w:footnote w:id="26">
    <w:p w:rsidR="001A0466" w:rsidRPr="005469DA" w:rsidRDefault="001A0466" w:rsidP="00DF5910">
      <w:pPr>
        <w:autoSpaceDE w:val="0"/>
        <w:autoSpaceDN w:val="0"/>
        <w:adjustRightInd w:val="0"/>
        <w:jc w:val="both"/>
        <w:rPr>
          <w:sz w:val="20"/>
          <w:szCs w:val="20"/>
          <w:u w:val="single"/>
          <w:lang w:val="nl-BE" w:eastAsia="ja-JP"/>
        </w:rPr>
      </w:pPr>
      <w:r w:rsidRPr="00DF5910">
        <w:rPr>
          <w:rStyle w:val="Voetnootmarkering"/>
          <w:sz w:val="20"/>
          <w:szCs w:val="20"/>
        </w:rPr>
        <w:footnoteRef/>
      </w:r>
      <w:r w:rsidRPr="00DF5910">
        <w:rPr>
          <w:sz w:val="20"/>
          <w:szCs w:val="20"/>
          <w:lang w:val="nl-BE" w:eastAsia="ja-JP"/>
        </w:rPr>
        <w:t xml:space="preserve"> Advies van de </w:t>
      </w:r>
      <w:r>
        <w:rPr>
          <w:sz w:val="20"/>
          <w:szCs w:val="20"/>
          <w:lang w:val="nl-BE" w:eastAsia="ja-JP"/>
        </w:rPr>
        <w:t>Nationale Raad van de Orde van g</w:t>
      </w:r>
      <w:r w:rsidRPr="00DF5910">
        <w:rPr>
          <w:sz w:val="20"/>
          <w:szCs w:val="20"/>
          <w:lang w:val="nl-BE" w:eastAsia="ja-JP"/>
        </w:rPr>
        <w:t xml:space="preserve">eneesheren betreffende euthanasie, 17 november 2001, </w:t>
      </w:r>
      <w:r w:rsidRPr="00DF5910">
        <w:rPr>
          <w:i/>
          <w:iCs/>
          <w:sz w:val="20"/>
          <w:szCs w:val="20"/>
          <w:lang w:val="nl-BE" w:eastAsia="ja-JP"/>
        </w:rPr>
        <w:t xml:space="preserve">Tijdschrift van de Nationale </w:t>
      </w:r>
      <w:r w:rsidRPr="00DF5910">
        <w:rPr>
          <w:i/>
          <w:sz w:val="20"/>
          <w:szCs w:val="20"/>
          <w:lang w:val="nl-BE" w:eastAsia="ja-JP"/>
        </w:rPr>
        <w:t>Raad</w:t>
      </w:r>
      <w:r w:rsidRPr="00DF5910">
        <w:rPr>
          <w:sz w:val="20"/>
          <w:szCs w:val="20"/>
        </w:rPr>
        <w:t xml:space="preserve">,  nr. 94, 2 en </w:t>
      </w:r>
      <w:r w:rsidRPr="00DF5910">
        <w:rPr>
          <w:rFonts w:eastAsia="Times New Roman"/>
          <w:bCs/>
          <w:sz w:val="20"/>
          <w:szCs w:val="20"/>
          <w:u w:val="single"/>
          <w:lang w:val="nl-BE" w:eastAsia="ja-JP"/>
        </w:rPr>
        <w:t>http://www.ordomedic.be/nl/adviezen/advies/euthanasie-1</w:t>
      </w:r>
      <w:r w:rsidRPr="00DF5910">
        <w:rPr>
          <w:sz w:val="20"/>
          <w:szCs w:val="20"/>
        </w:rPr>
        <w:t xml:space="preserve">; </w:t>
      </w:r>
      <w:r>
        <w:rPr>
          <w:smallCaps/>
          <w:sz w:val="20"/>
          <w:szCs w:val="20"/>
          <w:lang w:val="nl-BE"/>
        </w:rPr>
        <w:t xml:space="preserve">E. </w:t>
      </w:r>
      <w:proofErr w:type="spellStart"/>
      <w:r>
        <w:rPr>
          <w:smallCaps/>
          <w:sz w:val="20"/>
          <w:szCs w:val="20"/>
          <w:lang w:val="nl-BE"/>
        </w:rPr>
        <w:t>Morbé</w:t>
      </w:r>
      <w:proofErr w:type="spellEnd"/>
      <w:r>
        <w:rPr>
          <w:smallCaps/>
          <w:sz w:val="20"/>
          <w:szCs w:val="20"/>
          <w:lang w:val="nl-BE"/>
        </w:rPr>
        <w:t xml:space="preserve"> </w:t>
      </w:r>
      <w:r w:rsidRPr="005469DA">
        <w:rPr>
          <w:sz w:val="20"/>
          <w:szCs w:val="20"/>
          <w:lang w:val="nl-BE"/>
        </w:rPr>
        <w:t>en</w:t>
      </w:r>
      <w:r>
        <w:rPr>
          <w:smallCaps/>
          <w:sz w:val="20"/>
          <w:szCs w:val="20"/>
          <w:lang w:val="nl-BE"/>
        </w:rPr>
        <w:t xml:space="preserve"> </w:t>
      </w:r>
      <w:r w:rsidRPr="00DF5910">
        <w:rPr>
          <w:smallCaps/>
          <w:sz w:val="20"/>
          <w:szCs w:val="20"/>
          <w:lang w:val="nl-BE"/>
        </w:rPr>
        <w:t xml:space="preserve">C. Van </w:t>
      </w:r>
      <w:proofErr w:type="spellStart"/>
      <w:r w:rsidRPr="00DF5910">
        <w:rPr>
          <w:smallCaps/>
          <w:sz w:val="20"/>
          <w:szCs w:val="20"/>
          <w:lang w:val="nl-BE"/>
        </w:rPr>
        <w:t>Liederkerke</w:t>
      </w:r>
      <w:proofErr w:type="spellEnd"/>
      <w:r w:rsidRPr="00DF5910">
        <w:rPr>
          <w:smallCaps/>
          <w:sz w:val="20"/>
          <w:szCs w:val="20"/>
          <w:lang w:val="nl-BE"/>
        </w:rPr>
        <w:t xml:space="preserve">, </w:t>
      </w:r>
      <w:r w:rsidRPr="00DF5910">
        <w:rPr>
          <w:i/>
          <w:sz w:val="20"/>
          <w:szCs w:val="20"/>
          <w:lang w:val="nl-BE"/>
        </w:rPr>
        <w:t xml:space="preserve">Euthanasie en </w:t>
      </w:r>
      <w:proofErr w:type="spellStart"/>
      <w:r w:rsidRPr="00DF5910">
        <w:rPr>
          <w:i/>
          <w:sz w:val="20"/>
          <w:szCs w:val="20"/>
          <w:lang w:val="nl-BE"/>
        </w:rPr>
        <w:t>paliatieve</w:t>
      </w:r>
      <w:proofErr w:type="spellEnd"/>
      <w:r w:rsidRPr="00DF5910">
        <w:rPr>
          <w:i/>
          <w:sz w:val="20"/>
          <w:szCs w:val="20"/>
          <w:lang w:val="nl-BE"/>
        </w:rPr>
        <w:t xml:space="preserve"> zorg</w:t>
      </w:r>
      <w:r w:rsidRPr="00DF5910">
        <w:rPr>
          <w:sz w:val="20"/>
          <w:szCs w:val="20"/>
          <w:lang w:val="nl-BE"/>
        </w:rPr>
        <w:t xml:space="preserve">, </w:t>
      </w:r>
      <w:r w:rsidRPr="005469DA">
        <w:rPr>
          <w:i/>
          <w:sz w:val="20"/>
          <w:szCs w:val="20"/>
          <w:lang w:val="nl-BE"/>
        </w:rPr>
        <w:t>Een actuele stand van zaken</w:t>
      </w:r>
      <w:r w:rsidRPr="00DF5910">
        <w:rPr>
          <w:sz w:val="20"/>
          <w:szCs w:val="20"/>
          <w:lang w:val="nl-BE"/>
        </w:rPr>
        <w:t xml:space="preserve">, </w:t>
      </w:r>
      <w:proofErr w:type="spellStart"/>
      <w:r w:rsidRPr="00DF5910">
        <w:rPr>
          <w:sz w:val="20"/>
          <w:szCs w:val="20"/>
          <w:lang w:val="nl-BE"/>
        </w:rPr>
        <w:t>Heule</w:t>
      </w:r>
      <w:proofErr w:type="spellEnd"/>
      <w:r w:rsidRPr="00DF5910">
        <w:rPr>
          <w:sz w:val="20"/>
          <w:szCs w:val="20"/>
          <w:lang w:val="nl-BE"/>
        </w:rPr>
        <w:t xml:space="preserve">, UGA, 2002, 44; H. </w:t>
      </w:r>
      <w:proofErr w:type="spellStart"/>
      <w:r w:rsidRPr="00DF5910">
        <w:rPr>
          <w:smallCaps/>
          <w:sz w:val="20"/>
          <w:szCs w:val="20"/>
          <w:lang w:val="nl-BE"/>
        </w:rPr>
        <w:t>Nys</w:t>
      </w:r>
      <w:proofErr w:type="spellEnd"/>
      <w:r w:rsidRPr="00DF5910">
        <w:rPr>
          <w:smallCaps/>
          <w:sz w:val="20"/>
          <w:szCs w:val="20"/>
          <w:lang w:val="nl-BE"/>
        </w:rPr>
        <w:t xml:space="preserve"> </w:t>
      </w:r>
      <w:r w:rsidRPr="00DF5910">
        <w:rPr>
          <w:sz w:val="20"/>
          <w:szCs w:val="20"/>
          <w:lang w:val="nl-BE"/>
        </w:rPr>
        <w:t>en</w:t>
      </w:r>
      <w:r w:rsidRPr="00DF5910">
        <w:rPr>
          <w:smallCaps/>
          <w:sz w:val="20"/>
          <w:szCs w:val="20"/>
          <w:lang w:val="nl-BE"/>
        </w:rPr>
        <w:t xml:space="preserve"> E. Deckers, </w:t>
      </w:r>
      <w:r w:rsidRPr="00DF5910">
        <w:rPr>
          <w:i/>
          <w:sz w:val="20"/>
          <w:szCs w:val="20"/>
          <w:lang w:val="nl-BE"/>
        </w:rPr>
        <w:t>Nieuwe wetgeving inzake euthanasie, Gecoördineerde teksten en uittreksels uit de Parlementaire Werkzaamheden</w:t>
      </w:r>
      <w:r w:rsidRPr="00DF5910">
        <w:rPr>
          <w:sz w:val="20"/>
          <w:szCs w:val="20"/>
          <w:lang w:val="nl-BE"/>
        </w:rPr>
        <w:t xml:space="preserve">, Mechelen, </w:t>
      </w:r>
      <w:proofErr w:type="spellStart"/>
      <w:r w:rsidRPr="00DF5910">
        <w:rPr>
          <w:sz w:val="20"/>
          <w:szCs w:val="20"/>
          <w:lang w:val="nl-BE"/>
        </w:rPr>
        <w:t>Kluwer</w:t>
      </w:r>
      <w:proofErr w:type="spellEnd"/>
      <w:r w:rsidRPr="00DF5910">
        <w:rPr>
          <w:sz w:val="20"/>
          <w:szCs w:val="20"/>
          <w:lang w:val="nl-BE"/>
        </w:rPr>
        <w:t xml:space="preserve">, 2003, 4; </w:t>
      </w:r>
      <w:r w:rsidRPr="00DF5910">
        <w:rPr>
          <w:sz w:val="20"/>
          <w:szCs w:val="20"/>
        </w:rPr>
        <w:t xml:space="preserve">H. </w:t>
      </w:r>
      <w:proofErr w:type="spellStart"/>
      <w:r w:rsidRPr="00DF5910">
        <w:rPr>
          <w:smallCaps/>
          <w:sz w:val="20"/>
          <w:szCs w:val="20"/>
          <w:lang w:val="nl-BE"/>
        </w:rPr>
        <w:t>Nys</w:t>
      </w:r>
      <w:proofErr w:type="spellEnd"/>
      <w:r w:rsidRPr="00DF5910">
        <w:rPr>
          <w:smallCaps/>
          <w:sz w:val="20"/>
          <w:szCs w:val="20"/>
          <w:lang w:val="nl-BE"/>
        </w:rPr>
        <w:t xml:space="preserve">, </w:t>
      </w:r>
      <w:r w:rsidRPr="00DF5910">
        <w:rPr>
          <w:i/>
          <w:sz w:val="20"/>
          <w:szCs w:val="20"/>
          <w:lang w:val="nl-BE"/>
        </w:rPr>
        <w:t>De wet op de euthanasie</w:t>
      </w:r>
      <w:r w:rsidRPr="00DF5910">
        <w:rPr>
          <w:sz w:val="20"/>
          <w:szCs w:val="20"/>
          <w:lang w:val="nl-BE"/>
        </w:rPr>
        <w:t xml:space="preserve">, Mechelen, </w:t>
      </w:r>
      <w:proofErr w:type="spellStart"/>
      <w:r w:rsidRPr="00DF5910">
        <w:rPr>
          <w:sz w:val="20"/>
          <w:szCs w:val="20"/>
          <w:lang w:val="nl-BE"/>
        </w:rPr>
        <w:t>Kluwer</w:t>
      </w:r>
      <w:proofErr w:type="spellEnd"/>
      <w:r w:rsidRPr="00DF5910">
        <w:rPr>
          <w:sz w:val="20"/>
          <w:szCs w:val="20"/>
          <w:lang w:val="nl-BE"/>
        </w:rPr>
        <w:t xml:space="preserve">, 2004, 12; </w:t>
      </w:r>
      <w:r w:rsidRPr="00DF5910">
        <w:rPr>
          <w:sz w:val="20"/>
          <w:szCs w:val="20"/>
          <w:lang w:val="nl-BE" w:eastAsia="ja-JP"/>
        </w:rPr>
        <w:t xml:space="preserve">H. </w:t>
      </w:r>
      <w:proofErr w:type="spellStart"/>
      <w:r w:rsidRPr="00DF5910">
        <w:rPr>
          <w:smallCaps/>
          <w:sz w:val="20"/>
          <w:szCs w:val="20"/>
          <w:lang w:val="nl-BE"/>
        </w:rPr>
        <w:t>Nys</w:t>
      </w:r>
      <w:proofErr w:type="spellEnd"/>
      <w:r w:rsidRPr="00DF5910">
        <w:rPr>
          <w:smallCaps/>
          <w:sz w:val="20"/>
          <w:szCs w:val="20"/>
          <w:lang w:val="nl-BE"/>
        </w:rPr>
        <w:t xml:space="preserve">, </w:t>
      </w:r>
      <w:r w:rsidRPr="00DF5910">
        <w:rPr>
          <w:i/>
          <w:sz w:val="20"/>
          <w:szCs w:val="20"/>
          <w:lang w:val="nl-BE"/>
        </w:rPr>
        <w:t>Algemene praktische rechtsverzameling, Geneeskunde, Recht en medisch handelen</w:t>
      </w:r>
      <w:r w:rsidRPr="00DF5910">
        <w:rPr>
          <w:sz w:val="20"/>
          <w:szCs w:val="20"/>
          <w:lang w:val="nl-BE"/>
        </w:rPr>
        <w:t xml:space="preserve">, Mechelen, </w:t>
      </w:r>
      <w:proofErr w:type="spellStart"/>
      <w:r w:rsidRPr="00DF5910">
        <w:rPr>
          <w:sz w:val="20"/>
          <w:szCs w:val="20"/>
          <w:lang w:val="nl-BE"/>
        </w:rPr>
        <w:t>Kluwer</w:t>
      </w:r>
      <w:proofErr w:type="spellEnd"/>
      <w:r w:rsidRPr="00DF5910">
        <w:rPr>
          <w:sz w:val="20"/>
          <w:szCs w:val="20"/>
          <w:lang w:val="nl-BE"/>
        </w:rPr>
        <w:t xml:space="preserve">, 2005, 371-372. </w:t>
      </w:r>
    </w:p>
  </w:footnote>
  <w:footnote w:id="27">
    <w:p w:rsidR="001A0466" w:rsidRPr="00DF5910" w:rsidRDefault="001A0466" w:rsidP="00DF5910">
      <w:pPr>
        <w:autoSpaceDE w:val="0"/>
        <w:autoSpaceDN w:val="0"/>
        <w:adjustRightInd w:val="0"/>
        <w:jc w:val="both"/>
        <w:rPr>
          <w:sz w:val="20"/>
          <w:szCs w:val="20"/>
          <w:u w:val="single"/>
          <w:lang w:val="nl-BE" w:eastAsia="ja-JP"/>
        </w:rPr>
      </w:pPr>
      <w:r w:rsidRPr="00DF5910">
        <w:rPr>
          <w:rStyle w:val="Voetnootmarkering"/>
          <w:sz w:val="20"/>
          <w:szCs w:val="20"/>
        </w:rPr>
        <w:footnoteRef/>
      </w:r>
      <w:r w:rsidRPr="00DF5910">
        <w:rPr>
          <w:sz w:val="20"/>
          <w:szCs w:val="20"/>
        </w:rPr>
        <w:t xml:space="preserve"> </w:t>
      </w:r>
      <w:r w:rsidRPr="00DF5910">
        <w:rPr>
          <w:sz w:val="20"/>
          <w:szCs w:val="20"/>
          <w:lang w:val="nl-BE" w:eastAsia="ja-JP"/>
        </w:rPr>
        <w:t xml:space="preserve">Advies betreffende de </w:t>
      </w:r>
      <w:proofErr w:type="spellStart"/>
      <w:r w:rsidRPr="00DF5910">
        <w:rPr>
          <w:sz w:val="20"/>
          <w:szCs w:val="20"/>
          <w:lang w:val="nl-BE" w:eastAsia="ja-JP"/>
        </w:rPr>
        <w:t>palliatieve</w:t>
      </w:r>
      <w:proofErr w:type="spellEnd"/>
      <w:r w:rsidRPr="00DF5910">
        <w:rPr>
          <w:sz w:val="20"/>
          <w:szCs w:val="20"/>
          <w:lang w:val="nl-BE" w:eastAsia="ja-JP"/>
        </w:rPr>
        <w:t xml:space="preserve"> zorg, euthanasie en andere medische beslissingen omtrent het levenseinde, 22 maart 2003, </w:t>
      </w:r>
      <w:r w:rsidRPr="00DF5910">
        <w:rPr>
          <w:i/>
          <w:iCs/>
          <w:sz w:val="20"/>
          <w:szCs w:val="20"/>
          <w:lang w:val="nl-BE" w:eastAsia="ja-JP"/>
        </w:rPr>
        <w:t xml:space="preserve">Tijdschrift van de Nationale Raad, </w:t>
      </w:r>
      <w:r w:rsidRPr="00DF5910">
        <w:rPr>
          <w:sz w:val="20"/>
          <w:szCs w:val="20"/>
          <w:lang w:val="nl-BE" w:eastAsia="ja-JP"/>
        </w:rPr>
        <w:t xml:space="preserve">nr. 100, 5 en </w:t>
      </w:r>
      <w:r w:rsidRPr="00DF5910">
        <w:rPr>
          <w:sz w:val="20"/>
          <w:szCs w:val="20"/>
          <w:u w:val="single"/>
          <w:lang w:val="nl-BE" w:eastAsia="ja-JP"/>
        </w:rPr>
        <w:t>www.ordomedic.be/nl/adviezen/advies/advies-betreffende-palliatieve-zorg-euthanasie-en-andere-medische-beslissingen-omtrent-het-levenseinde</w:t>
      </w:r>
      <w:r w:rsidRPr="00DF5910">
        <w:rPr>
          <w:sz w:val="20"/>
          <w:szCs w:val="20"/>
          <w:lang w:val="nl-BE" w:eastAsia="ja-JP"/>
        </w:rPr>
        <w:t>.</w:t>
      </w:r>
    </w:p>
  </w:footnote>
  <w:footnote w:id="28">
    <w:p w:rsidR="001A0466" w:rsidRPr="00DF5910" w:rsidRDefault="001A0466" w:rsidP="00DF5910">
      <w:pPr>
        <w:pStyle w:val="Voetnoottekst"/>
        <w:jc w:val="both"/>
      </w:pPr>
      <w:r w:rsidRPr="00DF5910">
        <w:rPr>
          <w:rStyle w:val="Voetnootmarkering"/>
        </w:rPr>
        <w:footnoteRef/>
      </w:r>
      <w:r w:rsidRPr="00DF5910">
        <w:t xml:space="preserve"> </w:t>
      </w:r>
      <w:r w:rsidRPr="00DF5910">
        <w:rPr>
          <w:i/>
        </w:rPr>
        <w:t>Ibid.</w:t>
      </w:r>
    </w:p>
  </w:footnote>
  <w:footnote w:id="29">
    <w:p w:rsidR="001A0466" w:rsidRPr="00DF5910" w:rsidRDefault="001A0466" w:rsidP="00DF5910">
      <w:pPr>
        <w:jc w:val="both"/>
        <w:rPr>
          <w:sz w:val="20"/>
          <w:szCs w:val="20"/>
          <w:lang w:val="nl-BE"/>
        </w:rPr>
      </w:pPr>
      <w:r w:rsidRPr="00DF5910">
        <w:rPr>
          <w:rStyle w:val="Voetnootmarkering"/>
          <w:sz w:val="20"/>
          <w:szCs w:val="20"/>
        </w:rPr>
        <w:footnoteRef/>
      </w:r>
      <w:r w:rsidRPr="00DF5910">
        <w:rPr>
          <w:sz w:val="20"/>
          <w:szCs w:val="20"/>
        </w:rPr>
        <w:t xml:space="preserve"> </w:t>
      </w:r>
      <w:r w:rsidRPr="00DF5910">
        <w:rPr>
          <w:sz w:val="20"/>
          <w:szCs w:val="20"/>
          <w:lang w:val="nl-BE"/>
        </w:rPr>
        <w:t>Art</w:t>
      </w:r>
      <w:r>
        <w:rPr>
          <w:sz w:val="20"/>
          <w:szCs w:val="20"/>
          <w:lang w:val="nl-BE"/>
        </w:rPr>
        <w:t>ikel</w:t>
      </w:r>
      <w:r w:rsidRPr="00DF5910">
        <w:rPr>
          <w:sz w:val="20"/>
          <w:szCs w:val="20"/>
          <w:lang w:val="nl-BE"/>
        </w:rPr>
        <w:t xml:space="preserve"> 12 Kinderrechtenverdrag, </w:t>
      </w:r>
      <w:proofErr w:type="spellStart"/>
      <w:r w:rsidRPr="00DF5910">
        <w:rPr>
          <w:i/>
          <w:sz w:val="20"/>
          <w:szCs w:val="20"/>
          <w:lang w:val="nl-BE"/>
        </w:rPr>
        <w:t>infra</w:t>
      </w:r>
      <w:proofErr w:type="spellEnd"/>
      <w:r w:rsidRPr="00DF5910">
        <w:rPr>
          <w:sz w:val="20"/>
          <w:szCs w:val="20"/>
          <w:lang w:val="nl-BE"/>
        </w:rPr>
        <w:t>.</w:t>
      </w:r>
    </w:p>
  </w:footnote>
  <w:footnote w:id="30">
    <w:p w:rsidR="001A0466" w:rsidRPr="00DF5910" w:rsidRDefault="001A0466" w:rsidP="00DF5910">
      <w:pPr>
        <w:jc w:val="both"/>
        <w:rPr>
          <w:sz w:val="20"/>
          <w:szCs w:val="20"/>
          <w:lang w:val="nl-BE"/>
        </w:rPr>
      </w:pPr>
      <w:r w:rsidRPr="00DF5910">
        <w:rPr>
          <w:rStyle w:val="Voetnootmarkering"/>
          <w:sz w:val="20"/>
          <w:szCs w:val="20"/>
        </w:rPr>
        <w:footnoteRef/>
      </w:r>
      <w:r w:rsidRPr="00DF5910">
        <w:rPr>
          <w:sz w:val="20"/>
          <w:szCs w:val="20"/>
        </w:rPr>
        <w:t xml:space="preserve"> </w:t>
      </w:r>
      <w:r>
        <w:rPr>
          <w:sz w:val="20"/>
          <w:szCs w:val="20"/>
          <w:lang w:val="nl-BE"/>
        </w:rPr>
        <w:t>Artikel</w:t>
      </w:r>
      <w:r w:rsidRPr="00DF5910">
        <w:rPr>
          <w:sz w:val="20"/>
          <w:szCs w:val="20"/>
          <w:lang w:val="nl-BE"/>
        </w:rPr>
        <w:t xml:space="preserve"> 12 Wet van 22 augustus 2002 betreffende de rechten van de patiënt, </w:t>
      </w:r>
      <w:proofErr w:type="spellStart"/>
      <w:r w:rsidRPr="00DF5910">
        <w:rPr>
          <w:i/>
          <w:sz w:val="20"/>
          <w:szCs w:val="20"/>
          <w:lang w:val="nl-BE"/>
        </w:rPr>
        <w:t>infra</w:t>
      </w:r>
      <w:proofErr w:type="spellEnd"/>
      <w:r w:rsidRPr="00DF5910">
        <w:rPr>
          <w:sz w:val="20"/>
          <w:szCs w:val="20"/>
          <w:lang w:val="nl-BE"/>
        </w:rPr>
        <w:t>.</w:t>
      </w:r>
    </w:p>
  </w:footnote>
  <w:footnote w:id="31">
    <w:p w:rsidR="001A0466" w:rsidRPr="00DF5910" w:rsidRDefault="001A0466" w:rsidP="00DF5910">
      <w:pPr>
        <w:autoSpaceDE w:val="0"/>
        <w:autoSpaceDN w:val="0"/>
        <w:adjustRightInd w:val="0"/>
        <w:jc w:val="both"/>
        <w:rPr>
          <w:sz w:val="20"/>
          <w:szCs w:val="20"/>
          <w:lang w:val="nl-BE" w:eastAsia="ja-JP"/>
        </w:rPr>
      </w:pPr>
      <w:r w:rsidRPr="00DF5910">
        <w:rPr>
          <w:rStyle w:val="Voetnootmarkering"/>
          <w:sz w:val="20"/>
          <w:szCs w:val="20"/>
        </w:rPr>
        <w:footnoteRef/>
      </w:r>
      <w:r w:rsidRPr="00DF5910">
        <w:rPr>
          <w:sz w:val="20"/>
          <w:szCs w:val="20"/>
        </w:rPr>
        <w:t xml:space="preserve"> </w:t>
      </w:r>
      <w:r w:rsidRPr="00DF5910">
        <w:rPr>
          <w:sz w:val="20"/>
          <w:szCs w:val="20"/>
          <w:lang w:val="nl-BE" w:eastAsia="ja-JP"/>
        </w:rPr>
        <w:t xml:space="preserve">Advies betreffende de </w:t>
      </w:r>
      <w:proofErr w:type="spellStart"/>
      <w:r w:rsidRPr="00DF5910">
        <w:rPr>
          <w:sz w:val="20"/>
          <w:szCs w:val="20"/>
          <w:lang w:val="nl-BE" w:eastAsia="ja-JP"/>
        </w:rPr>
        <w:t>palliatieve</w:t>
      </w:r>
      <w:proofErr w:type="spellEnd"/>
      <w:r w:rsidRPr="00DF5910">
        <w:rPr>
          <w:sz w:val="20"/>
          <w:szCs w:val="20"/>
          <w:lang w:val="nl-BE" w:eastAsia="ja-JP"/>
        </w:rPr>
        <w:t xml:space="preserve"> zorg, euthanasie en andere medische beslissingen omtrent het levenseinde, 22 maart 2003, </w:t>
      </w:r>
      <w:r w:rsidRPr="00DF5910">
        <w:rPr>
          <w:i/>
          <w:iCs/>
          <w:sz w:val="20"/>
          <w:szCs w:val="20"/>
          <w:lang w:val="nl-BE" w:eastAsia="ja-JP"/>
        </w:rPr>
        <w:t xml:space="preserve">Tijdschrift van de Nationale Raad, </w:t>
      </w:r>
      <w:r w:rsidRPr="00DF5910">
        <w:rPr>
          <w:sz w:val="20"/>
          <w:szCs w:val="20"/>
          <w:lang w:val="nl-BE" w:eastAsia="ja-JP"/>
        </w:rPr>
        <w:t xml:space="preserve">nr. 100, 5 en </w:t>
      </w:r>
      <w:r w:rsidRPr="00DF5910">
        <w:rPr>
          <w:sz w:val="20"/>
          <w:szCs w:val="20"/>
          <w:u w:val="single"/>
          <w:lang w:val="nl-BE" w:eastAsia="ja-JP"/>
        </w:rPr>
        <w:t>www.ordomedic.be/nl/adviezen/advies/advies-betreffende-palliatieve-zorg-euthanasie-en-andere-medische-beslissingen-omtrent-het-levenseinde</w:t>
      </w:r>
      <w:r w:rsidRPr="00DF5910">
        <w:rPr>
          <w:sz w:val="20"/>
          <w:szCs w:val="20"/>
          <w:lang w:val="nl-BE" w:eastAsia="ja-JP"/>
        </w:rPr>
        <w:t xml:space="preserve"> (onder subtitel ‘minderjarigen’).</w:t>
      </w:r>
    </w:p>
  </w:footnote>
  <w:footnote w:id="32">
    <w:p w:rsidR="001A0466" w:rsidRPr="000F4EC1" w:rsidRDefault="001A0466" w:rsidP="00E76ECC">
      <w:pPr>
        <w:jc w:val="both"/>
        <w:rPr>
          <w:sz w:val="20"/>
          <w:szCs w:val="20"/>
          <w:lang w:val="nl-BE"/>
        </w:rPr>
      </w:pPr>
      <w:r w:rsidRPr="000F4EC1">
        <w:rPr>
          <w:rStyle w:val="Voetnootmarkering"/>
          <w:sz w:val="20"/>
          <w:szCs w:val="20"/>
        </w:rPr>
        <w:footnoteRef/>
      </w:r>
      <w:r w:rsidRPr="000F4EC1">
        <w:rPr>
          <w:sz w:val="20"/>
          <w:szCs w:val="20"/>
        </w:rPr>
        <w:t xml:space="preserve"> F. </w:t>
      </w:r>
      <w:r w:rsidRPr="000F4EC1">
        <w:rPr>
          <w:smallCaps/>
          <w:sz w:val="20"/>
          <w:szCs w:val="20"/>
          <w:lang w:val="nl-BE"/>
        </w:rPr>
        <w:t>Mortier</w:t>
      </w:r>
      <w:r w:rsidRPr="000F4EC1">
        <w:rPr>
          <w:sz w:val="20"/>
          <w:szCs w:val="20"/>
          <w:lang w:val="nl-BE"/>
        </w:rPr>
        <w:t xml:space="preserve">, “Euthanasie bij minderjarigen” in </w:t>
      </w:r>
      <w:r>
        <w:rPr>
          <w:sz w:val="20"/>
          <w:szCs w:val="20"/>
          <w:lang w:val="nl-BE"/>
        </w:rPr>
        <w:t xml:space="preserve">M. </w:t>
      </w:r>
      <w:r>
        <w:rPr>
          <w:smallCaps/>
          <w:sz w:val="20"/>
          <w:szCs w:val="20"/>
          <w:lang w:val="nl-BE"/>
        </w:rPr>
        <w:t>Adams</w:t>
      </w:r>
      <w:r w:rsidRPr="000F4EC1">
        <w:rPr>
          <w:smallCaps/>
          <w:sz w:val="20"/>
          <w:szCs w:val="20"/>
          <w:lang w:val="nl-BE"/>
        </w:rPr>
        <w:t xml:space="preserve">, </w:t>
      </w:r>
      <w:r>
        <w:rPr>
          <w:smallCaps/>
          <w:sz w:val="20"/>
          <w:szCs w:val="20"/>
          <w:lang w:val="nl-BE"/>
        </w:rPr>
        <w:t xml:space="preserve">J. </w:t>
      </w:r>
      <w:proofErr w:type="spellStart"/>
      <w:r>
        <w:rPr>
          <w:smallCaps/>
          <w:sz w:val="20"/>
          <w:szCs w:val="20"/>
          <w:lang w:val="nl-BE"/>
        </w:rPr>
        <w:t>Grifiths</w:t>
      </w:r>
      <w:proofErr w:type="spellEnd"/>
      <w:r w:rsidRPr="000F4EC1">
        <w:rPr>
          <w:sz w:val="20"/>
          <w:szCs w:val="20"/>
          <w:lang w:val="nl-BE"/>
        </w:rPr>
        <w:t xml:space="preserve"> en </w:t>
      </w:r>
      <w:r>
        <w:rPr>
          <w:sz w:val="20"/>
          <w:szCs w:val="20"/>
          <w:lang w:val="nl-BE"/>
        </w:rPr>
        <w:t xml:space="preserve">G. </w:t>
      </w:r>
      <w:r>
        <w:rPr>
          <w:smallCaps/>
          <w:sz w:val="20"/>
          <w:szCs w:val="20"/>
          <w:lang w:val="nl-BE"/>
        </w:rPr>
        <w:t xml:space="preserve">den </w:t>
      </w:r>
      <w:proofErr w:type="spellStart"/>
      <w:r>
        <w:rPr>
          <w:smallCaps/>
          <w:sz w:val="20"/>
          <w:szCs w:val="20"/>
          <w:lang w:val="nl-BE"/>
        </w:rPr>
        <w:t>Hartogh</w:t>
      </w:r>
      <w:proofErr w:type="spellEnd"/>
      <w:r w:rsidRPr="000F4EC1">
        <w:rPr>
          <w:sz w:val="20"/>
          <w:szCs w:val="20"/>
          <w:lang w:val="nl-BE"/>
        </w:rPr>
        <w:t xml:space="preserve"> (</w:t>
      </w:r>
      <w:proofErr w:type="spellStart"/>
      <w:r w:rsidRPr="000F4EC1">
        <w:rPr>
          <w:sz w:val="20"/>
          <w:szCs w:val="20"/>
          <w:lang w:val="nl-BE"/>
        </w:rPr>
        <w:t>eds</w:t>
      </w:r>
      <w:proofErr w:type="spellEnd"/>
      <w:r w:rsidRPr="000F4EC1">
        <w:rPr>
          <w:sz w:val="20"/>
          <w:szCs w:val="20"/>
          <w:lang w:val="nl-BE"/>
        </w:rPr>
        <w:t xml:space="preserve">.), </w:t>
      </w:r>
      <w:r w:rsidRPr="000F4EC1">
        <w:rPr>
          <w:i/>
          <w:sz w:val="20"/>
          <w:szCs w:val="20"/>
          <w:lang w:val="nl-BE"/>
        </w:rPr>
        <w:t>Euthanasie. Nieuwe knelpunten in een voortgezette discussie</w:t>
      </w:r>
      <w:r w:rsidRPr="000F4EC1">
        <w:rPr>
          <w:sz w:val="20"/>
          <w:szCs w:val="20"/>
          <w:lang w:val="nl-BE"/>
        </w:rPr>
        <w:t>, Kampen, Kok, 2003, 202.</w:t>
      </w:r>
      <w:r>
        <w:rPr>
          <w:sz w:val="20"/>
          <w:szCs w:val="20"/>
          <w:lang w:val="nl-BE"/>
        </w:rPr>
        <w:t xml:space="preserve"> In de later te bespreken wetsvoorstellen zal hier van afgeweken worden in die zin dat voor een minderjarige telkens ruimere beschermingsmaatregelen voorzien zijn, zie </w:t>
      </w:r>
      <w:proofErr w:type="spellStart"/>
      <w:r w:rsidRPr="00402E2D">
        <w:rPr>
          <w:i/>
          <w:sz w:val="20"/>
          <w:szCs w:val="20"/>
          <w:lang w:val="nl-BE"/>
        </w:rPr>
        <w:t>infra</w:t>
      </w:r>
      <w:proofErr w:type="spellEnd"/>
      <w:r>
        <w:rPr>
          <w:sz w:val="20"/>
          <w:szCs w:val="20"/>
          <w:lang w:val="nl-BE"/>
        </w:rPr>
        <w:t>.</w:t>
      </w:r>
    </w:p>
  </w:footnote>
  <w:footnote w:id="33">
    <w:p w:rsidR="001A0466" w:rsidRPr="000F4EC1" w:rsidRDefault="001A0466" w:rsidP="00E76ECC">
      <w:pPr>
        <w:jc w:val="both"/>
        <w:rPr>
          <w:sz w:val="20"/>
          <w:szCs w:val="20"/>
          <w:lang w:val="nl-BE"/>
        </w:rPr>
      </w:pPr>
      <w:r w:rsidRPr="000F4EC1">
        <w:rPr>
          <w:rStyle w:val="Voetnootmarkering"/>
          <w:sz w:val="20"/>
          <w:szCs w:val="20"/>
        </w:rPr>
        <w:footnoteRef/>
      </w:r>
      <w:r w:rsidRPr="000F4EC1">
        <w:rPr>
          <w:sz w:val="20"/>
          <w:szCs w:val="20"/>
        </w:rPr>
        <w:t xml:space="preserve"> Artikel 3§1, eerste streepje en artikel 4§1 Euthanasiewet</w:t>
      </w:r>
      <w:r w:rsidRPr="000F4EC1">
        <w:rPr>
          <w:sz w:val="20"/>
          <w:szCs w:val="20"/>
          <w:lang w:val="nl-BE"/>
        </w:rPr>
        <w:t xml:space="preserve">; T. </w:t>
      </w:r>
      <w:proofErr w:type="spellStart"/>
      <w:r w:rsidRPr="000F4EC1">
        <w:rPr>
          <w:smallCaps/>
          <w:sz w:val="20"/>
          <w:szCs w:val="20"/>
          <w:lang w:val="nl-BE" w:eastAsia="ja-JP"/>
        </w:rPr>
        <w:t>Vansweevelt</w:t>
      </w:r>
      <w:proofErr w:type="spellEnd"/>
      <w:r w:rsidRPr="000F4EC1">
        <w:rPr>
          <w:smallCaps/>
          <w:sz w:val="20"/>
          <w:szCs w:val="20"/>
          <w:lang w:val="nl-BE" w:eastAsia="ja-JP"/>
        </w:rPr>
        <w:t xml:space="preserve">, </w:t>
      </w:r>
      <w:r w:rsidRPr="000F4EC1">
        <w:rPr>
          <w:sz w:val="20"/>
          <w:szCs w:val="20"/>
          <w:lang w:val="nl-BE" w:eastAsia="ja-JP"/>
        </w:rPr>
        <w:t xml:space="preserve">“De euthanasiewet. Toepassingsgebied en krachtlijnen.”, </w:t>
      </w:r>
      <w:r w:rsidRPr="000F4EC1">
        <w:rPr>
          <w:i/>
          <w:sz w:val="20"/>
          <w:szCs w:val="20"/>
          <w:lang w:val="nl-BE" w:eastAsia="ja-JP"/>
        </w:rPr>
        <w:t>NJW</w:t>
      </w:r>
      <w:r w:rsidRPr="000F4EC1">
        <w:rPr>
          <w:sz w:val="20"/>
          <w:szCs w:val="20"/>
          <w:lang w:val="nl-BE" w:eastAsia="ja-JP"/>
        </w:rPr>
        <w:t xml:space="preserve"> 2002, afl. 13, 448; </w:t>
      </w:r>
      <w:r w:rsidRPr="000F4EC1">
        <w:rPr>
          <w:smallCaps/>
          <w:sz w:val="20"/>
          <w:szCs w:val="20"/>
          <w:lang w:val="nl-BE" w:eastAsia="ja-JP"/>
        </w:rPr>
        <w:t xml:space="preserve">T. </w:t>
      </w:r>
      <w:proofErr w:type="spellStart"/>
      <w:r w:rsidRPr="000F4EC1">
        <w:rPr>
          <w:smallCaps/>
          <w:sz w:val="20"/>
          <w:szCs w:val="20"/>
          <w:lang w:val="nl-BE" w:eastAsia="ja-JP"/>
        </w:rPr>
        <w:t>Vansweevelt</w:t>
      </w:r>
      <w:proofErr w:type="spellEnd"/>
      <w:r w:rsidRPr="000F4EC1">
        <w:rPr>
          <w:smallCaps/>
          <w:sz w:val="20"/>
          <w:szCs w:val="20"/>
          <w:lang w:val="nl-BE" w:eastAsia="ja-JP"/>
        </w:rPr>
        <w:t xml:space="preserve">, </w:t>
      </w:r>
      <w:r w:rsidRPr="000F4EC1">
        <w:rPr>
          <w:sz w:val="20"/>
          <w:szCs w:val="20"/>
          <w:lang w:val="nl-BE"/>
        </w:rPr>
        <w:t xml:space="preserve"> “</w:t>
      </w:r>
      <w:r w:rsidRPr="000F4EC1">
        <w:rPr>
          <w:color w:val="000000"/>
          <w:sz w:val="20"/>
          <w:szCs w:val="20"/>
        </w:rPr>
        <w:t xml:space="preserve">De euthanasiewet. De ultieme bevestiging van het zelfbeschikkingsrecht of een gecontroleerde keuzevrijheid?”, </w:t>
      </w:r>
      <w:proofErr w:type="spellStart"/>
      <w:r w:rsidRPr="000F4EC1">
        <w:rPr>
          <w:i/>
          <w:color w:val="000000"/>
          <w:sz w:val="20"/>
          <w:szCs w:val="20"/>
        </w:rPr>
        <w:t>T.Gez</w:t>
      </w:r>
      <w:proofErr w:type="spellEnd"/>
      <w:r w:rsidRPr="000F4EC1">
        <w:rPr>
          <w:color w:val="000000"/>
          <w:sz w:val="20"/>
          <w:szCs w:val="20"/>
        </w:rPr>
        <w:t>. 2002, afl.4, 233-234.</w:t>
      </w:r>
    </w:p>
  </w:footnote>
  <w:footnote w:id="34">
    <w:p w:rsidR="001A0466" w:rsidRPr="000F4EC1" w:rsidRDefault="001A0466" w:rsidP="00E76ECC">
      <w:pPr>
        <w:pStyle w:val="Voetnoottekst"/>
        <w:jc w:val="both"/>
      </w:pPr>
      <w:r w:rsidRPr="000F4EC1">
        <w:rPr>
          <w:rStyle w:val="Voetnootmarkering"/>
        </w:rPr>
        <w:footnoteRef/>
      </w:r>
      <w:r w:rsidRPr="000F4EC1">
        <w:t xml:space="preserve"> </w:t>
      </w:r>
      <w:r w:rsidRPr="000F4EC1">
        <w:rPr>
          <w:smallCaps/>
        </w:rPr>
        <w:t xml:space="preserve">P. </w:t>
      </w:r>
      <w:proofErr w:type="spellStart"/>
      <w:r w:rsidRPr="000F4EC1">
        <w:rPr>
          <w:smallCaps/>
        </w:rPr>
        <w:t>Senaeve</w:t>
      </w:r>
      <w:proofErr w:type="spellEnd"/>
      <w:r w:rsidRPr="000F4EC1">
        <w:t xml:space="preserve">, </w:t>
      </w:r>
      <w:r w:rsidRPr="000F4EC1">
        <w:rPr>
          <w:i/>
        </w:rPr>
        <w:t>Compendium van het personen- en familierecht</w:t>
      </w:r>
      <w:r w:rsidRPr="000F4EC1">
        <w:t xml:space="preserve">, </w:t>
      </w:r>
      <w:proofErr w:type="spellStart"/>
      <w:r w:rsidRPr="000F4EC1">
        <w:t>Acco</w:t>
      </w:r>
      <w:proofErr w:type="spellEnd"/>
      <w:r w:rsidRPr="000F4EC1">
        <w:t>, Leuven, 2004, 527.</w:t>
      </w:r>
    </w:p>
  </w:footnote>
  <w:footnote w:id="35">
    <w:p w:rsidR="001A0466" w:rsidRPr="000F4EC1" w:rsidRDefault="001A0466" w:rsidP="00E76ECC">
      <w:pPr>
        <w:pStyle w:val="Voetnoottekst"/>
        <w:jc w:val="both"/>
      </w:pPr>
      <w:r w:rsidRPr="000F4EC1">
        <w:rPr>
          <w:rStyle w:val="Voetnootmarkering"/>
        </w:rPr>
        <w:footnoteRef/>
      </w:r>
      <w:r w:rsidRPr="000F4EC1">
        <w:t xml:space="preserve"> </w:t>
      </w:r>
      <w:r w:rsidRPr="000F4EC1">
        <w:rPr>
          <w:lang w:val="nl-BE"/>
        </w:rPr>
        <w:t xml:space="preserve">H. </w:t>
      </w:r>
      <w:proofErr w:type="spellStart"/>
      <w:r>
        <w:rPr>
          <w:smallCaps/>
          <w:lang w:val="nl-BE"/>
        </w:rPr>
        <w:t>Nys</w:t>
      </w:r>
      <w:proofErr w:type="spellEnd"/>
      <w:r>
        <w:rPr>
          <w:smallCaps/>
          <w:lang w:val="nl-BE"/>
        </w:rPr>
        <w:t xml:space="preserve"> </w:t>
      </w:r>
      <w:r w:rsidRPr="002426EE">
        <w:rPr>
          <w:lang w:val="nl-BE"/>
        </w:rPr>
        <w:t>en</w:t>
      </w:r>
      <w:r>
        <w:rPr>
          <w:smallCaps/>
          <w:lang w:val="nl-BE"/>
        </w:rPr>
        <w:t xml:space="preserve"> </w:t>
      </w:r>
      <w:r w:rsidRPr="000F4EC1">
        <w:rPr>
          <w:smallCaps/>
          <w:lang w:val="nl-BE"/>
        </w:rPr>
        <w:t xml:space="preserve">E. Deckers, </w:t>
      </w:r>
      <w:r w:rsidRPr="000F4EC1">
        <w:rPr>
          <w:i/>
          <w:lang w:val="nl-BE"/>
        </w:rPr>
        <w:t>Nieuwe wetgeving inzake euthanasie, Gecoördineerde teksten en uittreksels uit de Parlementaire Werkzaamheden</w:t>
      </w:r>
      <w:r w:rsidRPr="000F4EC1">
        <w:rPr>
          <w:lang w:val="nl-BE"/>
        </w:rPr>
        <w:t xml:space="preserve">, Mechelen, </w:t>
      </w:r>
      <w:proofErr w:type="spellStart"/>
      <w:r w:rsidRPr="000F4EC1">
        <w:rPr>
          <w:lang w:val="nl-BE"/>
        </w:rPr>
        <w:t>Kluwer</w:t>
      </w:r>
      <w:proofErr w:type="spellEnd"/>
      <w:r w:rsidRPr="000F4EC1">
        <w:rPr>
          <w:lang w:val="nl-BE"/>
        </w:rPr>
        <w:t>, 2003, 4.</w:t>
      </w:r>
    </w:p>
  </w:footnote>
  <w:footnote w:id="36">
    <w:p w:rsidR="001A0466" w:rsidRPr="000F4EC1" w:rsidRDefault="001A0466" w:rsidP="00E76ECC">
      <w:pPr>
        <w:pStyle w:val="Voetnoottekst"/>
        <w:jc w:val="both"/>
      </w:pPr>
      <w:r w:rsidRPr="000F4EC1">
        <w:rPr>
          <w:rStyle w:val="Voetnootmarkering"/>
        </w:rPr>
        <w:footnoteRef/>
      </w:r>
      <w:r w:rsidRPr="000F4EC1">
        <w:t xml:space="preserve"> F. </w:t>
      </w:r>
      <w:proofErr w:type="spellStart"/>
      <w:r w:rsidRPr="000F4EC1">
        <w:rPr>
          <w:smallCaps/>
        </w:rPr>
        <w:t>Swennen</w:t>
      </w:r>
      <w:proofErr w:type="spellEnd"/>
      <w:r w:rsidRPr="000F4EC1">
        <w:rPr>
          <w:smallCaps/>
        </w:rPr>
        <w:t>,</w:t>
      </w:r>
      <w:r w:rsidRPr="000F4EC1">
        <w:t xml:space="preserve"> </w:t>
      </w:r>
      <w:r w:rsidRPr="00402E2D">
        <w:rPr>
          <w:i/>
        </w:rPr>
        <w:t>Personenrecht in kort bestek</w:t>
      </w:r>
      <w:r w:rsidRPr="000F4EC1">
        <w:t xml:space="preserve">, </w:t>
      </w:r>
      <w:proofErr w:type="spellStart"/>
      <w:r w:rsidRPr="000F4EC1">
        <w:t>Intersentia</w:t>
      </w:r>
      <w:proofErr w:type="spellEnd"/>
      <w:r w:rsidRPr="000F4EC1">
        <w:t>, Antwerpen, 2008, 140.</w:t>
      </w:r>
    </w:p>
  </w:footnote>
  <w:footnote w:id="37">
    <w:p w:rsidR="001A0466" w:rsidRPr="000F4EC1" w:rsidRDefault="001A0466" w:rsidP="00E76ECC">
      <w:pPr>
        <w:pStyle w:val="Voetnoottekst"/>
        <w:jc w:val="both"/>
      </w:pPr>
      <w:r w:rsidRPr="000F4EC1">
        <w:rPr>
          <w:rStyle w:val="Voetnootmarkering"/>
        </w:rPr>
        <w:footnoteRef/>
      </w:r>
      <w:r w:rsidRPr="000F4EC1">
        <w:t xml:space="preserve"> </w:t>
      </w:r>
      <w:r w:rsidRPr="000F4EC1">
        <w:rPr>
          <w:smallCaps/>
        </w:rPr>
        <w:t xml:space="preserve">P. </w:t>
      </w:r>
      <w:proofErr w:type="spellStart"/>
      <w:r w:rsidRPr="000F4EC1">
        <w:rPr>
          <w:smallCaps/>
        </w:rPr>
        <w:t>Senaeve</w:t>
      </w:r>
      <w:proofErr w:type="spellEnd"/>
      <w:r w:rsidRPr="000F4EC1">
        <w:t xml:space="preserve">, </w:t>
      </w:r>
      <w:r w:rsidRPr="000F4EC1">
        <w:rPr>
          <w:i/>
        </w:rPr>
        <w:t>Compendium van het personen- en familierecht</w:t>
      </w:r>
      <w:r w:rsidRPr="000F4EC1">
        <w:t xml:space="preserve">, </w:t>
      </w:r>
      <w:proofErr w:type="spellStart"/>
      <w:r w:rsidRPr="000F4EC1">
        <w:t>Acco</w:t>
      </w:r>
      <w:proofErr w:type="spellEnd"/>
      <w:r w:rsidRPr="000F4EC1">
        <w:t>, Leuven, 2004, 531.</w:t>
      </w:r>
    </w:p>
  </w:footnote>
  <w:footnote w:id="38">
    <w:p w:rsidR="001A0466" w:rsidRPr="000F4EC1" w:rsidRDefault="001A0466" w:rsidP="00E76ECC">
      <w:pPr>
        <w:pStyle w:val="Voetnoottekst"/>
        <w:jc w:val="both"/>
      </w:pPr>
      <w:r w:rsidRPr="000F4EC1">
        <w:rPr>
          <w:rStyle w:val="Voetnootmarkering"/>
        </w:rPr>
        <w:footnoteRef/>
      </w:r>
      <w:r w:rsidRPr="000F4EC1">
        <w:t xml:space="preserve"> </w:t>
      </w:r>
      <w:r w:rsidRPr="000F4EC1">
        <w:rPr>
          <w:lang w:val="nl-BE"/>
        </w:rPr>
        <w:t xml:space="preserve">Een minderjarige kan in beginsel niet huwen tenzij ontheffing van de minimumleeftijdvereiste van 18 jaar bekomen werd via de gerechtelijke procedure van artikel 145 BW; </w:t>
      </w:r>
      <w:r w:rsidRPr="000F4EC1">
        <w:rPr>
          <w:smallCaps/>
        </w:rPr>
        <w:t xml:space="preserve">P. </w:t>
      </w:r>
      <w:proofErr w:type="spellStart"/>
      <w:r w:rsidRPr="000F4EC1">
        <w:rPr>
          <w:smallCaps/>
        </w:rPr>
        <w:t>Senaeve</w:t>
      </w:r>
      <w:proofErr w:type="spellEnd"/>
      <w:r w:rsidRPr="000F4EC1">
        <w:t xml:space="preserve">, </w:t>
      </w:r>
      <w:r w:rsidRPr="000F4EC1">
        <w:rPr>
          <w:i/>
        </w:rPr>
        <w:t>Compendium van het personen- en familierecht</w:t>
      </w:r>
      <w:r w:rsidRPr="000F4EC1">
        <w:t xml:space="preserve">, </w:t>
      </w:r>
      <w:proofErr w:type="spellStart"/>
      <w:r w:rsidRPr="000F4EC1">
        <w:t>Acco</w:t>
      </w:r>
      <w:proofErr w:type="spellEnd"/>
      <w:r w:rsidRPr="000F4EC1">
        <w:t>, Leuven, 2004, 527, 558.</w:t>
      </w:r>
    </w:p>
  </w:footnote>
  <w:footnote w:id="39">
    <w:p w:rsidR="001A0466" w:rsidRPr="00402E2D" w:rsidRDefault="001A0466" w:rsidP="00E76ECC">
      <w:pPr>
        <w:pStyle w:val="Voetnoottekst"/>
        <w:jc w:val="both"/>
      </w:pPr>
      <w:r>
        <w:rPr>
          <w:rStyle w:val="Voetnootmarkering"/>
        </w:rPr>
        <w:footnoteRef/>
      </w:r>
      <w:r>
        <w:t xml:space="preserve"> </w:t>
      </w:r>
      <w:r>
        <w:rPr>
          <w:lang w:val="nl-BE"/>
        </w:rPr>
        <w:t>Zie artikelen 477 BW en 478 BW.</w:t>
      </w:r>
    </w:p>
  </w:footnote>
  <w:footnote w:id="40">
    <w:p w:rsidR="001A0466" w:rsidRPr="000F4EC1" w:rsidRDefault="001A0466" w:rsidP="000F4EC1">
      <w:pPr>
        <w:pStyle w:val="Voetnoottekst"/>
        <w:jc w:val="both"/>
      </w:pPr>
      <w:r w:rsidRPr="000F4EC1">
        <w:rPr>
          <w:rStyle w:val="Voetnootmarkering"/>
        </w:rPr>
        <w:footnoteRef/>
      </w:r>
      <w:r w:rsidRPr="000F4EC1">
        <w:t xml:space="preserve"> </w:t>
      </w:r>
      <w:r w:rsidRPr="000F4EC1">
        <w:rPr>
          <w:smallCaps/>
        </w:rPr>
        <w:t xml:space="preserve">P. </w:t>
      </w:r>
      <w:proofErr w:type="spellStart"/>
      <w:r w:rsidRPr="000F4EC1">
        <w:rPr>
          <w:smallCaps/>
        </w:rPr>
        <w:t>Senaeve</w:t>
      </w:r>
      <w:proofErr w:type="spellEnd"/>
      <w:r w:rsidRPr="000F4EC1">
        <w:t xml:space="preserve">, </w:t>
      </w:r>
      <w:r w:rsidRPr="000F4EC1">
        <w:rPr>
          <w:i/>
        </w:rPr>
        <w:t>Compendium van het personen- en familierecht</w:t>
      </w:r>
      <w:r w:rsidRPr="000F4EC1">
        <w:t xml:space="preserve">, </w:t>
      </w:r>
      <w:proofErr w:type="spellStart"/>
      <w:r w:rsidRPr="000F4EC1">
        <w:t>Acco</w:t>
      </w:r>
      <w:proofErr w:type="spellEnd"/>
      <w:r w:rsidRPr="000F4EC1">
        <w:t>, Leuven, 2004, 528.</w:t>
      </w:r>
    </w:p>
  </w:footnote>
  <w:footnote w:id="41">
    <w:p w:rsidR="001A0466" w:rsidRPr="000F4EC1" w:rsidRDefault="001A0466" w:rsidP="000F4EC1">
      <w:pPr>
        <w:pStyle w:val="Voetnoottekst"/>
        <w:jc w:val="both"/>
      </w:pPr>
      <w:r w:rsidRPr="000F4EC1">
        <w:rPr>
          <w:rStyle w:val="Voetnootmarkering"/>
        </w:rPr>
        <w:footnoteRef/>
      </w:r>
      <w:r w:rsidRPr="000F4EC1">
        <w:t xml:space="preserve"> </w:t>
      </w:r>
      <w:r w:rsidRPr="000F4EC1">
        <w:rPr>
          <w:lang w:val="nl-BE"/>
        </w:rPr>
        <w:t xml:space="preserve">H. </w:t>
      </w:r>
      <w:proofErr w:type="spellStart"/>
      <w:r>
        <w:rPr>
          <w:smallCaps/>
          <w:lang w:val="nl-BE"/>
        </w:rPr>
        <w:t>Nys</w:t>
      </w:r>
      <w:proofErr w:type="spellEnd"/>
      <w:r>
        <w:rPr>
          <w:smallCaps/>
          <w:lang w:val="nl-BE"/>
        </w:rPr>
        <w:t xml:space="preserve"> </w:t>
      </w:r>
      <w:r w:rsidRPr="002426EE">
        <w:rPr>
          <w:lang w:val="nl-BE"/>
        </w:rPr>
        <w:t>en</w:t>
      </w:r>
      <w:r>
        <w:rPr>
          <w:smallCaps/>
          <w:lang w:val="nl-BE"/>
        </w:rPr>
        <w:t xml:space="preserve"> </w:t>
      </w:r>
      <w:r w:rsidRPr="000F4EC1">
        <w:rPr>
          <w:smallCaps/>
          <w:lang w:val="nl-BE"/>
        </w:rPr>
        <w:t xml:space="preserve">E. Deckers, </w:t>
      </w:r>
      <w:r w:rsidRPr="000F4EC1">
        <w:rPr>
          <w:i/>
          <w:lang w:val="nl-BE"/>
        </w:rPr>
        <w:t>Nieuwe wetgeving inzake euthanasie, Gecoördineerde teksten en uittreksels uit de Parlementaire Werkzaamheden</w:t>
      </w:r>
      <w:r w:rsidRPr="000F4EC1">
        <w:rPr>
          <w:lang w:val="nl-BE"/>
        </w:rPr>
        <w:t xml:space="preserve">, Mechelen, </w:t>
      </w:r>
      <w:proofErr w:type="spellStart"/>
      <w:r w:rsidRPr="000F4EC1">
        <w:rPr>
          <w:lang w:val="nl-BE"/>
        </w:rPr>
        <w:t>Kluwer</w:t>
      </w:r>
      <w:proofErr w:type="spellEnd"/>
      <w:r w:rsidRPr="000F4EC1">
        <w:rPr>
          <w:lang w:val="nl-BE"/>
        </w:rPr>
        <w:t>, 2003, 4.</w:t>
      </w:r>
    </w:p>
  </w:footnote>
  <w:footnote w:id="42">
    <w:p w:rsidR="001A0466" w:rsidRPr="000F4EC1" w:rsidRDefault="001A0466" w:rsidP="000F4EC1">
      <w:pPr>
        <w:jc w:val="both"/>
        <w:rPr>
          <w:sz w:val="20"/>
          <w:szCs w:val="20"/>
          <w:lang w:val="nl-BE"/>
        </w:rPr>
      </w:pPr>
      <w:r w:rsidRPr="000F4EC1">
        <w:rPr>
          <w:rStyle w:val="Voetnootmarkering"/>
          <w:sz w:val="20"/>
          <w:szCs w:val="20"/>
        </w:rPr>
        <w:footnoteRef/>
      </w:r>
      <w:r w:rsidRPr="000F4EC1">
        <w:rPr>
          <w:sz w:val="20"/>
          <w:szCs w:val="20"/>
        </w:rPr>
        <w:t xml:space="preserve"> </w:t>
      </w:r>
      <w:r w:rsidRPr="000F4EC1">
        <w:rPr>
          <w:sz w:val="20"/>
          <w:szCs w:val="20"/>
          <w:lang w:val="nl-BE"/>
        </w:rPr>
        <w:t xml:space="preserve">H. </w:t>
      </w:r>
      <w:proofErr w:type="spellStart"/>
      <w:r>
        <w:rPr>
          <w:smallCaps/>
          <w:sz w:val="20"/>
          <w:szCs w:val="20"/>
          <w:lang w:val="nl-BE"/>
        </w:rPr>
        <w:t>Nys</w:t>
      </w:r>
      <w:proofErr w:type="spellEnd"/>
      <w:r>
        <w:rPr>
          <w:smallCaps/>
          <w:sz w:val="20"/>
          <w:szCs w:val="20"/>
          <w:lang w:val="nl-BE"/>
        </w:rPr>
        <w:t xml:space="preserve"> </w:t>
      </w:r>
      <w:r w:rsidRPr="002426EE">
        <w:rPr>
          <w:sz w:val="20"/>
          <w:szCs w:val="20"/>
          <w:lang w:val="nl-BE"/>
        </w:rPr>
        <w:t>en</w:t>
      </w:r>
      <w:r w:rsidRPr="000F4EC1">
        <w:rPr>
          <w:smallCaps/>
          <w:sz w:val="20"/>
          <w:szCs w:val="20"/>
          <w:lang w:val="nl-BE"/>
        </w:rPr>
        <w:t xml:space="preserve"> E. Deckers, </w:t>
      </w:r>
      <w:r w:rsidRPr="000F4EC1">
        <w:rPr>
          <w:i/>
          <w:sz w:val="20"/>
          <w:szCs w:val="20"/>
          <w:lang w:val="nl-BE"/>
        </w:rPr>
        <w:t>Nieuwe wetgeving inzake euthanasie, Gecoördineerde teksten en uittreksels uit de Parlementaire Werkzaamheden</w:t>
      </w:r>
      <w:r w:rsidRPr="000F4EC1">
        <w:rPr>
          <w:sz w:val="20"/>
          <w:szCs w:val="20"/>
          <w:lang w:val="nl-BE"/>
        </w:rPr>
        <w:t xml:space="preserve">, Mechelen, </w:t>
      </w:r>
      <w:proofErr w:type="spellStart"/>
      <w:r w:rsidRPr="000F4EC1">
        <w:rPr>
          <w:sz w:val="20"/>
          <w:szCs w:val="20"/>
          <w:lang w:val="nl-BE"/>
        </w:rPr>
        <w:t>Kluwer</w:t>
      </w:r>
      <w:proofErr w:type="spellEnd"/>
      <w:r w:rsidRPr="000F4EC1">
        <w:rPr>
          <w:sz w:val="20"/>
          <w:szCs w:val="20"/>
          <w:lang w:val="nl-BE"/>
        </w:rPr>
        <w:t xml:space="preserve">, 2003, 3; </w:t>
      </w:r>
      <w:r w:rsidRPr="000F4EC1">
        <w:rPr>
          <w:sz w:val="20"/>
          <w:szCs w:val="20"/>
        </w:rPr>
        <w:t>T</w:t>
      </w:r>
      <w:r w:rsidRPr="000F4EC1">
        <w:rPr>
          <w:smallCaps/>
          <w:sz w:val="20"/>
          <w:szCs w:val="20"/>
          <w:lang w:val="nl-BE" w:eastAsia="ja-JP"/>
        </w:rPr>
        <w:t xml:space="preserve">. </w:t>
      </w:r>
      <w:proofErr w:type="spellStart"/>
      <w:r w:rsidRPr="000F4EC1">
        <w:rPr>
          <w:smallCaps/>
          <w:sz w:val="20"/>
          <w:szCs w:val="20"/>
          <w:lang w:val="nl-BE" w:eastAsia="ja-JP"/>
        </w:rPr>
        <w:t>Vansweevelt</w:t>
      </w:r>
      <w:proofErr w:type="spellEnd"/>
      <w:r w:rsidRPr="000F4EC1">
        <w:rPr>
          <w:smallCaps/>
          <w:sz w:val="20"/>
          <w:szCs w:val="20"/>
          <w:lang w:val="nl-BE" w:eastAsia="ja-JP"/>
        </w:rPr>
        <w:t xml:space="preserve">, </w:t>
      </w:r>
      <w:r w:rsidRPr="000F4EC1">
        <w:rPr>
          <w:sz w:val="20"/>
          <w:szCs w:val="20"/>
          <w:lang w:val="nl-BE"/>
        </w:rPr>
        <w:t xml:space="preserve"> “</w:t>
      </w:r>
      <w:r w:rsidRPr="000F4EC1">
        <w:rPr>
          <w:color w:val="000000"/>
          <w:sz w:val="20"/>
          <w:szCs w:val="20"/>
        </w:rPr>
        <w:t xml:space="preserve">De euthanasiewet. De ultieme bevestiging van het zelfbeschikkingsrecht of een gecontroleerde keuzevrijheid?”, </w:t>
      </w:r>
      <w:proofErr w:type="spellStart"/>
      <w:r w:rsidRPr="000F4EC1">
        <w:rPr>
          <w:i/>
          <w:color w:val="000000"/>
          <w:sz w:val="20"/>
          <w:szCs w:val="20"/>
        </w:rPr>
        <w:t>T.Gez</w:t>
      </w:r>
      <w:proofErr w:type="spellEnd"/>
      <w:r w:rsidRPr="000F4EC1">
        <w:rPr>
          <w:color w:val="000000"/>
          <w:sz w:val="20"/>
          <w:szCs w:val="20"/>
        </w:rPr>
        <w:t xml:space="preserve">. 2002, afl.4, 233 en in </w:t>
      </w:r>
      <w:r w:rsidRPr="000F4EC1">
        <w:rPr>
          <w:sz w:val="20"/>
          <w:szCs w:val="20"/>
          <w:lang w:val="nl-BE" w:eastAsia="ja-JP"/>
        </w:rPr>
        <w:t xml:space="preserve">M. </w:t>
      </w:r>
      <w:proofErr w:type="spellStart"/>
      <w:r w:rsidRPr="000F4EC1">
        <w:rPr>
          <w:smallCaps/>
          <w:sz w:val="20"/>
          <w:szCs w:val="20"/>
          <w:lang w:val="nl-BE"/>
        </w:rPr>
        <w:t>Cosyns</w:t>
      </w:r>
      <w:proofErr w:type="spellEnd"/>
      <w:r w:rsidRPr="000F4EC1">
        <w:rPr>
          <w:smallCaps/>
          <w:sz w:val="20"/>
          <w:szCs w:val="20"/>
          <w:lang w:val="nl-BE"/>
        </w:rPr>
        <w:t xml:space="preserve">, T. </w:t>
      </w:r>
      <w:proofErr w:type="spellStart"/>
      <w:r w:rsidRPr="000F4EC1">
        <w:rPr>
          <w:smallCaps/>
          <w:sz w:val="20"/>
          <w:szCs w:val="20"/>
          <w:lang w:val="nl-BE"/>
        </w:rPr>
        <w:t>Vansweevel</w:t>
      </w:r>
      <w:r>
        <w:rPr>
          <w:smallCaps/>
          <w:sz w:val="20"/>
          <w:szCs w:val="20"/>
          <w:lang w:val="nl-BE"/>
        </w:rPr>
        <w:t>t</w:t>
      </w:r>
      <w:proofErr w:type="spellEnd"/>
      <w:r w:rsidRPr="000F4EC1">
        <w:rPr>
          <w:smallCaps/>
          <w:sz w:val="20"/>
          <w:szCs w:val="20"/>
          <w:lang w:val="nl-BE"/>
        </w:rPr>
        <w:t xml:space="preserve">, H. </w:t>
      </w:r>
      <w:proofErr w:type="spellStart"/>
      <w:r w:rsidRPr="000F4EC1">
        <w:rPr>
          <w:smallCaps/>
          <w:sz w:val="20"/>
          <w:szCs w:val="20"/>
          <w:lang w:val="nl-BE"/>
        </w:rPr>
        <w:t>Nys</w:t>
      </w:r>
      <w:proofErr w:type="spellEnd"/>
      <w:r w:rsidRPr="000F4EC1">
        <w:rPr>
          <w:smallCaps/>
          <w:sz w:val="20"/>
          <w:szCs w:val="20"/>
          <w:lang w:val="nl-BE"/>
        </w:rPr>
        <w:t xml:space="preserve">, T. </w:t>
      </w:r>
      <w:proofErr w:type="spellStart"/>
      <w:r w:rsidRPr="000F4EC1">
        <w:rPr>
          <w:smallCaps/>
          <w:sz w:val="20"/>
          <w:szCs w:val="20"/>
          <w:lang w:val="nl-BE"/>
        </w:rPr>
        <w:t>Balthazar</w:t>
      </w:r>
      <w:proofErr w:type="spellEnd"/>
      <w:r>
        <w:rPr>
          <w:smallCaps/>
          <w:sz w:val="20"/>
          <w:szCs w:val="20"/>
          <w:lang w:val="nl-BE"/>
        </w:rPr>
        <w:t xml:space="preserve"> </w:t>
      </w:r>
      <w:r w:rsidRPr="005469DA">
        <w:rPr>
          <w:sz w:val="20"/>
          <w:szCs w:val="20"/>
          <w:lang w:val="nl-BE"/>
        </w:rPr>
        <w:t>en</w:t>
      </w:r>
      <w:r w:rsidRPr="000F4EC1">
        <w:rPr>
          <w:smallCaps/>
          <w:sz w:val="20"/>
          <w:szCs w:val="20"/>
          <w:lang w:val="nl-BE"/>
        </w:rPr>
        <w:t xml:space="preserve"> J. </w:t>
      </w:r>
      <w:proofErr w:type="spellStart"/>
      <w:r w:rsidRPr="000F4EC1">
        <w:rPr>
          <w:smallCaps/>
          <w:sz w:val="20"/>
          <w:szCs w:val="20"/>
          <w:lang w:val="nl-BE"/>
        </w:rPr>
        <w:t>Legemaate</w:t>
      </w:r>
      <w:proofErr w:type="spellEnd"/>
      <w:r w:rsidRPr="000F4EC1">
        <w:rPr>
          <w:smallCaps/>
          <w:sz w:val="20"/>
          <w:szCs w:val="20"/>
          <w:lang w:val="nl-BE"/>
        </w:rPr>
        <w:t xml:space="preserve">, </w:t>
      </w:r>
      <w:r w:rsidRPr="000F4EC1">
        <w:rPr>
          <w:i/>
          <w:sz w:val="20"/>
          <w:szCs w:val="20"/>
          <w:lang w:val="nl-BE"/>
        </w:rPr>
        <w:t>De euthanasiewet doorgelicht</w:t>
      </w:r>
      <w:r w:rsidRPr="000F4EC1">
        <w:rPr>
          <w:sz w:val="20"/>
          <w:szCs w:val="20"/>
          <w:lang w:val="nl-BE"/>
        </w:rPr>
        <w:t xml:space="preserve">, Mechelen, </w:t>
      </w:r>
      <w:proofErr w:type="spellStart"/>
      <w:r w:rsidRPr="000F4EC1">
        <w:rPr>
          <w:sz w:val="20"/>
          <w:szCs w:val="20"/>
          <w:lang w:val="nl-BE"/>
        </w:rPr>
        <w:t>Kluwer</w:t>
      </w:r>
      <w:proofErr w:type="spellEnd"/>
      <w:r w:rsidRPr="000F4EC1">
        <w:rPr>
          <w:sz w:val="20"/>
          <w:szCs w:val="20"/>
          <w:lang w:val="nl-BE"/>
        </w:rPr>
        <w:t>, 2003, 60.</w:t>
      </w:r>
    </w:p>
  </w:footnote>
  <w:footnote w:id="43">
    <w:p w:rsidR="001A0466" w:rsidRPr="000F4EC1" w:rsidRDefault="001A0466" w:rsidP="000F4EC1">
      <w:pPr>
        <w:pStyle w:val="Voetnoottekst"/>
        <w:jc w:val="both"/>
        <w:rPr>
          <w:lang w:val="nl-BE"/>
        </w:rPr>
      </w:pPr>
      <w:r w:rsidRPr="000F4EC1">
        <w:rPr>
          <w:rStyle w:val="Voetnootmarkering"/>
        </w:rPr>
        <w:footnoteRef/>
      </w:r>
      <w:r w:rsidRPr="000F4EC1">
        <w:t xml:space="preserve"> </w:t>
      </w:r>
      <w:r w:rsidRPr="000F4EC1">
        <w:rPr>
          <w:lang w:val="nl-BE"/>
        </w:rPr>
        <w:t xml:space="preserve">H. </w:t>
      </w:r>
      <w:proofErr w:type="spellStart"/>
      <w:r>
        <w:rPr>
          <w:smallCaps/>
          <w:lang w:val="nl-BE"/>
        </w:rPr>
        <w:t>Nys</w:t>
      </w:r>
      <w:proofErr w:type="spellEnd"/>
      <w:r>
        <w:rPr>
          <w:smallCaps/>
          <w:lang w:val="nl-BE"/>
        </w:rPr>
        <w:t xml:space="preserve"> </w:t>
      </w:r>
      <w:r w:rsidRPr="002426EE">
        <w:rPr>
          <w:lang w:val="nl-BE"/>
        </w:rPr>
        <w:t>en</w:t>
      </w:r>
      <w:r>
        <w:rPr>
          <w:smallCaps/>
          <w:lang w:val="nl-BE"/>
        </w:rPr>
        <w:t xml:space="preserve"> </w:t>
      </w:r>
      <w:r w:rsidRPr="000F4EC1">
        <w:rPr>
          <w:smallCaps/>
          <w:lang w:val="nl-BE"/>
        </w:rPr>
        <w:t xml:space="preserve">E. Deckers, </w:t>
      </w:r>
      <w:r w:rsidRPr="000F4EC1">
        <w:rPr>
          <w:i/>
          <w:lang w:val="nl-BE"/>
        </w:rPr>
        <w:t>Nieuwe wetgeving inzake euthanasie, Gecoördineerde teksten en uittreksels uit de Parlementaire Werkzaamheden</w:t>
      </w:r>
      <w:r w:rsidRPr="000F4EC1">
        <w:rPr>
          <w:lang w:val="nl-BE"/>
        </w:rPr>
        <w:t xml:space="preserve">, Mechelen, </w:t>
      </w:r>
      <w:proofErr w:type="spellStart"/>
      <w:r w:rsidRPr="000F4EC1">
        <w:rPr>
          <w:lang w:val="nl-BE"/>
        </w:rPr>
        <w:t>Kluwer</w:t>
      </w:r>
      <w:proofErr w:type="spellEnd"/>
      <w:r w:rsidRPr="000F4EC1">
        <w:rPr>
          <w:lang w:val="nl-BE"/>
        </w:rPr>
        <w:t xml:space="preserve">, 2003, 4; H. </w:t>
      </w:r>
      <w:proofErr w:type="spellStart"/>
      <w:r w:rsidRPr="000F4EC1">
        <w:rPr>
          <w:lang w:val="nl-BE"/>
        </w:rPr>
        <w:t>N</w:t>
      </w:r>
      <w:r w:rsidRPr="000F4EC1">
        <w:rPr>
          <w:smallCaps/>
          <w:lang w:val="nl-BE"/>
        </w:rPr>
        <w:t>ys</w:t>
      </w:r>
      <w:proofErr w:type="spellEnd"/>
      <w:r w:rsidRPr="000F4EC1">
        <w:rPr>
          <w:lang w:val="nl-BE"/>
        </w:rPr>
        <w:t xml:space="preserve">, “Euthanasie bij kinderen naar Belgisch recht”, </w:t>
      </w:r>
      <w:r w:rsidRPr="000F4EC1">
        <w:rPr>
          <w:i/>
          <w:lang w:val="nl-BE"/>
        </w:rPr>
        <w:t>TJK</w:t>
      </w:r>
      <w:r w:rsidRPr="000F4EC1">
        <w:rPr>
          <w:lang w:val="nl-BE"/>
        </w:rPr>
        <w:t xml:space="preserve"> 2009, afl. 4, 278.</w:t>
      </w:r>
    </w:p>
  </w:footnote>
  <w:footnote w:id="44">
    <w:p w:rsidR="001A0466" w:rsidRPr="000F4EC1" w:rsidRDefault="001A0466" w:rsidP="000F4EC1">
      <w:pPr>
        <w:jc w:val="both"/>
        <w:rPr>
          <w:sz w:val="20"/>
          <w:szCs w:val="20"/>
          <w:lang w:val="nl-BE"/>
        </w:rPr>
      </w:pPr>
      <w:r w:rsidRPr="000F4EC1">
        <w:rPr>
          <w:rStyle w:val="Voetnootmarkering"/>
          <w:sz w:val="20"/>
          <w:szCs w:val="20"/>
        </w:rPr>
        <w:footnoteRef/>
      </w:r>
      <w:r w:rsidRPr="000F4EC1">
        <w:rPr>
          <w:sz w:val="20"/>
          <w:szCs w:val="20"/>
          <w:lang w:val="nl-BE"/>
        </w:rPr>
        <w:t xml:space="preserve"> T. </w:t>
      </w:r>
      <w:proofErr w:type="spellStart"/>
      <w:r w:rsidRPr="000F4EC1">
        <w:rPr>
          <w:smallCaps/>
          <w:sz w:val="20"/>
          <w:szCs w:val="20"/>
          <w:lang w:val="nl-BE" w:eastAsia="ja-JP"/>
        </w:rPr>
        <w:t>Vansweevelt</w:t>
      </w:r>
      <w:proofErr w:type="spellEnd"/>
      <w:r w:rsidRPr="000F4EC1">
        <w:rPr>
          <w:smallCaps/>
          <w:sz w:val="20"/>
          <w:szCs w:val="20"/>
          <w:lang w:val="nl-BE" w:eastAsia="ja-JP"/>
        </w:rPr>
        <w:t xml:space="preserve">, </w:t>
      </w:r>
      <w:r w:rsidRPr="000F4EC1">
        <w:rPr>
          <w:sz w:val="20"/>
          <w:szCs w:val="20"/>
          <w:lang w:val="nl-BE" w:eastAsia="ja-JP"/>
        </w:rPr>
        <w:t xml:space="preserve">“De euthanasiewet. Toepassingsgebied en krachtlijnen.”, </w:t>
      </w:r>
      <w:r w:rsidRPr="000F4EC1">
        <w:rPr>
          <w:i/>
          <w:sz w:val="20"/>
          <w:szCs w:val="20"/>
          <w:lang w:val="nl-BE" w:eastAsia="ja-JP"/>
        </w:rPr>
        <w:t>NJW</w:t>
      </w:r>
      <w:r w:rsidRPr="000F4EC1">
        <w:rPr>
          <w:sz w:val="20"/>
          <w:szCs w:val="20"/>
          <w:lang w:val="nl-BE" w:eastAsia="ja-JP"/>
        </w:rPr>
        <w:t xml:space="preserve"> 2002, afl. 13, 448; T. </w:t>
      </w:r>
      <w:proofErr w:type="spellStart"/>
      <w:r w:rsidRPr="000F4EC1">
        <w:rPr>
          <w:smallCaps/>
          <w:sz w:val="20"/>
          <w:szCs w:val="20"/>
          <w:lang w:val="nl-BE" w:eastAsia="ja-JP"/>
        </w:rPr>
        <w:t>Vansweevelt</w:t>
      </w:r>
      <w:proofErr w:type="spellEnd"/>
      <w:r w:rsidRPr="000F4EC1">
        <w:rPr>
          <w:smallCaps/>
          <w:sz w:val="20"/>
          <w:szCs w:val="20"/>
          <w:lang w:val="nl-BE" w:eastAsia="ja-JP"/>
        </w:rPr>
        <w:t xml:space="preserve">, </w:t>
      </w:r>
      <w:r w:rsidRPr="000F4EC1">
        <w:rPr>
          <w:sz w:val="20"/>
          <w:szCs w:val="20"/>
          <w:lang w:val="nl-BE"/>
        </w:rPr>
        <w:t xml:space="preserve"> “</w:t>
      </w:r>
      <w:r w:rsidRPr="000F4EC1">
        <w:rPr>
          <w:color w:val="000000"/>
          <w:sz w:val="20"/>
          <w:szCs w:val="20"/>
        </w:rPr>
        <w:t xml:space="preserve">De euthanasiewet. De ultieme bevestiging van het zelfbeschikkingsrecht of een gecontroleerde keuzevrijheid?”, </w:t>
      </w:r>
      <w:proofErr w:type="spellStart"/>
      <w:r w:rsidRPr="000F4EC1">
        <w:rPr>
          <w:i/>
          <w:color w:val="000000"/>
          <w:sz w:val="20"/>
          <w:szCs w:val="20"/>
        </w:rPr>
        <w:t>T.Gez</w:t>
      </w:r>
      <w:proofErr w:type="spellEnd"/>
      <w:r w:rsidRPr="000F4EC1">
        <w:rPr>
          <w:color w:val="000000"/>
          <w:sz w:val="20"/>
          <w:szCs w:val="20"/>
        </w:rPr>
        <w:t xml:space="preserve">. 2002, afl.4, 233 en in </w:t>
      </w:r>
      <w:r w:rsidRPr="000F4EC1">
        <w:rPr>
          <w:sz w:val="20"/>
          <w:szCs w:val="20"/>
          <w:lang w:val="nl-BE" w:eastAsia="ja-JP"/>
        </w:rPr>
        <w:t xml:space="preserve">M. </w:t>
      </w:r>
      <w:proofErr w:type="spellStart"/>
      <w:r w:rsidRPr="000F4EC1">
        <w:rPr>
          <w:smallCaps/>
          <w:sz w:val="20"/>
          <w:szCs w:val="20"/>
          <w:lang w:val="nl-BE"/>
        </w:rPr>
        <w:t>Cosyns</w:t>
      </w:r>
      <w:proofErr w:type="spellEnd"/>
      <w:r w:rsidRPr="000F4EC1">
        <w:rPr>
          <w:smallCaps/>
          <w:sz w:val="20"/>
          <w:szCs w:val="20"/>
          <w:lang w:val="nl-BE"/>
        </w:rPr>
        <w:t xml:space="preserve">, T. </w:t>
      </w:r>
      <w:proofErr w:type="spellStart"/>
      <w:r w:rsidRPr="000F4EC1">
        <w:rPr>
          <w:smallCaps/>
          <w:sz w:val="20"/>
          <w:szCs w:val="20"/>
          <w:lang w:val="nl-BE"/>
        </w:rPr>
        <w:t>Vansweevel</w:t>
      </w:r>
      <w:r>
        <w:rPr>
          <w:smallCaps/>
          <w:sz w:val="20"/>
          <w:szCs w:val="20"/>
          <w:lang w:val="nl-BE"/>
        </w:rPr>
        <w:t>t</w:t>
      </w:r>
      <w:proofErr w:type="spellEnd"/>
      <w:r>
        <w:rPr>
          <w:smallCaps/>
          <w:sz w:val="20"/>
          <w:szCs w:val="20"/>
          <w:lang w:val="nl-BE"/>
        </w:rPr>
        <w:t xml:space="preserve">, H. </w:t>
      </w:r>
      <w:proofErr w:type="spellStart"/>
      <w:r>
        <w:rPr>
          <w:smallCaps/>
          <w:sz w:val="20"/>
          <w:szCs w:val="20"/>
          <w:lang w:val="nl-BE"/>
        </w:rPr>
        <w:t>Nys</w:t>
      </w:r>
      <w:proofErr w:type="spellEnd"/>
      <w:r>
        <w:rPr>
          <w:smallCaps/>
          <w:sz w:val="20"/>
          <w:szCs w:val="20"/>
          <w:lang w:val="nl-BE"/>
        </w:rPr>
        <w:t xml:space="preserve">, T. </w:t>
      </w:r>
      <w:proofErr w:type="spellStart"/>
      <w:r>
        <w:rPr>
          <w:smallCaps/>
          <w:sz w:val="20"/>
          <w:szCs w:val="20"/>
          <w:lang w:val="nl-BE"/>
        </w:rPr>
        <w:t>Balthazar</w:t>
      </w:r>
      <w:proofErr w:type="spellEnd"/>
      <w:r>
        <w:rPr>
          <w:smallCaps/>
          <w:sz w:val="20"/>
          <w:szCs w:val="20"/>
          <w:lang w:val="nl-BE"/>
        </w:rPr>
        <w:t xml:space="preserve"> </w:t>
      </w:r>
      <w:r w:rsidRPr="005469DA">
        <w:rPr>
          <w:sz w:val="20"/>
          <w:szCs w:val="20"/>
          <w:lang w:val="nl-BE"/>
        </w:rPr>
        <w:t>en</w:t>
      </w:r>
      <w:r>
        <w:rPr>
          <w:smallCaps/>
          <w:sz w:val="20"/>
          <w:szCs w:val="20"/>
          <w:lang w:val="nl-BE"/>
        </w:rPr>
        <w:t xml:space="preserve"> </w:t>
      </w:r>
      <w:r w:rsidRPr="000F4EC1">
        <w:rPr>
          <w:smallCaps/>
          <w:sz w:val="20"/>
          <w:szCs w:val="20"/>
          <w:lang w:val="nl-BE"/>
        </w:rPr>
        <w:t xml:space="preserve">J. </w:t>
      </w:r>
      <w:proofErr w:type="spellStart"/>
      <w:r w:rsidRPr="000F4EC1">
        <w:rPr>
          <w:smallCaps/>
          <w:sz w:val="20"/>
          <w:szCs w:val="20"/>
          <w:lang w:val="nl-BE"/>
        </w:rPr>
        <w:t>Legemaate</w:t>
      </w:r>
      <w:proofErr w:type="spellEnd"/>
      <w:r w:rsidRPr="000F4EC1">
        <w:rPr>
          <w:smallCaps/>
          <w:sz w:val="20"/>
          <w:szCs w:val="20"/>
          <w:lang w:val="nl-BE"/>
        </w:rPr>
        <w:t xml:space="preserve">,  </w:t>
      </w:r>
      <w:r w:rsidRPr="000F4EC1">
        <w:rPr>
          <w:i/>
          <w:sz w:val="20"/>
          <w:szCs w:val="20"/>
          <w:lang w:val="nl-BE"/>
        </w:rPr>
        <w:t>De euthanasiewet doorgelicht</w:t>
      </w:r>
      <w:r w:rsidRPr="000F4EC1">
        <w:rPr>
          <w:sz w:val="20"/>
          <w:szCs w:val="20"/>
          <w:lang w:val="nl-BE"/>
        </w:rPr>
        <w:t xml:space="preserve">, Mechelen, </w:t>
      </w:r>
      <w:proofErr w:type="spellStart"/>
      <w:r w:rsidRPr="000F4EC1">
        <w:rPr>
          <w:sz w:val="20"/>
          <w:szCs w:val="20"/>
          <w:lang w:val="nl-BE"/>
        </w:rPr>
        <w:t>Kluwer</w:t>
      </w:r>
      <w:proofErr w:type="spellEnd"/>
      <w:r w:rsidRPr="000F4EC1">
        <w:rPr>
          <w:sz w:val="20"/>
          <w:szCs w:val="20"/>
          <w:lang w:val="nl-BE"/>
        </w:rPr>
        <w:t>, 2003, 60</w:t>
      </w:r>
      <w:r>
        <w:rPr>
          <w:sz w:val="20"/>
          <w:szCs w:val="20"/>
          <w:lang w:val="nl-BE"/>
        </w:rPr>
        <w:t>.</w:t>
      </w:r>
    </w:p>
  </w:footnote>
  <w:footnote w:id="45">
    <w:p w:rsidR="001A0466" w:rsidRPr="000F4EC1" w:rsidRDefault="001A0466" w:rsidP="000F4EC1">
      <w:pPr>
        <w:jc w:val="both"/>
        <w:rPr>
          <w:sz w:val="20"/>
          <w:szCs w:val="20"/>
          <w:lang w:val="nl-BE"/>
        </w:rPr>
      </w:pPr>
      <w:r w:rsidRPr="000F4EC1">
        <w:rPr>
          <w:rStyle w:val="Voetnootmarkering"/>
          <w:sz w:val="20"/>
          <w:szCs w:val="20"/>
        </w:rPr>
        <w:footnoteRef/>
      </w:r>
      <w:r w:rsidRPr="000F4EC1">
        <w:rPr>
          <w:sz w:val="20"/>
          <w:szCs w:val="20"/>
        </w:rPr>
        <w:t xml:space="preserve"> </w:t>
      </w:r>
      <w:proofErr w:type="spellStart"/>
      <w:r w:rsidRPr="000F4EC1">
        <w:rPr>
          <w:i/>
          <w:iCs/>
          <w:sz w:val="20"/>
          <w:szCs w:val="20"/>
          <w:lang w:val="nl-BE" w:eastAsia="ja-JP"/>
        </w:rPr>
        <w:t>Parl</w:t>
      </w:r>
      <w:proofErr w:type="spellEnd"/>
      <w:r w:rsidRPr="000F4EC1">
        <w:rPr>
          <w:i/>
          <w:iCs/>
          <w:sz w:val="20"/>
          <w:szCs w:val="20"/>
          <w:lang w:val="nl-BE" w:eastAsia="ja-JP"/>
        </w:rPr>
        <w:t>.</w:t>
      </w:r>
      <w:r>
        <w:rPr>
          <w:i/>
          <w:iCs/>
          <w:sz w:val="20"/>
          <w:szCs w:val="20"/>
          <w:lang w:val="nl-BE" w:eastAsia="ja-JP"/>
        </w:rPr>
        <w:t xml:space="preserve"> </w:t>
      </w:r>
      <w:r w:rsidRPr="000F4EC1">
        <w:rPr>
          <w:i/>
          <w:iCs/>
          <w:sz w:val="20"/>
          <w:szCs w:val="20"/>
          <w:lang w:val="nl-BE" w:eastAsia="ja-JP"/>
        </w:rPr>
        <w:t xml:space="preserve">St. </w:t>
      </w:r>
      <w:r w:rsidRPr="000F4EC1">
        <w:rPr>
          <w:sz w:val="20"/>
          <w:szCs w:val="20"/>
          <w:lang w:val="nl-BE" w:eastAsia="ja-JP"/>
        </w:rPr>
        <w:t xml:space="preserve">Kamer 2001-02, nr. 1488/9, 210; H. </w:t>
      </w:r>
      <w:proofErr w:type="spellStart"/>
      <w:r w:rsidRPr="000F4EC1">
        <w:rPr>
          <w:smallCaps/>
          <w:sz w:val="20"/>
          <w:szCs w:val="20"/>
          <w:lang w:val="nl-BE"/>
        </w:rPr>
        <w:t>Nys</w:t>
      </w:r>
      <w:proofErr w:type="spellEnd"/>
      <w:r w:rsidRPr="000F4EC1">
        <w:rPr>
          <w:smallCaps/>
          <w:sz w:val="20"/>
          <w:szCs w:val="20"/>
          <w:lang w:val="nl-BE"/>
        </w:rPr>
        <w:t xml:space="preserve">, </w:t>
      </w:r>
      <w:r w:rsidRPr="000F4EC1">
        <w:rPr>
          <w:i/>
          <w:sz w:val="20"/>
          <w:szCs w:val="20"/>
          <w:lang w:val="nl-BE"/>
        </w:rPr>
        <w:t>Algemene praktische rechtsverzameling, Geneeskunde, Recht en medisch handelen</w:t>
      </w:r>
      <w:r w:rsidRPr="000F4EC1">
        <w:rPr>
          <w:sz w:val="20"/>
          <w:szCs w:val="20"/>
          <w:lang w:val="nl-BE"/>
        </w:rPr>
        <w:t xml:space="preserve">, Mechelen, </w:t>
      </w:r>
      <w:proofErr w:type="spellStart"/>
      <w:r w:rsidRPr="000F4EC1">
        <w:rPr>
          <w:sz w:val="20"/>
          <w:szCs w:val="20"/>
          <w:lang w:val="nl-BE"/>
        </w:rPr>
        <w:t>Kluwer</w:t>
      </w:r>
      <w:proofErr w:type="spellEnd"/>
      <w:r w:rsidRPr="000F4EC1">
        <w:rPr>
          <w:sz w:val="20"/>
          <w:szCs w:val="20"/>
          <w:lang w:val="nl-BE"/>
        </w:rPr>
        <w:t xml:space="preserve">, 2005, 371; H. </w:t>
      </w:r>
      <w:proofErr w:type="spellStart"/>
      <w:r w:rsidRPr="000F4EC1">
        <w:rPr>
          <w:sz w:val="20"/>
          <w:szCs w:val="20"/>
          <w:lang w:val="nl-BE"/>
        </w:rPr>
        <w:t>N</w:t>
      </w:r>
      <w:r w:rsidRPr="000F4EC1">
        <w:rPr>
          <w:smallCaps/>
          <w:sz w:val="20"/>
          <w:szCs w:val="20"/>
          <w:lang w:val="nl-BE"/>
        </w:rPr>
        <w:t>ys</w:t>
      </w:r>
      <w:proofErr w:type="spellEnd"/>
      <w:r w:rsidRPr="000F4EC1">
        <w:rPr>
          <w:sz w:val="20"/>
          <w:szCs w:val="20"/>
          <w:lang w:val="nl-BE"/>
        </w:rPr>
        <w:t xml:space="preserve">, “Euthanasie bij kinderen naar Belgisch recht”, </w:t>
      </w:r>
      <w:r w:rsidRPr="000F4EC1">
        <w:rPr>
          <w:i/>
          <w:sz w:val="20"/>
          <w:szCs w:val="20"/>
          <w:lang w:val="nl-BE"/>
        </w:rPr>
        <w:t>TJK</w:t>
      </w:r>
      <w:r w:rsidRPr="000F4EC1">
        <w:rPr>
          <w:sz w:val="20"/>
          <w:szCs w:val="20"/>
          <w:lang w:val="nl-BE"/>
        </w:rPr>
        <w:t xml:space="preserve"> 2009, afl. 4, 278.</w:t>
      </w:r>
    </w:p>
  </w:footnote>
  <w:footnote w:id="46">
    <w:p w:rsidR="001A0466" w:rsidRPr="000F4EC1" w:rsidRDefault="001A0466" w:rsidP="000F4EC1">
      <w:pPr>
        <w:pStyle w:val="Voetnoottekst"/>
        <w:jc w:val="both"/>
        <w:rPr>
          <w:lang w:val="nl-BE"/>
        </w:rPr>
      </w:pPr>
      <w:r w:rsidRPr="000F4EC1">
        <w:rPr>
          <w:rStyle w:val="Voetnootmarkering"/>
        </w:rPr>
        <w:footnoteRef/>
      </w:r>
      <w:r w:rsidRPr="000F4EC1">
        <w:t xml:space="preserve"> </w:t>
      </w:r>
      <w:r w:rsidRPr="000F4EC1">
        <w:rPr>
          <w:lang w:val="nl-BE"/>
        </w:rPr>
        <w:t xml:space="preserve">H. </w:t>
      </w:r>
      <w:proofErr w:type="spellStart"/>
      <w:r w:rsidRPr="000F4EC1">
        <w:rPr>
          <w:lang w:val="nl-BE"/>
        </w:rPr>
        <w:t>N</w:t>
      </w:r>
      <w:r w:rsidRPr="000F4EC1">
        <w:rPr>
          <w:smallCaps/>
          <w:lang w:val="nl-BE"/>
        </w:rPr>
        <w:t>ys</w:t>
      </w:r>
      <w:proofErr w:type="spellEnd"/>
      <w:r w:rsidRPr="000F4EC1">
        <w:rPr>
          <w:lang w:val="nl-BE"/>
        </w:rPr>
        <w:t xml:space="preserve">, “Euthanasie bij kinderen naar Belgisch recht”, </w:t>
      </w:r>
      <w:r w:rsidRPr="000F4EC1">
        <w:rPr>
          <w:i/>
          <w:lang w:val="nl-BE"/>
        </w:rPr>
        <w:t>TJK</w:t>
      </w:r>
      <w:r w:rsidRPr="000F4EC1">
        <w:rPr>
          <w:lang w:val="nl-BE"/>
        </w:rPr>
        <w:t xml:space="preserve"> 2009, afl. 4, 278.</w:t>
      </w:r>
    </w:p>
  </w:footnote>
  <w:footnote w:id="47">
    <w:p w:rsidR="001A0466" w:rsidRPr="000F4EC1" w:rsidRDefault="001A0466" w:rsidP="000F4EC1">
      <w:pPr>
        <w:jc w:val="both"/>
        <w:rPr>
          <w:sz w:val="20"/>
          <w:szCs w:val="20"/>
          <w:lang w:val="nl-BE"/>
        </w:rPr>
      </w:pPr>
      <w:r w:rsidRPr="002B310E">
        <w:rPr>
          <w:rStyle w:val="Voetnootmarkering"/>
          <w:sz w:val="20"/>
          <w:szCs w:val="20"/>
        </w:rPr>
        <w:footnoteRef/>
      </w:r>
      <w:r w:rsidRPr="002B310E">
        <w:rPr>
          <w:sz w:val="20"/>
          <w:szCs w:val="20"/>
        </w:rPr>
        <w:t xml:space="preserve"> </w:t>
      </w:r>
      <w:r w:rsidRPr="002B310E">
        <w:rPr>
          <w:sz w:val="20"/>
          <w:szCs w:val="20"/>
          <w:lang w:val="nl-BE" w:eastAsia="ja-JP"/>
        </w:rPr>
        <w:t xml:space="preserve">Verslag LALOY en VAN RIET, </w:t>
      </w:r>
      <w:proofErr w:type="spellStart"/>
      <w:r w:rsidRPr="002B310E">
        <w:rPr>
          <w:i/>
          <w:iCs/>
          <w:sz w:val="20"/>
          <w:szCs w:val="20"/>
          <w:lang w:val="nl-BE" w:eastAsia="ja-JP"/>
        </w:rPr>
        <w:t>Parl</w:t>
      </w:r>
      <w:proofErr w:type="spellEnd"/>
      <w:r w:rsidRPr="002B310E">
        <w:rPr>
          <w:i/>
          <w:iCs/>
          <w:sz w:val="20"/>
          <w:szCs w:val="20"/>
          <w:lang w:val="nl-BE" w:eastAsia="ja-JP"/>
        </w:rPr>
        <w:t>.</w:t>
      </w:r>
      <w:r>
        <w:rPr>
          <w:i/>
          <w:iCs/>
          <w:sz w:val="20"/>
          <w:szCs w:val="20"/>
          <w:lang w:val="nl-BE" w:eastAsia="ja-JP"/>
        </w:rPr>
        <w:t xml:space="preserve"> </w:t>
      </w:r>
      <w:r w:rsidRPr="002B310E">
        <w:rPr>
          <w:i/>
          <w:iCs/>
          <w:sz w:val="20"/>
          <w:szCs w:val="20"/>
          <w:lang w:val="nl-BE" w:eastAsia="ja-JP"/>
        </w:rPr>
        <w:t>St.</w:t>
      </w:r>
      <w:r w:rsidRPr="002B310E">
        <w:rPr>
          <w:sz w:val="20"/>
          <w:szCs w:val="20"/>
          <w:lang w:val="nl-BE" w:eastAsia="ja-JP"/>
        </w:rPr>
        <w:t xml:space="preserve"> Senaat 2000-01, 2-244/22, 123;</w:t>
      </w:r>
      <w:r w:rsidRPr="000F4EC1">
        <w:rPr>
          <w:sz w:val="20"/>
          <w:szCs w:val="20"/>
          <w:lang w:val="nl-BE"/>
        </w:rPr>
        <w:t xml:space="preserve"> </w:t>
      </w:r>
      <w:r w:rsidRPr="000F4EC1">
        <w:rPr>
          <w:sz w:val="20"/>
          <w:szCs w:val="20"/>
          <w:lang w:val="nl-BE" w:eastAsia="ja-JP"/>
        </w:rPr>
        <w:t>T</w:t>
      </w:r>
      <w:r w:rsidRPr="000F4EC1">
        <w:rPr>
          <w:smallCaps/>
          <w:sz w:val="20"/>
          <w:szCs w:val="20"/>
          <w:lang w:val="nl-BE" w:eastAsia="ja-JP"/>
        </w:rPr>
        <w:t xml:space="preserve">. </w:t>
      </w:r>
      <w:proofErr w:type="spellStart"/>
      <w:r w:rsidRPr="000F4EC1">
        <w:rPr>
          <w:smallCaps/>
          <w:sz w:val="20"/>
          <w:szCs w:val="20"/>
          <w:lang w:val="nl-BE" w:eastAsia="ja-JP"/>
        </w:rPr>
        <w:t>Vansweevelt</w:t>
      </w:r>
      <w:proofErr w:type="spellEnd"/>
      <w:r w:rsidRPr="000F4EC1">
        <w:rPr>
          <w:smallCaps/>
          <w:sz w:val="20"/>
          <w:szCs w:val="20"/>
          <w:lang w:val="nl-BE" w:eastAsia="ja-JP"/>
        </w:rPr>
        <w:t xml:space="preserve">, </w:t>
      </w:r>
      <w:r w:rsidRPr="000F4EC1">
        <w:rPr>
          <w:sz w:val="20"/>
          <w:szCs w:val="20"/>
          <w:lang w:val="nl-BE"/>
        </w:rPr>
        <w:t xml:space="preserve"> “</w:t>
      </w:r>
      <w:r w:rsidRPr="000F4EC1">
        <w:rPr>
          <w:color w:val="000000"/>
          <w:sz w:val="20"/>
          <w:szCs w:val="20"/>
        </w:rPr>
        <w:t xml:space="preserve">De euthanasiewet. De ultieme bevestiging van het zelfbeschikkingsrecht of een gecontroleerde keuzevrijheid?”, </w:t>
      </w:r>
      <w:proofErr w:type="spellStart"/>
      <w:r w:rsidRPr="000F4EC1">
        <w:rPr>
          <w:i/>
          <w:color w:val="000000"/>
          <w:sz w:val="20"/>
          <w:szCs w:val="20"/>
        </w:rPr>
        <w:t>T.Gez</w:t>
      </w:r>
      <w:proofErr w:type="spellEnd"/>
      <w:r w:rsidRPr="000F4EC1">
        <w:rPr>
          <w:color w:val="000000"/>
          <w:sz w:val="20"/>
          <w:szCs w:val="20"/>
        </w:rPr>
        <w:t xml:space="preserve">. 2002, afl.4, 233-234 en in </w:t>
      </w:r>
      <w:r w:rsidRPr="000F4EC1">
        <w:rPr>
          <w:sz w:val="20"/>
          <w:szCs w:val="20"/>
          <w:lang w:val="nl-BE" w:eastAsia="ja-JP"/>
        </w:rPr>
        <w:t xml:space="preserve">M. </w:t>
      </w:r>
      <w:proofErr w:type="spellStart"/>
      <w:r w:rsidRPr="000F4EC1">
        <w:rPr>
          <w:smallCaps/>
          <w:sz w:val="20"/>
          <w:szCs w:val="20"/>
          <w:lang w:val="nl-BE"/>
        </w:rPr>
        <w:t>Cosyns</w:t>
      </w:r>
      <w:proofErr w:type="spellEnd"/>
      <w:r w:rsidRPr="000F4EC1">
        <w:rPr>
          <w:smallCaps/>
          <w:sz w:val="20"/>
          <w:szCs w:val="20"/>
          <w:lang w:val="nl-BE"/>
        </w:rPr>
        <w:t xml:space="preserve">, T. </w:t>
      </w:r>
      <w:proofErr w:type="spellStart"/>
      <w:r w:rsidRPr="000F4EC1">
        <w:rPr>
          <w:smallCaps/>
          <w:sz w:val="20"/>
          <w:szCs w:val="20"/>
          <w:lang w:val="nl-BE"/>
        </w:rPr>
        <w:t>Vansweevel</w:t>
      </w:r>
      <w:r>
        <w:rPr>
          <w:smallCaps/>
          <w:sz w:val="20"/>
          <w:szCs w:val="20"/>
          <w:lang w:val="nl-BE"/>
        </w:rPr>
        <w:t>t</w:t>
      </w:r>
      <w:proofErr w:type="spellEnd"/>
      <w:r w:rsidRPr="000F4EC1">
        <w:rPr>
          <w:smallCaps/>
          <w:sz w:val="20"/>
          <w:szCs w:val="20"/>
          <w:lang w:val="nl-BE"/>
        </w:rPr>
        <w:t xml:space="preserve">, H. </w:t>
      </w:r>
      <w:proofErr w:type="spellStart"/>
      <w:r w:rsidRPr="000F4EC1">
        <w:rPr>
          <w:smallCaps/>
          <w:sz w:val="20"/>
          <w:szCs w:val="20"/>
          <w:lang w:val="nl-BE"/>
        </w:rPr>
        <w:t>Nys</w:t>
      </w:r>
      <w:proofErr w:type="spellEnd"/>
      <w:r w:rsidRPr="000F4EC1">
        <w:rPr>
          <w:smallCaps/>
          <w:sz w:val="20"/>
          <w:szCs w:val="20"/>
          <w:lang w:val="nl-BE"/>
        </w:rPr>
        <w:t xml:space="preserve">, T. </w:t>
      </w:r>
      <w:proofErr w:type="spellStart"/>
      <w:r w:rsidRPr="000F4EC1">
        <w:rPr>
          <w:smallCaps/>
          <w:sz w:val="20"/>
          <w:szCs w:val="20"/>
          <w:lang w:val="nl-BE"/>
        </w:rPr>
        <w:t>Baltha</w:t>
      </w:r>
      <w:r>
        <w:rPr>
          <w:smallCaps/>
          <w:sz w:val="20"/>
          <w:szCs w:val="20"/>
          <w:lang w:val="nl-BE"/>
        </w:rPr>
        <w:t>zar</w:t>
      </w:r>
      <w:proofErr w:type="spellEnd"/>
      <w:r>
        <w:rPr>
          <w:smallCaps/>
          <w:sz w:val="20"/>
          <w:szCs w:val="20"/>
          <w:lang w:val="nl-BE"/>
        </w:rPr>
        <w:t xml:space="preserve"> </w:t>
      </w:r>
      <w:r w:rsidRPr="005469DA">
        <w:rPr>
          <w:sz w:val="20"/>
          <w:szCs w:val="20"/>
          <w:lang w:val="nl-BE"/>
        </w:rPr>
        <w:t>en</w:t>
      </w:r>
      <w:r>
        <w:rPr>
          <w:smallCaps/>
          <w:sz w:val="20"/>
          <w:szCs w:val="20"/>
          <w:lang w:val="nl-BE"/>
        </w:rPr>
        <w:t xml:space="preserve"> </w:t>
      </w:r>
      <w:r w:rsidRPr="000F4EC1">
        <w:rPr>
          <w:smallCaps/>
          <w:sz w:val="20"/>
          <w:szCs w:val="20"/>
          <w:lang w:val="nl-BE"/>
        </w:rPr>
        <w:t xml:space="preserve">J. </w:t>
      </w:r>
      <w:proofErr w:type="spellStart"/>
      <w:r w:rsidRPr="000F4EC1">
        <w:rPr>
          <w:smallCaps/>
          <w:sz w:val="20"/>
          <w:szCs w:val="20"/>
          <w:lang w:val="nl-BE"/>
        </w:rPr>
        <w:t>Legemaate</w:t>
      </w:r>
      <w:proofErr w:type="spellEnd"/>
      <w:r w:rsidRPr="000F4EC1">
        <w:rPr>
          <w:smallCaps/>
          <w:sz w:val="20"/>
          <w:szCs w:val="20"/>
          <w:lang w:val="nl-BE"/>
        </w:rPr>
        <w:t xml:space="preserve">, </w:t>
      </w:r>
      <w:r w:rsidRPr="000F4EC1">
        <w:rPr>
          <w:i/>
          <w:sz w:val="20"/>
          <w:szCs w:val="20"/>
          <w:lang w:val="nl-BE"/>
        </w:rPr>
        <w:t>De euthanasiewet doorgelicht</w:t>
      </w:r>
      <w:r w:rsidRPr="000F4EC1">
        <w:rPr>
          <w:sz w:val="20"/>
          <w:szCs w:val="20"/>
          <w:lang w:val="nl-BE"/>
        </w:rPr>
        <w:t xml:space="preserve">, Mechelen, </w:t>
      </w:r>
      <w:proofErr w:type="spellStart"/>
      <w:r w:rsidRPr="000F4EC1">
        <w:rPr>
          <w:sz w:val="20"/>
          <w:szCs w:val="20"/>
          <w:lang w:val="nl-BE"/>
        </w:rPr>
        <w:t>Kluwer</w:t>
      </w:r>
      <w:proofErr w:type="spellEnd"/>
      <w:r w:rsidRPr="000F4EC1">
        <w:rPr>
          <w:sz w:val="20"/>
          <w:szCs w:val="20"/>
          <w:lang w:val="nl-BE"/>
        </w:rPr>
        <w:t>, 2003, 60</w:t>
      </w:r>
      <w:r w:rsidRPr="000F4EC1">
        <w:rPr>
          <w:color w:val="000000"/>
          <w:sz w:val="20"/>
          <w:szCs w:val="20"/>
        </w:rPr>
        <w:t>.</w:t>
      </w:r>
    </w:p>
  </w:footnote>
  <w:footnote w:id="48">
    <w:p w:rsidR="001A0466" w:rsidRPr="000F4EC1" w:rsidRDefault="001A0466" w:rsidP="000F4EC1">
      <w:pPr>
        <w:jc w:val="both"/>
        <w:rPr>
          <w:sz w:val="20"/>
          <w:szCs w:val="20"/>
          <w:lang w:val="nl-BE"/>
        </w:rPr>
      </w:pPr>
      <w:r w:rsidRPr="000F4EC1">
        <w:rPr>
          <w:rStyle w:val="Voetnootmarkering"/>
          <w:sz w:val="20"/>
          <w:szCs w:val="20"/>
        </w:rPr>
        <w:footnoteRef/>
      </w:r>
      <w:r w:rsidRPr="000F4EC1">
        <w:rPr>
          <w:sz w:val="20"/>
          <w:szCs w:val="20"/>
        </w:rPr>
        <w:t xml:space="preserve"> </w:t>
      </w:r>
      <w:r w:rsidRPr="002B310E">
        <w:rPr>
          <w:sz w:val="20"/>
          <w:szCs w:val="20"/>
          <w:lang w:val="nl-BE" w:eastAsia="ja-JP"/>
        </w:rPr>
        <w:t xml:space="preserve">Verslag LALOY en VAN RIET, </w:t>
      </w:r>
      <w:proofErr w:type="spellStart"/>
      <w:r w:rsidRPr="002B310E">
        <w:rPr>
          <w:i/>
          <w:iCs/>
          <w:sz w:val="20"/>
          <w:szCs w:val="20"/>
          <w:lang w:val="nl-BE" w:eastAsia="ja-JP"/>
        </w:rPr>
        <w:t>Parl</w:t>
      </w:r>
      <w:proofErr w:type="spellEnd"/>
      <w:r w:rsidRPr="002B310E">
        <w:rPr>
          <w:i/>
          <w:iCs/>
          <w:sz w:val="20"/>
          <w:szCs w:val="20"/>
          <w:lang w:val="nl-BE" w:eastAsia="ja-JP"/>
        </w:rPr>
        <w:t>.</w:t>
      </w:r>
      <w:r>
        <w:rPr>
          <w:i/>
          <w:iCs/>
          <w:sz w:val="20"/>
          <w:szCs w:val="20"/>
          <w:lang w:val="nl-BE" w:eastAsia="ja-JP"/>
        </w:rPr>
        <w:t xml:space="preserve"> </w:t>
      </w:r>
      <w:r w:rsidRPr="002B310E">
        <w:rPr>
          <w:i/>
          <w:iCs/>
          <w:sz w:val="20"/>
          <w:szCs w:val="20"/>
          <w:lang w:val="nl-BE" w:eastAsia="ja-JP"/>
        </w:rPr>
        <w:t>St.</w:t>
      </w:r>
      <w:r w:rsidRPr="002B310E">
        <w:rPr>
          <w:sz w:val="20"/>
          <w:szCs w:val="20"/>
          <w:lang w:val="nl-BE" w:eastAsia="ja-JP"/>
        </w:rPr>
        <w:t xml:space="preserve"> Senaat 2000-01, 2-244/22, 123;</w:t>
      </w:r>
      <w:r w:rsidRPr="000F4EC1">
        <w:rPr>
          <w:sz w:val="20"/>
          <w:szCs w:val="20"/>
          <w:lang w:val="nl-BE"/>
        </w:rPr>
        <w:t xml:space="preserve"> </w:t>
      </w:r>
      <w:r w:rsidRPr="000F4EC1">
        <w:rPr>
          <w:sz w:val="20"/>
          <w:szCs w:val="20"/>
          <w:lang w:val="nl-BE" w:eastAsia="ja-JP"/>
        </w:rPr>
        <w:t>T</w:t>
      </w:r>
      <w:r w:rsidRPr="000F4EC1">
        <w:rPr>
          <w:smallCaps/>
          <w:sz w:val="20"/>
          <w:szCs w:val="20"/>
          <w:lang w:val="nl-BE" w:eastAsia="ja-JP"/>
        </w:rPr>
        <w:t xml:space="preserve">. </w:t>
      </w:r>
      <w:proofErr w:type="spellStart"/>
      <w:r w:rsidRPr="000F4EC1">
        <w:rPr>
          <w:smallCaps/>
          <w:sz w:val="20"/>
          <w:szCs w:val="20"/>
          <w:lang w:val="nl-BE" w:eastAsia="ja-JP"/>
        </w:rPr>
        <w:t>Vansweevelt</w:t>
      </w:r>
      <w:proofErr w:type="spellEnd"/>
      <w:r w:rsidRPr="000F4EC1">
        <w:rPr>
          <w:smallCaps/>
          <w:sz w:val="20"/>
          <w:szCs w:val="20"/>
          <w:lang w:val="nl-BE" w:eastAsia="ja-JP"/>
        </w:rPr>
        <w:t xml:space="preserve">, </w:t>
      </w:r>
      <w:r w:rsidRPr="000F4EC1">
        <w:rPr>
          <w:sz w:val="20"/>
          <w:szCs w:val="20"/>
          <w:lang w:val="nl-BE"/>
        </w:rPr>
        <w:t xml:space="preserve"> “</w:t>
      </w:r>
      <w:r w:rsidRPr="000F4EC1">
        <w:rPr>
          <w:color w:val="000000"/>
          <w:sz w:val="20"/>
          <w:szCs w:val="20"/>
        </w:rPr>
        <w:t xml:space="preserve">De euthanasiewet. De ultieme bevestiging van het zelfbeschikkingsrecht of een gecontroleerde keuzevrijheid?”, </w:t>
      </w:r>
      <w:proofErr w:type="spellStart"/>
      <w:r w:rsidRPr="000F4EC1">
        <w:rPr>
          <w:i/>
          <w:color w:val="000000"/>
          <w:sz w:val="20"/>
          <w:szCs w:val="20"/>
        </w:rPr>
        <w:t>T.Gez</w:t>
      </w:r>
      <w:proofErr w:type="spellEnd"/>
      <w:r w:rsidRPr="000F4EC1">
        <w:rPr>
          <w:color w:val="000000"/>
          <w:sz w:val="20"/>
          <w:szCs w:val="20"/>
        </w:rPr>
        <w:t xml:space="preserve">. 2002, afl.4, 233-234 en in </w:t>
      </w:r>
      <w:r w:rsidRPr="000F4EC1">
        <w:rPr>
          <w:sz w:val="20"/>
          <w:szCs w:val="20"/>
          <w:lang w:val="nl-BE" w:eastAsia="ja-JP"/>
        </w:rPr>
        <w:t xml:space="preserve">M. </w:t>
      </w:r>
      <w:proofErr w:type="spellStart"/>
      <w:r w:rsidRPr="000F4EC1">
        <w:rPr>
          <w:smallCaps/>
          <w:sz w:val="20"/>
          <w:szCs w:val="20"/>
          <w:lang w:val="nl-BE"/>
        </w:rPr>
        <w:t>Cosyns</w:t>
      </w:r>
      <w:proofErr w:type="spellEnd"/>
      <w:r w:rsidRPr="000F4EC1">
        <w:rPr>
          <w:smallCaps/>
          <w:sz w:val="20"/>
          <w:szCs w:val="20"/>
          <w:lang w:val="nl-BE"/>
        </w:rPr>
        <w:t xml:space="preserve">, T. </w:t>
      </w:r>
      <w:proofErr w:type="spellStart"/>
      <w:r w:rsidRPr="000F4EC1">
        <w:rPr>
          <w:smallCaps/>
          <w:sz w:val="20"/>
          <w:szCs w:val="20"/>
          <w:lang w:val="nl-BE"/>
        </w:rPr>
        <w:t>Vansweevel</w:t>
      </w:r>
      <w:r>
        <w:rPr>
          <w:smallCaps/>
          <w:sz w:val="20"/>
          <w:szCs w:val="20"/>
          <w:lang w:val="nl-BE"/>
        </w:rPr>
        <w:t>t</w:t>
      </w:r>
      <w:proofErr w:type="spellEnd"/>
      <w:r w:rsidRPr="000F4EC1">
        <w:rPr>
          <w:smallCaps/>
          <w:sz w:val="20"/>
          <w:szCs w:val="20"/>
          <w:lang w:val="nl-BE"/>
        </w:rPr>
        <w:t xml:space="preserve">, H. </w:t>
      </w:r>
      <w:proofErr w:type="spellStart"/>
      <w:r w:rsidRPr="000F4EC1">
        <w:rPr>
          <w:smallCaps/>
          <w:sz w:val="20"/>
          <w:szCs w:val="20"/>
          <w:lang w:val="nl-BE"/>
        </w:rPr>
        <w:t>Nys</w:t>
      </w:r>
      <w:proofErr w:type="spellEnd"/>
      <w:r w:rsidRPr="000F4EC1">
        <w:rPr>
          <w:smallCaps/>
          <w:sz w:val="20"/>
          <w:szCs w:val="20"/>
          <w:lang w:val="nl-BE"/>
        </w:rPr>
        <w:t xml:space="preserve">, T. </w:t>
      </w:r>
      <w:proofErr w:type="spellStart"/>
      <w:r w:rsidRPr="000F4EC1">
        <w:rPr>
          <w:smallCaps/>
          <w:sz w:val="20"/>
          <w:szCs w:val="20"/>
          <w:lang w:val="nl-BE"/>
        </w:rPr>
        <w:t>Balthazar</w:t>
      </w:r>
      <w:proofErr w:type="spellEnd"/>
      <w:r>
        <w:rPr>
          <w:smallCaps/>
          <w:sz w:val="20"/>
          <w:szCs w:val="20"/>
          <w:lang w:val="nl-BE"/>
        </w:rPr>
        <w:t xml:space="preserve"> </w:t>
      </w:r>
      <w:r w:rsidRPr="005469DA">
        <w:rPr>
          <w:sz w:val="20"/>
          <w:szCs w:val="20"/>
          <w:lang w:val="nl-BE"/>
        </w:rPr>
        <w:t>en</w:t>
      </w:r>
      <w:r w:rsidRPr="000F4EC1">
        <w:rPr>
          <w:smallCaps/>
          <w:sz w:val="20"/>
          <w:szCs w:val="20"/>
          <w:lang w:val="nl-BE"/>
        </w:rPr>
        <w:t xml:space="preserve"> J. </w:t>
      </w:r>
      <w:proofErr w:type="spellStart"/>
      <w:r w:rsidRPr="000F4EC1">
        <w:rPr>
          <w:smallCaps/>
          <w:sz w:val="20"/>
          <w:szCs w:val="20"/>
          <w:lang w:val="nl-BE"/>
        </w:rPr>
        <w:t>Legemaate</w:t>
      </w:r>
      <w:proofErr w:type="spellEnd"/>
      <w:r w:rsidRPr="000F4EC1">
        <w:rPr>
          <w:smallCaps/>
          <w:sz w:val="20"/>
          <w:szCs w:val="20"/>
          <w:lang w:val="nl-BE"/>
        </w:rPr>
        <w:t xml:space="preserve">, </w:t>
      </w:r>
      <w:r w:rsidRPr="000F4EC1">
        <w:rPr>
          <w:i/>
          <w:sz w:val="20"/>
          <w:szCs w:val="20"/>
          <w:lang w:val="nl-BE"/>
        </w:rPr>
        <w:t>De euthanasiewet doorgelicht</w:t>
      </w:r>
      <w:r w:rsidRPr="000F4EC1">
        <w:rPr>
          <w:sz w:val="20"/>
          <w:szCs w:val="20"/>
          <w:lang w:val="nl-BE"/>
        </w:rPr>
        <w:t xml:space="preserve">, Mechelen, </w:t>
      </w:r>
      <w:proofErr w:type="spellStart"/>
      <w:r w:rsidRPr="000F4EC1">
        <w:rPr>
          <w:sz w:val="20"/>
          <w:szCs w:val="20"/>
          <w:lang w:val="nl-BE"/>
        </w:rPr>
        <w:t>Kluwer</w:t>
      </w:r>
      <w:proofErr w:type="spellEnd"/>
      <w:r w:rsidRPr="000F4EC1">
        <w:rPr>
          <w:sz w:val="20"/>
          <w:szCs w:val="20"/>
          <w:lang w:val="nl-BE"/>
        </w:rPr>
        <w:t>, 2003, 60</w:t>
      </w:r>
      <w:r w:rsidRPr="000F4EC1">
        <w:rPr>
          <w:color w:val="000000"/>
          <w:sz w:val="20"/>
          <w:szCs w:val="20"/>
        </w:rPr>
        <w:t>.</w:t>
      </w:r>
    </w:p>
  </w:footnote>
  <w:footnote w:id="49">
    <w:p w:rsidR="001A0466" w:rsidRPr="000F4EC1" w:rsidRDefault="001A0466" w:rsidP="000F4EC1">
      <w:pPr>
        <w:jc w:val="both"/>
        <w:rPr>
          <w:sz w:val="20"/>
          <w:szCs w:val="20"/>
        </w:rPr>
      </w:pPr>
      <w:r w:rsidRPr="000F4EC1">
        <w:rPr>
          <w:rStyle w:val="Voetnootmarkering"/>
          <w:sz w:val="20"/>
          <w:szCs w:val="20"/>
        </w:rPr>
        <w:footnoteRef/>
      </w:r>
      <w:r w:rsidRPr="000F4EC1">
        <w:rPr>
          <w:sz w:val="20"/>
          <w:szCs w:val="20"/>
        </w:rPr>
        <w:t xml:space="preserve"> </w:t>
      </w:r>
      <w:r w:rsidRPr="002B310E">
        <w:rPr>
          <w:sz w:val="20"/>
          <w:szCs w:val="20"/>
          <w:lang w:val="nl-BE" w:eastAsia="ja-JP"/>
        </w:rPr>
        <w:t xml:space="preserve">Verslag LALOY en VAN RIET, </w:t>
      </w:r>
      <w:proofErr w:type="spellStart"/>
      <w:r w:rsidRPr="002B310E">
        <w:rPr>
          <w:i/>
          <w:iCs/>
          <w:sz w:val="20"/>
          <w:szCs w:val="20"/>
          <w:lang w:val="nl-BE" w:eastAsia="ja-JP"/>
        </w:rPr>
        <w:t>Parl</w:t>
      </w:r>
      <w:proofErr w:type="spellEnd"/>
      <w:r w:rsidRPr="002B310E">
        <w:rPr>
          <w:i/>
          <w:iCs/>
          <w:sz w:val="20"/>
          <w:szCs w:val="20"/>
          <w:lang w:val="nl-BE" w:eastAsia="ja-JP"/>
        </w:rPr>
        <w:t>.</w:t>
      </w:r>
      <w:r>
        <w:rPr>
          <w:i/>
          <w:iCs/>
          <w:sz w:val="20"/>
          <w:szCs w:val="20"/>
          <w:lang w:val="nl-BE" w:eastAsia="ja-JP"/>
        </w:rPr>
        <w:t xml:space="preserve"> </w:t>
      </w:r>
      <w:r w:rsidRPr="002B310E">
        <w:rPr>
          <w:i/>
          <w:iCs/>
          <w:sz w:val="20"/>
          <w:szCs w:val="20"/>
          <w:lang w:val="nl-BE" w:eastAsia="ja-JP"/>
        </w:rPr>
        <w:t>St.</w:t>
      </w:r>
      <w:r w:rsidRPr="002B310E">
        <w:rPr>
          <w:sz w:val="20"/>
          <w:szCs w:val="20"/>
          <w:lang w:val="nl-BE" w:eastAsia="ja-JP"/>
        </w:rPr>
        <w:t xml:space="preserve"> Senaat 2000-01, 2-244/22, 676 en 743; Verslag GIET, VAN DE CASTEELE, BARZIN en SCHAUVLIEGHE, </w:t>
      </w:r>
      <w:proofErr w:type="spellStart"/>
      <w:r w:rsidRPr="002B310E">
        <w:rPr>
          <w:i/>
          <w:iCs/>
          <w:sz w:val="20"/>
          <w:szCs w:val="20"/>
          <w:lang w:val="nl-BE" w:eastAsia="ja-JP"/>
        </w:rPr>
        <w:t>Parl</w:t>
      </w:r>
      <w:proofErr w:type="spellEnd"/>
      <w:r w:rsidRPr="002B310E">
        <w:rPr>
          <w:i/>
          <w:iCs/>
          <w:sz w:val="20"/>
          <w:szCs w:val="20"/>
          <w:lang w:val="nl-BE" w:eastAsia="ja-JP"/>
        </w:rPr>
        <w:t>.</w:t>
      </w:r>
      <w:r>
        <w:rPr>
          <w:i/>
          <w:iCs/>
          <w:sz w:val="20"/>
          <w:szCs w:val="20"/>
          <w:lang w:val="nl-BE" w:eastAsia="ja-JP"/>
        </w:rPr>
        <w:t xml:space="preserve"> </w:t>
      </w:r>
      <w:r w:rsidRPr="002B310E">
        <w:rPr>
          <w:i/>
          <w:iCs/>
          <w:sz w:val="20"/>
          <w:szCs w:val="20"/>
          <w:lang w:val="nl-BE" w:eastAsia="ja-JP"/>
        </w:rPr>
        <w:t>St.</w:t>
      </w:r>
      <w:r w:rsidRPr="002B310E">
        <w:rPr>
          <w:sz w:val="20"/>
          <w:szCs w:val="20"/>
          <w:lang w:val="nl-BE" w:eastAsia="ja-JP"/>
        </w:rPr>
        <w:t xml:space="preserve"> Kamer, 2001-02, 1488/009, 210;</w:t>
      </w:r>
      <w:r w:rsidRPr="000F4EC1">
        <w:rPr>
          <w:sz w:val="20"/>
          <w:szCs w:val="20"/>
          <w:lang w:val="nl-BE" w:eastAsia="ja-JP"/>
        </w:rPr>
        <w:t xml:space="preserve"> T</w:t>
      </w:r>
      <w:r w:rsidRPr="000F4EC1">
        <w:rPr>
          <w:smallCaps/>
          <w:sz w:val="20"/>
          <w:szCs w:val="20"/>
          <w:lang w:val="nl-BE" w:eastAsia="ja-JP"/>
        </w:rPr>
        <w:t xml:space="preserve">. </w:t>
      </w:r>
      <w:proofErr w:type="spellStart"/>
      <w:r w:rsidRPr="000F4EC1">
        <w:rPr>
          <w:smallCaps/>
          <w:sz w:val="20"/>
          <w:szCs w:val="20"/>
          <w:lang w:val="nl-BE" w:eastAsia="ja-JP"/>
        </w:rPr>
        <w:t>Vansweevelt</w:t>
      </w:r>
      <w:proofErr w:type="spellEnd"/>
      <w:r w:rsidRPr="000F4EC1">
        <w:rPr>
          <w:smallCaps/>
          <w:sz w:val="20"/>
          <w:szCs w:val="20"/>
          <w:lang w:val="nl-BE" w:eastAsia="ja-JP"/>
        </w:rPr>
        <w:t xml:space="preserve">, </w:t>
      </w:r>
      <w:r w:rsidRPr="000F4EC1">
        <w:rPr>
          <w:sz w:val="20"/>
          <w:szCs w:val="20"/>
          <w:lang w:val="nl-BE"/>
        </w:rPr>
        <w:t xml:space="preserve"> “</w:t>
      </w:r>
      <w:r w:rsidRPr="000F4EC1">
        <w:rPr>
          <w:color w:val="000000"/>
          <w:sz w:val="20"/>
          <w:szCs w:val="20"/>
        </w:rPr>
        <w:t xml:space="preserve">De euthanasiewet. De ultieme bevestiging van het zelfbeschikkingsrecht of een gecontroleerde keuzevrijheid?”, </w:t>
      </w:r>
      <w:proofErr w:type="spellStart"/>
      <w:r w:rsidRPr="000F4EC1">
        <w:rPr>
          <w:i/>
          <w:color w:val="000000"/>
          <w:sz w:val="20"/>
          <w:szCs w:val="20"/>
        </w:rPr>
        <w:t>T.Gez</w:t>
      </w:r>
      <w:proofErr w:type="spellEnd"/>
      <w:r w:rsidRPr="000F4EC1">
        <w:rPr>
          <w:color w:val="000000"/>
          <w:sz w:val="20"/>
          <w:szCs w:val="20"/>
        </w:rPr>
        <w:t>. 2002, afl.4, 234 en in</w:t>
      </w:r>
      <w:r w:rsidRPr="000F4EC1">
        <w:rPr>
          <w:sz w:val="20"/>
          <w:szCs w:val="20"/>
          <w:lang w:val="nl-BE" w:eastAsia="ja-JP"/>
        </w:rPr>
        <w:t xml:space="preserve"> M. </w:t>
      </w:r>
      <w:proofErr w:type="spellStart"/>
      <w:r w:rsidRPr="000F4EC1">
        <w:rPr>
          <w:smallCaps/>
          <w:sz w:val="20"/>
          <w:szCs w:val="20"/>
          <w:lang w:val="nl-BE"/>
        </w:rPr>
        <w:t>Cosyns</w:t>
      </w:r>
      <w:proofErr w:type="spellEnd"/>
      <w:r w:rsidRPr="000F4EC1">
        <w:rPr>
          <w:smallCaps/>
          <w:sz w:val="20"/>
          <w:szCs w:val="20"/>
          <w:lang w:val="nl-BE"/>
        </w:rPr>
        <w:t xml:space="preserve">, T. </w:t>
      </w:r>
      <w:proofErr w:type="spellStart"/>
      <w:r w:rsidRPr="000F4EC1">
        <w:rPr>
          <w:smallCaps/>
          <w:sz w:val="20"/>
          <w:szCs w:val="20"/>
          <w:lang w:val="nl-BE"/>
        </w:rPr>
        <w:t>Vansweevel</w:t>
      </w:r>
      <w:r>
        <w:rPr>
          <w:smallCaps/>
          <w:sz w:val="20"/>
          <w:szCs w:val="20"/>
          <w:lang w:val="nl-BE"/>
        </w:rPr>
        <w:t>t</w:t>
      </w:r>
      <w:proofErr w:type="spellEnd"/>
      <w:r>
        <w:rPr>
          <w:smallCaps/>
          <w:sz w:val="20"/>
          <w:szCs w:val="20"/>
          <w:lang w:val="nl-BE"/>
        </w:rPr>
        <w:t xml:space="preserve">, H. </w:t>
      </w:r>
      <w:proofErr w:type="spellStart"/>
      <w:r>
        <w:rPr>
          <w:smallCaps/>
          <w:sz w:val="20"/>
          <w:szCs w:val="20"/>
          <w:lang w:val="nl-BE"/>
        </w:rPr>
        <w:t>Nys</w:t>
      </w:r>
      <w:proofErr w:type="spellEnd"/>
      <w:r>
        <w:rPr>
          <w:smallCaps/>
          <w:sz w:val="20"/>
          <w:szCs w:val="20"/>
          <w:lang w:val="nl-BE"/>
        </w:rPr>
        <w:t xml:space="preserve">, T. </w:t>
      </w:r>
      <w:proofErr w:type="spellStart"/>
      <w:r>
        <w:rPr>
          <w:smallCaps/>
          <w:sz w:val="20"/>
          <w:szCs w:val="20"/>
          <w:lang w:val="nl-BE"/>
        </w:rPr>
        <w:t>Balthazar</w:t>
      </w:r>
      <w:proofErr w:type="spellEnd"/>
      <w:r>
        <w:rPr>
          <w:smallCaps/>
          <w:sz w:val="20"/>
          <w:szCs w:val="20"/>
          <w:lang w:val="nl-BE"/>
        </w:rPr>
        <w:t xml:space="preserve"> </w:t>
      </w:r>
      <w:r w:rsidRPr="005469DA">
        <w:rPr>
          <w:sz w:val="20"/>
          <w:szCs w:val="20"/>
          <w:lang w:val="nl-BE"/>
        </w:rPr>
        <w:t>en</w:t>
      </w:r>
      <w:r>
        <w:rPr>
          <w:smallCaps/>
          <w:sz w:val="20"/>
          <w:szCs w:val="20"/>
          <w:lang w:val="nl-BE"/>
        </w:rPr>
        <w:t xml:space="preserve"> </w:t>
      </w:r>
      <w:r w:rsidRPr="000F4EC1">
        <w:rPr>
          <w:smallCaps/>
          <w:sz w:val="20"/>
          <w:szCs w:val="20"/>
          <w:lang w:val="nl-BE"/>
        </w:rPr>
        <w:t xml:space="preserve">J. </w:t>
      </w:r>
      <w:proofErr w:type="spellStart"/>
      <w:r w:rsidRPr="000F4EC1">
        <w:rPr>
          <w:smallCaps/>
          <w:sz w:val="20"/>
          <w:szCs w:val="20"/>
          <w:lang w:val="nl-BE"/>
        </w:rPr>
        <w:t>Legemaate</w:t>
      </w:r>
      <w:proofErr w:type="spellEnd"/>
      <w:r w:rsidRPr="000F4EC1">
        <w:rPr>
          <w:smallCaps/>
          <w:sz w:val="20"/>
          <w:szCs w:val="20"/>
          <w:lang w:val="nl-BE"/>
        </w:rPr>
        <w:t xml:space="preserve">, </w:t>
      </w:r>
      <w:r w:rsidRPr="000F4EC1">
        <w:rPr>
          <w:i/>
          <w:sz w:val="20"/>
          <w:szCs w:val="20"/>
          <w:lang w:val="nl-BE"/>
        </w:rPr>
        <w:t>De euthanasiewet doorgelicht</w:t>
      </w:r>
      <w:r w:rsidRPr="000F4EC1">
        <w:rPr>
          <w:sz w:val="20"/>
          <w:szCs w:val="20"/>
          <w:lang w:val="nl-BE"/>
        </w:rPr>
        <w:t xml:space="preserve">, Mechelen, </w:t>
      </w:r>
      <w:proofErr w:type="spellStart"/>
      <w:r w:rsidRPr="000F4EC1">
        <w:rPr>
          <w:sz w:val="20"/>
          <w:szCs w:val="20"/>
          <w:lang w:val="nl-BE"/>
        </w:rPr>
        <w:t>Kluwer</w:t>
      </w:r>
      <w:proofErr w:type="spellEnd"/>
      <w:r w:rsidRPr="000F4EC1">
        <w:rPr>
          <w:sz w:val="20"/>
          <w:szCs w:val="20"/>
          <w:lang w:val="nl-BE"/>
        </w:rPr>
        <w:t>, 2003, 60</w:t>
      </w:r>
      <w:r w:rsidRPr="000F4EC1">
        <w:rPr>
          <w:color w:val="000000"/>
          <w:sz w:val="20"/>
          <w:szCs w:val="20"/>
        </w:rPr>
        <w:t>.</w:t>
      </w:r>
    </w:p>
  </w:footnote>
  <w:footnote w:id="50">
    <w:p w:rsidR="001A0466" w:rsidRPr="000F4EC1" w:rsidRDefault="001A0466" w:rsidP="000F4EC1">
      <w:pPr>
        <w:jc w:val="both"/>
        <w:rPr>
          <w:sz w:val="20"/>
          <w:szCs w:val="20"/>
          <w:lang w:val="nl-BE"/>
        </w:rPr>
      </w:pPr>
      <w:r w:rsidRPr="000F4EC1">
        <w:rPr>
          <w:rStyle w:val="Voetnootmarkering"/>
          <w:sz w:val="20"/>
          <w:szCs w:val="20"/>
        </w:rPr>
        <w:footnoteRef/>
      </w:r>
      <w:r w:rsidRPr="000F4EC1">
        <w:rPr>
          <w:sz w:val="20"/>
          <w:szCs w:val="20"/>
        </w:rPr>
        <w:t xml:space="preserve"> </w:t>
      </w:r>
      <w:r w:rsidRPr="000F4EC1">
        <w:rPr>
          <w:sz w:val="20"/>
          <w:szCs w:val="20"/>
          <w:lang w:val="nl-BE" w:eastAsia="ja-JP"/>
        </w:rPr>
        <w:t xml:space="preserve">Verslag LALOY en VAN RIET, </w:t>
      </w:r>
      <w:proofErr w:type="spellStart"/>
      <w:r w:rsidRPr="000F4EC1">
        <w:rPr>
          <w:i/>
          <w:iCs/>
          <w:sz w:val="20"/>
          <w:szCs w:val="20"/>
          <w:lang w:val="nl-BE" w:eastAsia="ja-JP"/>
        </w:rPr>
        <w:t>Parl</w:t>
      </w:r>
      <w:proofErr w:type="spellEnd"/>
      <w:r w:rsidRPr="000F4EC1">
        <w:rPr>
          <w:i/>
          <w:iCs/>
          <w:sz w:val="20"/>
          <w:szCs w:val="20"/>
          <w:lang w:val="nl-BE" w:eastAsia="ja-JP"/>
        </w:rPr>
        <w:t>.</w:t>
      </w:r>
      <w:r>
        <w:rPr>
          <w:i/>
          <w:iCs/>
          <w:sz w:val="20"/>
          <w:szCs w:val="20"/>
          <w:lang w:val="nl-BE" w:eastAsia="ja-JP"/>
        </w:rPr>
        <w:t xml:space="preserve"> </w:t>
      </w:r>
      <w:r w:rsidRPr="000F4EC1">
        <w:rPr>
          <w:i/>
          <w:iCs/>
          <w:sz w:val="20"/>
          <w:szCs w:val="20"/>
          <w:lang w:val="nl-BE" w:eastAsia="ja-JP"/>
        </w:rPr>
        <w:t>St.</w:t>
      </w:r>
      <w:r w:rsidRPr="000F4EC1">
        <w:rPr>
          <w:sz w:val="20"/>
          <w:szCs w:val="20"/>
          <w:lang w:val="nl-BE" w:eastAsia="ja-JP"/>
        </w:rPr>
        <w:t xml:space="preserve">, Senaat, 2000-2001, 2-244/22, p. 694 en 744 (euthanasie vanaf 16 jaar), Verslag GIET, VAN DE CASTEELE, BARZIN en SCHAUVLIEGHE, </w:t>
      </w:r>
      <w:proofErr w:type="spellStart"/>
      <w:r w:rsidRPr="000F4EC1">
        <w:rPr>
          <w:i/>
          <w:iCs/>
          <w:sz w:val="20"/>
          <w:szCs w:val="20"/>
          <w:lang w:val="nl-BE" w:eastAsia="ja-JP"/>
        </w:rPr>
        <w:t>Parl</w:t>
      </w:r>
      <w:proofErr w:type="spellEnd"/>
      <w:r w:rsidRPr="000F4EC1">
        <w:rPr>
          <w:i/>
          <w:iCs/>
          <w:sz w:val="20"/>
          <w:szCs w:val="20"/>
          <w:lang w:val="nl-BE" w:eastAsia="ja-JP"/>
        </w:rPr>
        <w:t>.</w:t>
      </w:r>
      <w:r>
        <w:rPr>
          <w:i/>
          <w:iCs/>
          <w:sz w:val="20"/>
          <w:szCs w:val="20"/>
          <w:lang w:val="nl-BE" w:eastAsia="ja-JP"/>
        </w:rPr>
        <w:t xml:space="preserve"> </w:t>
      </w:r>
      <w:r w:rsidRPr="000F4EC1">
        <w:rPr>
          <w:i/>
          <w:iCs/>
          <w:sz w:val="20"/>
          <w:szCs w:val="20"/>
          <w:lang w:val="nl-BE" w:eastAsia="ja-JP"/>
        </w:rPr>
        <w:t>St.</w:t>
      </w:r>
      <w:r w:rsidRPr="000F4EC1">
        <w:rPr>
          <w:sz w:val="20"/>
          <w:szCs w:val="20"/>
          <w:lang w:val="nl-BE" w:eastAsia="ja-JP"/>
        </w:rPr>
        <w:t xml:space="preserve"> Kamer 2001-02, 1488/009, 55 en 355;</w:t>
      </w:r>
      <w:r w:rsidRPr="000F4EC1">
        <w:rPr>
          <w:sz w:val="20"/>
          <w:szCs w:val="20"/>
          <w:lang w:val="nl-BE"/>
        </w:rPr>
        <w:t xml:space="preserve"> </w:t>
      </w:r>
      <w:r w:rsidRPr="000F4EC1">
        <w:rPr>
          <w:sz w:val="20"/>
          <w:szCs w:val="20"/>
          <w:lang w:val="nl-BE" w:eastAsia="ja-JP"/>
        </w:rPr>
        <w:t>T</w:t>
      </w:r>
      <w:r w:rsidRPr="000F4EC1">
        <w:rPr>
          <w:smallCaps/>
          <w:sz w:val="20"/>
          <w:szCs w:val="20"/>
          <w:lang w:val="nl-BE" w:eastAsia="ja-JP"/>
        </w:rPr>
        <w:t xml:space="preserve">. </w:t>
      </w:r>
      <w:proofErr w:type="spellStart"/>
      <w:r w:rsidRPr="000F4EC1">
        <w:rPr>
          <w:smallCaps/>
          <w:sz w:val="20"/>
          <w:szCs w:val="20"/>
          <w:lang w:val="nl-BE" w:eastAsia="ja-JP"/>
        </w:rPr>
        <w:t>Vansweevelt</w:t>
      </w:r>
      <w:proofErr w:type="spellEnd"/>
      <w:r w:rsidRPr="000F4EC1">
        <w:rPr>
          <w:smallCaps/>
          <w:sz w:val="20"/>
          <w:szCs w:val="20"/>
          <w:lang w:val="nl-BE" w:eastAsia="ja-JP"/>
        </w:rPr>
        <w:t xml:space="preserve">, </w:t>
      </w:r>
      <w:r w:rsidRPr="000F4EC1">
        <w:rPr>
          <w:sz w:val="20"/>
          <w:szCs w:val="20"/>
          <w:lang w:val="nl-BE"/>
        </w:rPr>
        <w:t xml:space="preserve"> “</w:t>
      </w:r>
      <w:r w:rsidRPr="000F4EC1">
        <w:rPr>
          <w:color w:val="000000"/>
          <w:sz w:val="20"/>
          <w:szCs w:val="20"/>
        </w:rPr>
        <w:t xml:space="preserve">De euthanasiewet. De ultieme bevestiging van het zelfbeschikkingsrecht of een gecontroleerde keuzevrijheid?”, </w:t>
      </w:r>
      <w:proofErr w:type="spellStart"/>
      <w:r w:rsidRPr="000F4EC1">
        <w:rPr>
          <w:i/>
          <w:color w:val="000000"/>
          <w:sz w:val="20"/>
          <w:szCs w:val="20"/>
        </w:rPr>
        <w:t>T.Gez</w:t>
      </w:r>
      <w:proofErr w:type="spellEnd"/>
      <w:r w:rsidRPr="000F4EC1">
        <w:rPr>
          <w:color w:val="000000"/>
          <w:sz w:val="20"/>
          <w:szCs w:val="20"/>
        </w:rPr>
        <w:t xml:space="preserve">. 2002, afl.4, 234 en in </w:t>
      </w:r>
      <w:r w:rsidRPr="000F4EC1">
        <w:rPr>
          <w:sz w:val="20"/>
          <w:szCs w:val="20"/>
          <w:lang w:val="nl-BE" w:eastAsia="ja-JP"/>
        </w:rPr>
        <w:t xml:space="preserve">M. </w:t>
      </w:r>
      <w:proofErr w:type="spellStart"/>
      <w:r w:rsidRPr="000F4EC1">
        <w:rPr>
          <w:smallCaps/>
          <w:sz w:val="20"/>
          <w:szCs w:val="20"/>
          <w:lang w:val="nl-BE"/>
        </w:rPr>
        <w:t>Cosyns</w:t>
      </w:r>
      <w:proofErr w:type="spellEnd"/>
      <w:r w:rsidRPr="000F4EC1">
        <w:rPr>
          <w:smallCaps/>
          <w:sz w:val="20"/>
          <w:szCs w:val="20"/>
          <w:lang w:val="nl-BE"/>
        </w:rPr>
        <w:t xml:space="preserve">, T. </w:t>
      </w:r>
      <w:proofErr w:type="spellStart"/>
      <w:r w:rsidRPr="000F4EC1">
        <w:rPr>
          <w:smallCaps/>
          <w:sz w:val="20"/>
          <w:szCs w:val="20"/>
          <w:lang w:val="nl-BE"/>
        </w:rPr>
        <w:t>Vansweevel</w:t>
      </w:r>
      <w:r>
        <w:rPr>
          <w:smallCaps/>
          <w:sz w:val="20"/>
          <w:szCs w:val="20"/>
          <w:lang w:val="nl-BE"/>
        </w:rPr>
        <w:t>t</w:t>
      </w:r>
      <w:proofErr w:type="spellEnd"/>
      <w:r w:rsidRPr="000F4EC1">
        <w:rPr>
          <w:smallCaps/>
          <w:sz w:val="20"/>
          <w:szCs w:val="20"/>
          <w:lang w:val="nl-BE"/>
        </w:rPr>
        <w:t>, H</w:t>
      </w:r>
      <w:r>
        <w:rPr>
          <w:smallCaps/>
          <w:sz w:val="20"/>
          <w:szCs w:val="20"/>
          <w:lang w:val="nl-BE"/>
        </w:rPr>
        <w:t xml:space="preserve">. </w:t>
      </w:r>
      <w:proofErr w:type="spellStart"/>
      <w:r>
        <w:rPr>
          <w:smallCaps/>
          <w:sz w:val="20"/>
          <w:szCs w:val="20"/>
          <w:lang w:val="nl-BE"/>
        </w:rPr>
        <w:t>Nys</w:t>
      </w:r>
      <w:proofErr w:type="spellEnd"/>
      <w:r>
        <w:rPr>
          <w:smallCaps/>
          <w:sz w:val="20"/>
          <w:szCs w:val="20"/>
          <w:lang w:val="nl-BE"/>
        </w:rPr>
        <w:t xml:space="preserve">, T. </w:t>
      </w:r>
      <w:proofErr w:type="spellStart"/>
      <w:r>
        <w:rPr>
          <w:smallCaps/>
          <w:sz w:val="20"/>
          <w:szCs w:val="20"/>
          <w:lang w:val="nl-BE"/>
        </w:rPr>
        <w:t>Balthazar</w:t>
      </w:r>
      <w:proofErr w:type="spellEnd"/>
      <w:r>
        <w:rPr>
          <w:smallCaps/>
          <w:sz w:val="20"/>
          <w:szCs w:val="20"/>
          <w:lang w:val="nl-BE"/>
        </w:rPr>
        <w:t xml:space="preserve"> </w:t>
      </w:r>
      <w:r w:rsidRPr="005469DA">
        <w:rPr>
          <w:sz w:val="20"/>
          <w:szCs w:val="20"/>
          <w:lang w:val="nl-BE"/>
        </w:rPr>
        <w:t>en</w:t>
      </w:r>
      <w:r>
        <w:rPr>
          <w:smallCaps/>
          <w:sz w:val="20"/>
          <w:szCs w:val="20"/>
          <w:lang w:val="nl-BE"/>
        </w:rPr>
        <w:t xml:space="preserve"> </w:t>
      </w:r>
      <w:r w:rsidRPr="000F4EC1">
        <w:rPr>
          <w:smallCaps/>
          <w:sz w:val="20"/>
          <w:szCs w:val="20"/>
          <w:lang w:val="nl-BE"/>
        </w:rPr>
        <w:t xml:space="preserve">J. </w:t>
      </w:r>
      <w:proofErr w:type="spellStart"/>
      <w:r w:rsidRPr="000F4EC1">
        <w:rPr>
          <w:smallCaps/>
          <w:sz w:val="20"/>
          <w:szCs w:val="20"/>
          <w:lang w:val="nl-BE"/>
        </w:rPr>
        <w:t>Legemaate</w:t>
      </w:r>
      <w:proofErr w:type="spellEnd"/>
      <w:r w:rsidRPr="000F4EC1">
        <w:rPr>
          <w:smallCaps/>
          <w:sz w:val="20"/>
          <w:szCs w:val="20"/>
          <w:lang w:val="nl-BE"/>
        </w:rPr>
        <w:t xml:space="preserve">, </w:t>
      </w:r>
      <w:r w:rsidRPr="000F4EC1">
        <w:rPr>
          <w:i/>
          <w:sz w:val="20"/>
          <w:szCs w:val="20"/>
          <w:lang w:val="nl-BE"/>
        </w:rPr>
        <w:t>De euthanasiewet doorgelicht</w:t>
      </w:r>
      <w:r w:rsidRPr="000F4EC1">
        <w:rPr>
          <w:sz w:val="20"/>
          <w:szCs w:val="20"/>
          <w:lang w:val="nl-BE"/>
        </w:rPr>
        <w:t xml:space="preserve">, Mechelen, </w:t>
      </w:r>
      <w:proofErr w:type="spellStart"/>
      <w:r w:rsidRPr="000F4EC1">
        <w:rPr>
          <w:sz w:val="20"/>
          <w:szCs w:val="20"/>
          <w:lang w:val="nl-BE"/>
        </w:rPr>
        <w:t>Kluwer</w:t>
      </w:r>
      <w:proofErr w:type="spellEnd"/>
      <w:r w:rsidRPr="000F4EC1">
        <w:rPr>
          <w:sz w:val="20"/>
          <w:szCs w:val="20"/>
          <w:lang w:val="nl-BE"/>
        </w:rPr>
        <w:t>, 2003, 60</w:t>
      </w:r>
      <w:r w:rsidRPr="000F4EC1">
        <w:rPr>
          <w:color w:val="000000"/>
          <w:sz w:val="20"/>
          <w:szCs w:val="20"/>
        </w:rPr>
        <w:t>.</w:t>
      </w:r>
    </w:p>
  </w:footnote>
  <w:footnote w:id="51">
    <w:p w:rsidR="001A0466" w:rsidRPr="000F4EC1" w:rsidRDefault="001A0466" w:rsidP="000F4EC1">
      <w:pPr>
        <w:jc w:val="both"/>
        <w:rPr>
          <w:sz w:val="20"/>
          <w:szCs w:val="20"/>
          <w:lang w:val="nl-BE"/>
        </w:rPr>
      </w:pPr>
      <w:r w:rsidRPr="000F4EC1">
        <w:rPr>
          <w:rStyle w:val="Voetnootmarkering"/>
          <w:sz w:val="20"/>
          <w:szCs w:val="20"/>
        </w:rPr>
        <w:footnoteRef/>
      </w:r>
      <w:r w:rsidRPr="000F4EC1">
        <w:rPr>
          <w:sz w:val="20"/>
          <w:szCs w:val="20"/>
        </w:rPr>
        <w:t xml:space="preserve"> </w:t>
      </w:r>
      <w:r w:rsidRPr="000F4EC1">
        <w:rPr>
          <w:sz w:val="20"/>
          <w:szCs w:val="20"/>
          <w:lang w:val="nl-BE" w:eastAsia="ja-JP"/>
        </w:rPr>
        <w:t>T</w:t>
      </w:r>
      <w:r w:rsidRPr="000F4EC1">
        <w:rPr>
          <w:smallCaps/>
          <w:sz w:val="20"/>
          <w:szCs w:val="20"/>
          <w:lang w:val="nl-BE" w:eastAsia="ja-JP"/>
        </w:rPr>
        <w:t xml:space="preserve">. </w:t>
      </w:r>
      <w:proofErr w:type="spellStart"/>
      <w:r w:rsidRPr="000F4EC1">
        <w:rPr>
          <w:smallCaps/>
          <w:sz w:val="20"/>
          <w:szCs w:val="20"/>
          <w:lang w:val="nl-BE" w:eastAsia="ja-JP"/>
        </w:rPr>
        <w:t>Vansweevelt</w:t>
      </w:r>
      <w:proofErr w:type="spellEnd"/>
      <w:r w:rsidRPr="000F4EC1">
        <w:rPr>
          <w:smallCaps/>
          <w:sz w:val="20"/>
          <w:szCs w:val="20"/>
          <w:lang w:val="nl-BE" w:eastAsia="ja-JP"/>
        </w:rPr>
        <w:t xml:space="preserve">, </w:t>
      </w:r>
      <w:r w:rsidRPr="000F4EC1">
        <w:rPr>
          <w:sz w:val="20"/>
          <w:szCs w:val="20"/>
          <w:lang w:val="nl-BE"/>
        </w:rPr>
        <w:t xml:space="preserve"> “</w:t>
      </w:r>
      <w:r w:rsidRPr="000F4EC1">
        <w:rPr>
          <w:color w:val="000000"/>
          <w:sz w:val="20"/>
          <w:szCs w:val="20"/>
        </w:rPr>
        <w:t xml:space="preserve">De euthanasiewet. De ultieme bevestiging van het zelfbeschikkingsrecht of een gecontroleerde keuzevrijheid?”, </w:t>
      </w:r>
      <w:proofErr w:type="spellStart"/>
      <w:r w:rsidRPr="000F4EC1">
        <w:rPr>
          <w:i/>
          <w:color w:val="000000"/>
          <w:sz w:val="20"/>
          <w:szCs w:val="20"/>
        </w:rPr>
        <w:t>T.Gez</w:t>
      </w:r>
      <w:proofErr w:type="spellEnd"/>
      <w:r w:rsidRPr="000F4EC1">
        <w:rPr>
          <w:color w:val="000000"/>
          <w:sz w:val="20"/>
          <w:szCs w:val="20"/>
        </w:rPr>
        <w:t>. 2002, afl.4, 234 en in</w:t>
      </w:r>
      <w:r w:rsidRPr="000F4EC1">
        <w:rPr>
          <w:sz w:val="20"/>
          <w:szCs w:val="20"/>
          <w:lang w:val="nl-BE" w:eastAsia="ja-JP"/>
        </w:rPr>
        <w:t xml:space="preserve"> M. </w:t>
      </w:r>
      <w:proofErr w:type="spellStart"/>
      <w:r w:rsidRPr="000F4EC1">
        <w:rPr>
          <w:smallCaps/>
          <w:sz w:val="20"/>
          <w:szCs w:val="20"/>
          <w:lang w:val="nl-BE"/>
        </w:rPr>
        <w:t>Cosyns</w:t>
      </w:r>
      <w:proofErr w:type="spellEnd"/>
      <w:r w:rsidRPr="000F4EC1">
        <w:rPr>
          <w:smallCaps/>
          <w:sz w:val="20"/>
          <w:szCs w:val="20"/>
          <w:lang w:val="nl-BE"/>
        </w:rPr>
        <w:t xml:space="preserve">, T. </w:t>
      </w:r>
      <w:proofErr w:type="spellStart"/>
      <w:r w:rsidRPr="000F4EC1">
        <w:rPr>
          <w:smallCaps/>
          <w:sz w:val="20"/>
          <w:szCs w:val="20"/>
          <w:lang w:val="nl-BE"/>
        </w:rPr>
        <w:t>Vansweevel</w:t>
      </w:r>
      <w:r>
        <w:rPr>
          <w:smallCaps/>
          <w:sz w:val="20"/>
          <w:szCs w:val="20"/>
          <w:lang w:val="nl-BE"/>
        </w:rPr>
        <w:t>t</w:t>
      </w:r>
      <w:proofErr w:type="spellEnd"/>
      <w:r>
        <w:rPr>
          <w:smallCaps/>
          <w:sz w:val="20"/>
          <w:szCs w:val="20"/>
          <w:lang w:val="nl-BE"/>
        </w:rPr>
        <w:t xml:space="preserve">, H. </w:t>
      </w:r>
      <w:proofErr w:type="spellStart"/>
      <w:r>
        <w:rPr>
          <w:smallCaps/>
          <w:sz w:val="20"/>
          <w:szCs w:val="20"/>
          <w:lang w:val="nl-BE"/>
        </w:rPr>
        <w:t>Nys</w:t>
      </w:r>
      <w:proofErr w:type="spellEnd"/>
      <w:r>
        <w:rPr>
          <w:smallCaps/>
          <w:sz w:val="20"/>
          <w:szCs w:val="20"/>
          <w:lang w:val="nl-BE"/>
        </w:rPr>
        <w:t xml:space="preserve">, T. </w:t>
      </w:r>
      <w:proofErr w:type="spellStart"/>
      <w:r>
        <w:rPr>
          <w:smallCaps/>
          <w:sz w:val="20"/>
          <w:szCs w:val="20"/>
          <w:lang w:val="nl-BE"/>
        </w:rPr>
        <w:t>Balthazar</w:t>
      </w:r>
      <w:proofErr w:type="spellEnd"/>
      <w:r>
        <w:rPr>
          <w:smallCaps/>
          <w:sz w:val="20"/>
          <w:szCs w:val="20"/>
          <w:lang w:val="nl-BE"/>
        </w:rPr>
        <w:t xml:space="preserve"> </w:t>
      </w:r>
      <w:r w:rsidRPr="005469DA">
        <w:rPr>
          <w:sz w:val="20"/>
          <w:szCs w:val="20"/>
          <w:lang w:val="nl-BE"/>
        </w:rPr>
        <w:t>en</w:t>
      </w:r>
      <w:r w:rsidRPr="000F4EC1">
        <w:rPr>
          <w:smallCaps/>
          <w:sz w:val="20"/>
          <w:szCs w:val="20"/>
          <w:lang w:val="nl-BE"/>
        </w:rPr>
        <w:t xml:space="preserve"> J. </w:t>
      </w:r>
      <w:proofErr w:type="spellStart"/>
      <w:r w:rsidRPr="000F4EC1">
        <w:rPr>
          <w:smallCaps/>
          <w:sz w:val="20"/>
          <w:szCs w:val="20"/>
          <w:lang w:val="nl-BE"/>
        </w:rPr>
        <w:t>Legemaate</w:t>
      </w:r>
      <w:proofErr w:type="spellEnd"/>
      <w:r w:rsidRPr="000F4EC1">
        <w:rPr>
          <w:smallCaps/>
          <w:sz w:val="20"/>
          <w:szCs w:val="20"/>
          <w:lang w:val="nl-BE"/>
        </w:rPr>
        <w:t xml:space="preserve">, </w:t>
      </w:r>
      <w:r w:rsidRPr="000F4EC1">
        <w:rPr>
          <w:i/>
          <w:sz w:val="20"/>
          <w:szCs w:val="20"/>
          <w:lang w:val="nl-BE"/>
        </w:rPr>
        <w:t>De euthanasiewet doorgelicht</w:t>
      </w:r>
      <w:r w:rsidRPr="000F4EC1">
        <w:rPr>
          <w:sz w:val="20"/>
          <w:szCs w:val="20"/>
          <w:lang w:val="nl-BE"/>
        </w:rPr>
        <w:t xml:space="preserve">, Mechelen, </w:t>
      </w:r>
      <w:proofErr w:type="spellStart"/>
      <w:r w:rsidRPr="000F4EC1">
        <w:rPr>
          <w:sz w:val="20"/>
          <w:szCs w:val="20"/>
          <w:lang w:val="nl-BE"/>
        </w:rPr>
        <w:t>Kluwer</w:t>
      </w:r>
      <w:proofErr w:type="spellEnd"/>
      <w:r w:rsidRPr="000F4EC1">
        <w:rPr>
          <w:sz w:val="20"/>
          <w:szCs w:val="20"/>
          <w:lang w:val="nl-BE"/>
        </w:rPr>
        <w:t>, 2003, 60</w:t>
      </w:r>
      <w:r w:rsidRPr="000F4EC1">
        <w:rPr>
          <w:color w:val="000000"/>
          <w:sz w:val="20"/>
          <w:szCs w:val="20"/>
        </w:rPr>
        <w:t>.</w:t>
      </w:r>
    </w:p>
  </w:footnote>
  <w:footnote w:id="52">
    <w:p w:rsidR="001A0466" w:rsidRPr="00E419E9" w:rsidRDefault="001A0466" w:rsidP="00E419E9">
      <w:pPr>
        <w:pStyle w:val="Voetnoottekst"/>
        <w:jc w:val="both"/>
      </w:pPr>
      <w:r w:rsidRPr="00E419E9">
        <w:rPr>
          <w:rStyle w:val="Voetnootmarkering"/>
        </w:rPr>
        <w:footnoteRef/>
      </w:r>
      <w:r w:rsidRPr="00E419E9">
        <w:t xml:space="preserve"> </w:t>
      </w:r>
      <w:r w:rsidRPr="00E419E9">
        <w:rPr>
          <w:i/>
        </w:rPr>
        <w:t>Ibid.</w:t>
      </w:r>
    </w:p>
  </w:footnote>
  <w:footnote w:id="53">
    <w:p w:rsidR="001A0466" w:rsidRPr="00E419E9" w:rsidRDefault="001A0466" w:rsidP="00E419E9">
      <w:pPr>
        <w:jc w:val="both"/>
        <w:rPr>
          <w:sz w:val="20"/>
          <w:szCs w:val="20"/>
          <w:lang w:val="nl-BE"/>
        </w:rPr>
      </w:pPr>
      <w:r w:rsidRPr="00E419E9">
        <w:rPr>
          <w:rStyle w:val="Voetnootmarkering"/>
          <w:sz w:val="20"/>
          <w:szCs w:val="20"/>
        </w:rPr>
        <w:footnoteRef/>
      </w:r>
      <w:r w:rsidRPr="00E419E9">
        <w:rPr>
          <w:sz w:val="20"/>
          <w:szCs w:val="20"/>
        </w:rPr>
        <w:t xml:space="preserve"> E.</w:t>
      </w:r>
      <w:r>
        <w:rPr>
          <w:sz w:val="20"/>
          <w:szCs w:val="20"/>
        </w:rPr>
        <w:t xml:space="preserve"> </w:t>
      </w:r>
      <w:r w:rsidRPr="00E419E9">
        <w:rPr>
          <w:rFonts w:eastAsia="Times New Roman"/>
          <w:smallCaps/>
          <w:color w:val="000000"/>
          <w:sz w:val="20"/>
          <w:szCs w:val="20"/>
          <w:lang w:val="nl-BE" w:eastAsia="ja-JP"/>
        </w:rPr>
        <w:t xml:space="preserve">De </w:t>
      </w:r>
      <w:proofErr w:type="spellStart"/>
      <w:r w:rsidRPr="00E419E9">
        <w:rPr>
          <w:rFonts w:eastAsia="Times New Roman"/>
          <w:smallCaps/>
          <w:color w:val="000000"/>
          <w:sz w:val="20"/>
          <w:szCs w:val="20"/>
          <w:lang w:val="nl-BE" w:eastAsia="ja-JP"/>
        </w:rPr>
        <w:t>Keyser</w:t>
      </w:r>
      <w:proofErr w:type="spellEnd"/>
      <w:r w:rsidRPr="00E419E9">
        <w:rPr>
          <w:rFonts w:eastAsia="Times New Roman"/>
          <w:smallCaps/>
          <w:color w:val="000000"/>
          <w:sz w:val="20"/>
          <w:szCs w:val="20"/>
          <w:lang w:val="nl-BE" w:eastAsia="ja-JP"/>
        </w:rPr>
        <w:t xml:space="preserve">, </w:t>
      </w:r>
      <w:r w:rsidRPr="00E419E9">
        <w:rPr>
          <w:rFonts w:eastAsia="Times New Roman"/>
          <w:color w:val="000000"/>
          <w:sz w:val="20"/>
          <w:szCs w:val="20"/>
          <w:lang w:val="nl-BE" w:eastAsia="ja-JP"/>
        </w:rPr>
        <w:t xml:space="preserve"> “Respect voor het zelfbeschikkingsrecht van de patiënt: gevolgen voor de wet betreffende de euthanasie”, </w:t>
      </w:r>
      <w:proofErr w:type="spellStart"/>
      <w:r w:rsidRPr="00E419E9">
        <w:rPr>
          <w:rFonts w:eastAsia="Times New Roman"/>
          <w:i/>
          <w:color w:val="000000"/>
          <w:sz w:val="20"/>
          <w:szCs w:val="20"/>
          <w:lang w:val="nl-BE" w:eastAsia="ja-JP"/>
        </w:rPr>
        <w:t>T.Gez</w:t>
      </w:r>
      <w:proofErr w:type="spellEnd"/>
      <w:r w:rsidRPr="00E419E9">
        <w:rPr>
          <w:rFonts w:eastAsia="Times New Roman"/>
          <w:i/>
          <w:color w:val="000000"/>
          <w:sz w:val="20"/>
          <w:szCs w:val="20"/>
          <w:lang w:val="nl-BE" w:eastAsia="ja-JP"/>
        </w:rPr>
        <w:t>.</w:t>
      </w:r>
      <w:r w:rsidRPr="00E419E9">
        <w:rPr>
          <w:rFonts w:eastAsia="Times New Roman"/>
          <w:color w:val="000000"/>
          <w:sz w:val="20"/>
          <w:szCs w:val="20"/>
          <w:lang w:val="nl-BE" w:eastAsia="ja-JP"/>
        </w:rPr>
        <w:t xml:space="preserve"> 2005, afl. 5, 380.</w:t>
      </w:r>
    </w:p>
  </w:footnote>
  <w:footnote w:id="54">
    <w:p w:rsidR="001A0466" w:rsidRPr="00E419E9" w:rsidRDefault="001A0466" w:rsidP="00E419E9">
      <w:pPr>
        <w:jc w:val="both"/>
        <w:rPr>
          <w:sz w:val="20"/>
          <w:szCs w:val="20"/>
          <w:lang w:val="nl-BE" w:eastAsia="ja-JP"/>
        </w:rPr>
      </w:pPr>
      <w:r w:rsidRPr="00E419E9">
        <w:rPr>
          <w:rStyle w:val="Voetnootmarkering"/>
          <w:sz w:val="20"/>
          <w:szCs w:val="20"/>
        </w:rPr>
        <w:footnoteRef/>
      </w:r>
      <w:r>
        <w:rPr>
          <w:sz w:val="20"/>
          <w:szCs w:val="20"/>
        </w:rPr>
        <w:t xml:space="preserve"> Artikelen 393, </w:t>
      </w:r>
      <w:r w:rsidRPr="00E419E9">
        <w:rPr>
          <w:sz w:val="20"/>
          <w:szCs w:val="20"/>
        </w:rPr>
        <w:t xml:space="preserve">394 </w:t>
      </w:r>
      <w:r>
        <w:rPr>
          <w:sz w:val="20"/>
          <w:szCs w:val="20"/>
        </w:rPr>
        <w:t xml:space="preserve">en 397 </w:t>
      </w:r>
      <w:r w:rsidRPr="00E419E9">
        <w:rPr>
          <w:sz w:val="20"/>
          <w:szCs w:val="20"/>
        </w:rPr>
        <w:t xml:space="preserve">Strafwet; </w:t>
      </w:r>
      <w:r w:rsidRPr="00E419E9">
        <w:rPr>
          <w:sz w:val="20"/>
          <w:szCs w:val="20"/>
          <w:lang w:val="nl-BE" w:eastAsia="ja-JP"/>
        </w:rPr>
        <w:t xml:space="preserve">T. </w:t>
      </w:r>
      <w:proofErr w:type="spellStart"/>
      <w:r w:rsidRPr="00E419E9">
        <w:rPr>
          <w:smallCaps/>
          <w:sz w:val="20"/>
          <w:szCs w:val="20"/>
          <w:lang w:val="nl-BE" w:eastAsia="ja-JP"/>
        </w:rPr>
        <w:t>Vansweevelt</w:t>
      </w:r>
      <w:proofErr w:type="spellEnd"/>
      <w:r w:rsidRPr="00E419E9">
        <w:rPr>
          <w:smallCaps/>
          <w:sz w:val="20"/>
          <w:szCs w:val="20"/>
          <w:lang w:val="nl-BE" w:eastAsia="ja-JP"/>
        </w:rPr>
        <w:t xml:space="preserve">, </w:t>
      </w:r>
      <w:r w:rsidRPr="00E419E9">
        <w:rPr>
          <w:sz w:val="20"/>
          <w:szCs w:val="20"/>
          <w:lang w:val="nl-BE"/>
        </w:rPr>
        <w:t xml:space="preserve"> “</w:t>
      </w:r>
      <w:r w:rsidRPr="00E419E9">
        <w:rPr>
          <w:color w:val="000000"/>
          <w:sz w:val="20"/>
          <w:szCs w:val="20"/>
        </w:rPr>
        <w:t xml:space="preserve">De euthanasiewet. De ultieme bevestiging van het zelfbeschikkingsrecht of een gecontroleerde keuzevrijheid?”, </w:t>
      </w:r>
      <w:proofErr w:type="spellStart"/>
      <w:r w:rsidRPr="00E419E9">
        <w:rPr>
          <w:i/>
          <w:color w:val="000000"/>
          <w:sz w:val="20"/>
          <w:szCs w:val="20"/>
        </w:rPr>
        <w:t>T.Gez</w:t>
      </w:r>
      <w:proofErr w:type="spellEnd"/>
      <w:r w:rsidRPr="00E419E9">
        <w:rPr>
          <w:color w:val="000000"/>
          <w:sz w:val="20"/>
          <w:szCs w:val="20"/>
        </w:rPr>
        <w:t xml:space="preserve">. 2002, afl.4, 230; </w:t>
      </w:r>
      <w:r w:rsidRPr="00E419E9">
        <w:rPr>
          <w:sz w:val="20"/>
          <w:szCs w:val="20"/>
          <w:lang w:val="nl-BE" w:eastAsia="ja-JP"/>
        </w:rPr>
        <w:t xml:space="preserve">T. </w:t>
      </w:r>
      <w:proofErr w:type="spellStart"/>
      <w:r w:rsidRPr="00E419E9">
        <w:rPr>
          <w:smallCaps/>
          <w:sz w:val="20"/>
          <w:szCs w:val="20"/>
          <w:lang w:val="nl-BE" w:eastAsia="ja-JP"/>
        </w:rPr>
        <w:t>Vansweevelt</w:t>
      </w:r>
      <w:proofErr w:type="spellEnd"/>
      <w:r w:rsidRPr="00E419E9">
        <w:rPr>
          <w:smallCaps/>
          <w:sz w:val="20"/>
          <w:szCs w:val="20"/>
          <w:lang w:val="nl-BE" w:eastAsia="ja-JP"/>
        </w:rPr>
        <w:t xml:space="preserve">, </w:t>
      </w:r>
      <w:r w:rsidRPr="00E419E9">
        <w:rPr>
          <w:sz w:val="20"/>
          <w:szCs w:val="20"/>
          <w:lang w:val="nl-BE" w:eastAsia="ja-JP"/>
        </w:rPr>
        <w:t xml:space="preserve">“De euthanasiewet. Toepassingsgebied en krachtlijnen.”, </w:t>
      </w:r>
      <w:r w:rsidRPr="00E419E9">
        <w:rPr>
          <w:i/>
          <w:sz w:val="20"/>
          <w:szCs w:val="20"/>
          <w:lang w:val="nl-BE" w:eastAsia="ja-JP"/>
        </w:rPr>
        <w:t>NJW</w:t>
      </w:r>
      <w:r w:rsidRPr="00E419E9">
        <w:rPr>
          <w:sz w:val="20"/>
          <w:szCs w:val="20"/>
          <w:lang w:val="nl-BE" w:eastAsia="ja-JP"/>
        </w:rPr>
        <w:t xml:space="preserve"> 2002, afl. 13, 447.</w:t>
      </w:r>
    </w:p>
  </w:footnote>
  <w:footnote w:id="55">
    <w:p w:rsidR="001A0466" w:rsidRPr="00E419E9" w:rsidRDefault="001A0466" w:rsidP="00E419E9">
      <w:pPr>
        <w:jc w:val="both"/>
        <w:rPr>
          <w:sz w:val="20"/>
          <w:szCs w:val="20"/>
          <w:lang w:val="nl-BE"/>
        </w:rPr>
      </w:pPr>
      <w:r w:rsidRPr="002B310E">
        <w:rPr>
          <w:rStyle w:val="Voetnootmarkering"/>
          <w:sz w:val="20"/>
          <w:szCs w:val="20"/>
        </w:rPr>
        <w:footnoteRef/>
      </w:r>
      <w:r w:rsidRPr="002B310E">
        <w:rPr>
          <w:sz w:val="20"/>
          <w:szCs w:val="20"/>
        </w:rPr>
        <w:t xml:space="preserve">E. </w:t>
      </w:r>
      <w:r w:rsidRPr="002B310E">
        <w:rPr>
          <w:rFonts w:eastAsia="Times New Roman"/>
          <w:smallCaps/>
          <w:color w:val="000000"/>
          <w:sz w:val="20"/>
          <w:szCs w:val="20"/>
          <w:lang w:val="nl-BE" w:eastAsia="ja-JP"/>
        </w:rPr>
        <w:t xml:space="preserve">De </w:t>
      </w:r>
      <w:proofErr w:type="spellStart"/>
      <w:r w:rsidRPr="002B310E">
        <w:rPr>
          <w:rFonts w:eastAsia="Times New Roman"/>
          <w:smallCaps/>
          <w:color w:val="000000"/>
          <w:sz w:val="20"/>
          <w:szCs w:val="20"/>
          <w:lang w:val="nl-BE" w:eastAsia="ja-JP"/>
        </w:rPr>
        <w:t>Keyser</w:t>
      </w:r>
      <w:proofErr w:type="spellEnd"/>
      <w:r w:rsidRPr="002B310E">
        <w:rPr>
          <w:rFonts w:eastAsia="Times New Roman"/>
          <w:smallCaps/>
          <w:color w:val="000000"/>
          <w:sz w:val="20"/>
          <w:szCs w:val="20"/>
          <w:lang w:val="nl-BE" w:eastAsia="ja-JP"/>
        </w:rPr>
        <w:t xml:space="preserve">, </w:t>
      </w:r>
      <w:r w:rsidRPr="002B310E">
        <w:rPr>
          <w:rFonts w:eastAsia="Times New Roman"/>
          <w:color w:val="000000"/>
          <w:sz w:val="20"/>
          <w:szCs w:val="20"/>
          <w:lang w:val="nl-BE" w:eastAsia="ja-JP"/>
        </w:rPr>
        <w:t xml:space="preserve"> “Respect voor het zelfbeschikkingsrecht van de patiënt: gevolgen voor de wet</w:t>
      </w:r>
      <w:r w:rsidRPr="00E419E9">
        <w:rPr>
          <w:rFonts w:eastAsia="Times New Roman"/>
          <w:color w:val="000000"/>
          <w:sz w:val="20"/>
          <w:szCs w:val="20"/>
          <w:lang w:val="nl-BE" w:eastAsia="ja-JP"/>
        </w:rPr>
        <w:t xml:space="preserve"> betreffende de euthanasie”, </w:t>
      </w:r>
      <w:proofErr w:type="spellStart"/>
      <w:r w:rsidRPr="00E419E9">
        <w:rPr>
          <w:rFonts w:eastAsia="Times New Roman"/>
          <w:i/>
          <w:color w:val="000000"/>
          <w:sz w:val="20"/>
          <w:szCs w:val="20"/>
          <w:lang w:val="nl-BE" w:eastAsia="ja-JP"/>
        </w:rPr>
        <w:t>T.Gez</w:t>
      </w:r>
      <w:proofErr w:type="spellEnd"/>
      <w:r w:rsidRPr="00E419E9">
        <w:rPr>
          <w:rFonts w:eastAsia="Times New Roman"/>
          <w:i/>
          <w:color w:val="000000"/>
          <w:sz w:val="20"/>
          <w:szCs w:val="20"/>
          <w:lang w:val="nl-BE" w:eastAsia="ja-JP"/>
        </w:rPr>
        <w:t>.</w:t>
      </w:r>
      <w:r w:rsidRPr="00E419E9">
        <w:rPr>
          <w:rFonts w:eastAsia="Times New Roman"/>
          <w:color w:val="000000"/>
          <w:sz w:val="20"/>
          <w:szCs w:val="20"/>
          <w:lang w:val="nl-BE" w:eastAsia="ja-JP"/>
        </w:rPr>
        <w:t xml:space="preserve"> 2005, afl. 5, 377;</w:t>
      </w:r>
      <w:r w:rsidRPr="00E419E9">
        <w:rPr>
          <w:sz w:val="20"/>
          <w:szCs w:val="20"/>
          <w:lang w:val="nl-BE" w:eastAsia="ja-JP"/>
        </w:rPr>
        <w:t xml:space="preserve"> H. </w:t>
      </w:r>
      <w:proofErr w:type="spellStart"/>
      <w:r w:rsidRPr="00E419E9">
        <w:rPr>
          <w:smallCaps/>
          <w:sz w:val="20"/>
          <w:szCs w:val="20"/>
          <w:lang w:val="nl-BE"/>
        </w:rPr>
        <w:t>Nys</w:t>
      </w:r>
      <w:proofErr w:type="spellEnd"/>
      <w:r w:rsidRPr="00E419E9">
        <w:rPr>
          <w:smallCaps/>
          <w:sz w:val="20"/>
          <w:szCs w:val="20"/>
          <w:lang w:val="nl-BE"/>
        </w:rPr>
        <w:t xml:space="preserve">, </w:t>
      </w:r>
      <w:r w:rsidRPr="00E419E9">
        <w:rPr>
          <w:i/>
          <w:sz w:val="20"/>
          <w:szCs w:val="20"/>
          <w:lang w:val="nl-BE"/>
        </w:rPr>
        <w:t>Algemene praktische rechtsverzameling, Geneeskunde, Recht en medisch handelen</w:t>
      </w:r>
      <w:r w:rsidRPr="00E419E9">
        <w:rPr>
          <w:sz w:val="20"/>
          <w:szCs w:val="20"/>
          <w:lang w:val="nl-BE"/>
        </w:rPr>
        <w:t xml:space="preserve">, Mechelen, </w:t>
      </w:r>
      <w:proofErr w:type="spellStart"/>
      <w:r w:rsidRPr="00E419E9">
        <w:rPr>
          <w:sz w:val="20"/>
          <w:szCs w:val="20"/>
          <w:lang w:val="nl-BE"/>
        </w:rPr>
        <w:t>Kluwer</w:t>
      </w:r>
      <w:proofErr w:type="spellEnd"/>
      <w:r w:rsidRPr="00E419E9">
        <w:rPr>
          <w:sz w:val="20"/>
          <w:szCs w:val="20"/>
          <w:lang w:val="nl-BE"/>
        </w:rPr>
        <w:t>, 2005, 372</w:t>
      </w:r>
      <w:r>
        <w:rPr>
          <w:sz w:val="20"/>
          <w:szCs w:val="20"/>
          <w:lang w:val="nl-BE"/>
        </w:rPr>
        <w:t xml:space="preserve">; </w:t>
      </w:r>
      <w:r w:rsidRPr="00E419E9">
        <w:rPr>
          <w:sz w:val="20"/>
          <w:szCs w:val="20"/>
          <w:lang w:val="nl-BE" w:eastAsia="ja-JP"/>
        </w:rPr>
        <w:t xml:space="preserve">T. </w:t>
      </w:r>
      <w:proofErr w:type="spellStart"/>
      <w:r w:rsidRPr="00E419E9">
        <w:rPr>
          <w:smallCaps/>
          <w:sz w:val="20"/>
          <w:szCs w:val="20"/>
          <w:lang w:val="nl-BE" w:eastAsia="ja-JP"/>
        </w:rPr>
        <w:t>Vansweevelt</w:t>
      </w:r>
      <w:proofErr w:type="spellEnd"/>
      <w:r w:rsidRPr="00E419E9">
        <w:rPr>
          <w:smallCaps/>
          <w:sz w:val="20"/>
          <w:szCs w:val="20"/>
          <w:lang w:val="nl-BE" w:eastAsia="ja-JP"/>
        </w:rPr>
        <w:t xml:space="preserve">, </w:t>
      </w:r>
      <w:r w:rsidRPr="00E419E9">
        <w:rPr>
          <w:sz w:val="20"/>
          <w:szCs w:val="20"/>
          <w:lang w:val="nl-BE"/>
        </w:rPr>
        <w:t xml:space="preserve"> “</w:t>
      </w:r>
      <w:r w:rsidRPr="00E419E9">
        <w:rPr>
          <w:color w:val="000000"/>
          <w:sz w:val="20"/>
          <w:szCs w:val="20"/>
        </w:rPr>
        <w:t xml:space="preserve">De euthanasiewet. De ultieme bevestiging van het zelfbeschikkingsrecht of een gecontroleerde keuzevrijheid?”, </w:t>
      </w:r>
      <w:proofErr w:type="spellStart"/>
      <w:r w:rsidRPr="00E419E9">
        <w:rPr>
          <w:i/>
          <w:color w:val="000000"/>
          <w:sz w:val="20"/>
          <w:szCs w:val="20"/>
        </w:rPr>
        <w:t>T.Gez</w:t>
      </w:r>
      <w:proofErr w:type="spellEnd"/>
      <w:r w:rsidRPr="00E419E9">
        <w:rPr>
          <w:color w:val="000000"/>
          <w:sz w:val="20"/>
          <w:szCs w:val="20"/>
        </w:rPr>
        <w:t xml:space="preserve">. 2002, afl.4, 230 en in </w:t>
      </w:r>
      <w:r w:rsidRPr="00E419E9">
        <w:rPr>
          <w:sz w:val="20"/>
          <w:szCs w:val="20"/>
          <w:lang w:val="nl-BE" w:eastAsia="ja-JP"/>
        </w:rPr>
        <w:t xml:space="preserve">M. </w:t>
      </w:r>
      <w:proofErr w:type="spellStart"/>
      <w:r w:rsidRPr="00E419E9">
        <w:rPr>
          <w:smallCaps/>
          <w:sz w:val="20"/>
          <w:szCs w:val="20"/>
          <w:lang w:val="nl-BE"/>
        </w:rPr>
        <w:t>Cosyns</w:t>
      </w:r>
      <w:proofErr w:type="spellEnd"/>
      <w:r w:rsidRPr="00E419E9">
        <w:rPr>
          <w:smallCaps/>
          <w:sz w:val="20"/>
          <w:szCs w:val="20"/>
          <w:lang w:val="nl-BE"/>
        </w:rPr>
        <w:t xml:space="preserve">, T. </w:t>
      </w:r>
      <w:proofErr w:type="spellStart"/>
      <w:r w:rsidRPr="00E419E9">
        <w:rPr>
          <w:smallCaps/>
          <w:sz w:val="20"/>
          <w:szCs w:val="20"/>
          <w:lang w:val="nl-BE"/>
        </w:rPr>
        <w:t>Vansweevel</w:t>
      </w:r>
      <w:r>
        <w:rPr>
          <w:smallCaps/>
          <w:sz w:val="20"/>
          <w:szCs w:val="20"/>
          <w:lang w:val="nl-BE"/>
        </w:rPr>
        <w:t>t</w:t>
      </w:r>
      <w:proofErr w:type="spellEnd"/>
      <w:r w:rsidRPr="00E419E9">
        <w:rPr>
          <w:smallCaps/>
          <w:sz w:val="20"/>
          <w:szCs w:val="20"/>
          <w:lang w:val="nl-BE"/>
        </w:rPr>
        <w:t xml:space="preserve">, H. </w:t>
      </w:r>
      <w:proofErr w:type="spellStart"/>
      <w:r w:rsidRPr="00E419E9">
        <w:rPr>
          <w:smallCaps/>
          <w:sz w:val="20"/>
          <w:szCs w:val="20"/>
          <w:lang w:val="nl-BE"/>
        </w:rPr>
        <w:t>Nys</w:t>
      </w:r>
      <w:proofErr w:type="spellEnd"/>
      <w:r w:rsidRPr="00E419E9">
        <w:rPr>
          <w:smallCaps/>
          <w:sz w:val="20"/>
          <w:szCs w:val="20"/>
          <w:lang w:val="nl-BE"/>
        </w:rPr>
        <w:t xml:space="preserve">, T. </w:t>
      </w:r>
      <w:proofErr w:type="spellStart"/>
      <w:r w:rsidRPr="00E419E9">
        <w:rPr>
          <w:smallCaps/>
          <w:sz w:val="20"/>
          <w:szCs w:val="20"/>
          <w:lang w:val="nl-BE"/>
        </w:rPr>
        <w:t>Balthazar</w:t>
      </w:r>
      <w:proofErr w:type="spellEnd"/>
      <w:r>
        <w:rPr>
          <w:smallCaps/>
          <w:sz w:val="20"/>
          <w:szCs w:val="20"/>
          <w:lang w:val="nl-BE"/>
        </w:rPr>
        <w:t xml:space="preserve"> </w:t>
      </w:r>
      <w:r w:rsidRPr="005469DA">
        <w:rPr>
          <w:sz w:val="20"/>
          <w:szCs w:val="20"/>
          <w:lang w:val="nl-BE"/>
        </w:rPr>
        <w:t>en</w:t>
      </w:r>
      <w:r w:rsidRPr="00E419E9">
        <w:rPr>
          <w:smallCaps/>
          <w:sz w:val="20"/>
          <w:szCs w:val="20"/>
          <w:lang w:val="nl-BE"/>
        </w:rPr>
        <w:t xml:space="preserve"> J. </w:t>
      </w:r>
      <w:proofErr w:type="spellStart"/>
      <w:r w:rsidRPr="00E419E9">
        <w:rPr>
          <w:smallCaps/>
          <w:sz w:val="20"/>
          <w:szCs w:val="20"/>
          <w:lang w:val="nl-BE"/>
        </w:rPr>
        <w:t>Legemaate</w:t>
      </w:r>
      <w:proofErr w:type="spellEnd"/>
      <w:r w:rsidRPr="00E419E9">
        <w:rPr>
          <w:smallCaps/>
          <w:sz w:val="20"/>
          <w:szCs w:val="20"/>
          <w:lang w:val="nl-BE"/>
        </w:rPr>
        <w:t xml:space="preserve">, </w:t>
      </w:r>
      <w:r w:rsidRPr="00E419E9">
        <w:rPr>
          <w:i/>
          <w:sz w:val="20"/>
          <w:szCs w:val="20"/>
          <w:lang w:val="nl-BE"/>
        </w:rPr>
        <w:t>De euthanasiewet doorgelicht</w:t>
      </w:r>
      <w:r w:rsidRPr="00E419E9">
        <w:rPr>
          <w:sz w:val="20"/>
          <w:szCs w:val="20"/>
          <w:lang w:val="nl-BE"/>
        </w:rPr>
        <w:t xml:space="preserve">, Mechelen, </w:t>
      </w:r>
      <w:proofErr w:type="spellStart"/>
      <w:r w:rsidRPr="00E419E9">
        <w:rPr>
          <w:sz w:val="20"/>
          <w:szCs w:val="20"/>
          <w:lang w:val="nl-BE"/>
        </w:rPr>
        <w:t>Kluwer</w:t>
      </w:r>
      <w:proofErr w:type="spellEnd"/>
      <w:r w:rsidRPr="00E419E9">
        <w:rPr>
          <w:sz w:val="20"/>
          <w:szCs w:val="20"/>
          <w:lang w:val="nl-BE"/>
        </w:rPr>
        <w:t xml:space="preserve">, 2003, 60; </w:t>
      </w:r>
      <w:r w:rsidRPr="00E419E9">
        <w:rPr>
          <w:sz w:val="20"/>
          <w:szCs w:val="20"/>
          <w:lang w:val="nl-BE" w:eastAsia="ja-JP"/>
        </w:rPr>
        <w:t xml:space="preserve">T. </w:t>
      </w:r>
      <w:proofErr w:type="spellStart"/>
      <w:r w:rsidRPr="00E419E9">
        <w:rPr>
          <w:smallCaps/>
          <w:sz w:val="20"/>
          <w:szCs w:val="20"/>
          <w:lang w:val="nl-BE" w:eastAsia="ja-JP"/>
        </w:rPr>
        <w:t>Vansweevelt</w:t>
      </w:r>
      <w:proofErr w:type="spellEnd"/>
      <w:r w:rsidRPr="00E419E9">
        <w:rPr>
          <w:smallCaps/>
          <w:sz w:val="20"/>
          <w:szCs w:val="20"/>
          <w:lang w:val="nl-BE" w:eastAsia="ja-JP"/>
        </w:rPr>
        <w:t xml:space="preserve">, </w:t>
      </w:r>
      <w:r w:rsidRPr="00E419E9">
        <w:rPr>
          <w:sz w:val="20"/>
          <w:szCs w:val="20"/>
          <w:lang w:val="nl-BE" w:eastAsia="ja-JP"/>
        </w:rPr>
        <w:t xml:space="preserve">“De euthanasiewet. Toepassingsgebied en krachtlijnen.”, </w:t>
      </w:r>
      <w:r w:rsidRPr="00E419E9">
        <w:rPr>
          <w:i/>
          <w:sz w:val="20"/>
          <w:szCs w:val="20"/>
          <w:lang w:val="nl-BE" w:eastAsia="ja-JP"/>
        </w:rPr>
        <w:t>NJW</w:t>
      </w:r>
      <w:r w:rsidRPr="00E419E9">
        <w:rPr>
          <w:sz w:val="20"/>
          <w:szCs w:val="20"/>
          <w:lang w:val="nl-BE" w:eastAsia="ja-JP"/>
        </w:rPr>
        <w:t xml:space="preserve"> 2002, afl. 13, 447.</w:t>
      </w:r>
    </w:p>
  </w:footnote>
  <w:footnote w:id="56">
    <w:p w:rsidR="001A0466" w:rsidRPr="00E419E9" w:rsidRDefault="001A0466" w:rsidP="00E419E9">
      <w:pPr>
        <w:jc w:val="both"/>
        <w:rPr>
          <w:sz w:val="20"/>
          <w:szCs w:val="20"/>
          <w:lang w:val="nl-BE" w:eastAsia="ja-JP"/>
        </w:rPr>
      </w:pPr>
      <w:r w:rsidRPr="00E419E9">
        <w:rPr>
          <w:rStyle w:val="Voetnootmarkering"/>
          <w:sz w:val="20"/>
          <w:szCs w:val="20"/>
        </w:rPr>
        <w:footnoteRef/>
      </w:r>
      <w:r w:rsidRPr="00E419E9">
        <w:rPr>
          <w:sz w:val="20"/>
          <w:szCs w:val="20"/>
        </w:rPr>
        <w:t xml:space="preserve"> </w:t>
      </w:r>
      <w:r w:rsidRPr="00E419E9">
        <w:rPr>
          <w:sz w:val="20"/>
          <w:szCs w:val="20"/>
          <w:lang w:val="nl-BE" w:eastAsia="ja-JP"/>
        </w:rPr>
        <w:t xml:space="preserve">T. </w:t>
      </w:r>
      <w:proofErr w:type="spellStart"/>
      <w:r w:rsidRPr="00E419E9">
        <w:rPr>
          <w:smallCaps/>
          <w:sz w:val="20"/>
          <w:szCs w:val="20"/>
          <w:lang w:val="nl-BE" w:eastAsia="ja-JP"/>
        </w:rPr>
        <w:t>Vansweevelt</w:t>
      </w:r>
      <w:proofErr w:type="spellEnd"/>
      <w:r w:rsidRPr="00E419E9">
        <w:rPr>
          <w:smallCaps/>
          <w:sz w:val="20"/>
          <w:szCs w:val="20"/>
          <w:lang w:val="nl-BE" w:eastAsia="ja-JP"/>
        </w:rPr>
        <w:t xml:space="preserve">, </w:t>
      </w:r>
      <w:r w:rsidRPr="00E419E9">
        <w:rPr>
          <w:sz w:val="20"/>
          <w:szCs w:val="20"/>
          <w:lang w:val="nl-BE" w:eastAsia="ja-JP"/>
        </w:rPr>
        <w:t xml:space="preserve">“De euthanasiewet. Toepassingsgebied en krachtlijnen.”, </w:t>
      </w:r>
      <w:r w:rsidRPr="00E419E9">
        <w:rPr>
          <w:i/>
          <w:sz w:val="20"/>
          <w:szCs w:val="20"/>
          <w:lang w:val="nl-BE" w:eastAsia="ja-JP"/>
        </w:rPr>
        <w:t>NJW</w:t>
      </w:r>
      <w:r w:rsidRPr="00E419E9">
        <w:rPr>
          <w:sz w:val="20"/>
          <w:szCs w:val="20"/>
          <w:lang w:val="nl-BE" w:eastAsia="ja-JP"/>
        </w:rPr>
        <w:t xml:space="preserve"> 2002, afl. 13, 447.</w:t>
      </w:r>
    </w:p>
  </w:footnote>
  <w:footnote w:id="57">
    <w:p w:rsidR="001A0466" w:rsidRPr="00E419E9" w:rsidRDefault="001A0466" w:rsidP="00E419E9">
      <w:pPr>
        <w:jc w:val="both"/>
        <w:rPr>
          <w:sz w:val="20"/>
          <w:szCs w:val="20"/>
          <w:lang w:val="nl-BE"/>
        </w:rPr>
      </w:pPr>
      <w:r w:rsidRPr="002B310E">
        <w:rPr>
          <w:rStyle w:val="Voetnootmarkering"/>
          <w:sz w:val="20"/>
          <w:szCs w:val="20"/>
        </w:rPr>
        <w:footnoteRef/>
      </w:r>
      <w:r w:rsidRPr="002B310E">
        <w:rPr>
          <w:sz w:val="20"/>
          <w:szCs w:val="20"/>
        </w:rPr>
        <w:t xml:space="preserve"> </w:t>
      </w:r>
      <w:proofErr w:type="spellStart"/>
      <w:r w:rsidRPr="002B310E">
        <w:rPr>
          <w:sz w:val="20"/>
          <w:szCs w:val="20"/>
          <w:lang w:val="nl-BE" w:eastAsia="ja-JP"/>
        </w:rPr>
        <w:t>Laloy</w:t>
      </w:r>
      <w:proofErr w:type="spellEnd"/>
      <w:r w:rsidRPr="002B310E">
        <w:rPr>
          <w:sz w:val="20"/>
          <w:szCs w:val="20"/>
          <w:lang w:val="nl-BE" w:eastAsia="ja-JP"/>
        </w:rPr>
        <w:t xml:space="preserve"> en Van Riet, </w:t>
      </w:r>
      <w:proofErr w:type="spellStart"/>
      <w:r w:rsidRPr="002B310E">
        <w:rPr>
          <w:i/>
          <w:iCs/>
          <w:sz w:val="20"/>
          <w:szCs w:val="20"/>
          <w:lang w:val="nl-BE" w:eastAsia="ja-JP"/>
        </w:rPr>
        <w:t>Parl</w:t>
      </w:r>
      <w:proofErr w:type="spellEnd"/>
      <w:r w:rsidRPr="002B310E">
        <w:rPr>
          <w:i/>
          <w:iCs/>
          <w:sz w:val="20"/>
          <w:szCs w:val="20"/>
          <w:lang w:val="nl-BE" w:eastAsia="ja-JP"/>
        </w:rPr>
        <w:t>. St</w:t>
      </w:r>
      <w:r w:rsidRPr="002B310E">
        <w:rPr>
          <w:sz w:val="20"/>
          <w:szCs w:val="20"/>
          <w:lang w:val="nl-BE" w:eastAsia="ja-JP"/>
        </w:rPr>
        <w:t xml:space="preserve">. Senaat 2000-01, 2-244/22, 253, 284, 695, 885; </w:t>
      </w:r>
      <w:r w:rsidRPr="00E419E9">
        <w:rPr>
          <w:sz w:val="20"/>
          <w:szCs w:val="20"/>
          <w:lang w:val="nl-BE" w:eastAsia="ja-JP"/>
        </w:rPr>
        <w:t xml:space="preserve">H. </w:t>
      </w:r>
      <w:proofErr w:type="spellStart"/>
      <w:r w:rsidRPr="00E419E9">
        <w:rPr>
          <w:smallCaps/>
          <w:sz w:val="20"/>
          <w:szCs w:val="20"/>
          <w:lang w:val="nl-BE"/>
        </w:rPr>
        <w:t>Nys</w:t>
      </w:r>
      <w:proofErr w:type="spellEnd"/>
      <w:r w:rsidRPr="00E419E9">
        <w:rPr>
          <w:smallCaps/>
          <w:sz w:val="20"/>
          <w:szCs w:val="20"/>
          <w:lang w:val="nl-BE"/>
        </w:rPr>
        <w:t xml:space="preserve">, </w:t>
      </w:r>
      <w:r w:rsidRPr="00E419E9">
        <w:rPr>
          <w:i/>
          <w:sz w:val="20"/>
          <w:szCs w:val="20"/>
          <w:lang w:val="nl-BE"/>
        </w:rPr>
        <w:t>Algemene praktische rechtsverzameling, Geneeskunde, Recht en medisch handelen</w:t>
      </w:r>
      <w:r w:rsidRPr="00E419E9">
        <w:rPr>
          <w:sz w:val="20"/>
          <w:szCs w:val="20"/>
          <w:lang w:val="nl-BE"/>
        </w:rPr>
        <w:t xml:space="preserve">, Mechelen, </w:t>
      </w:r>
      <w:proofErr w:type="spellStart"/>
      <w:r w:rsidRPr="00E419E9">
        <w:rPr>
          <w:sz w:val="20"/>
          <w:szCs w:val="20"/>
          <w:lang w:val="nl-BE"/>
        </w:rPr>
        <w:t>Kluwer</w:t>
      </w:r>
      <w:proofErr w:type="spellEnd"/>
      <w:r w:rsidRPr="00E419E9">
        <w:rPr>
          <w:sz w:val="20"/>
          <w:szCs w:val="20"/>
          <w:lang w:val="nl-BE"/>
        </w:rPr>
        <w:t>, 2005, 372</w:t>
      </w:r>
      <w:r>
        <w:rPr>
          <w:sz w:val="20"/>
          <w:szCs w:val="20"/>
          <w:lang w:val="nl-BE"/>
        </w:rPr>
        <w:t xml:space="preserve">; </w:t>
      </w:r>
      <w:r w:rsidRPr="002B310E">
        <w:rPr>
          <w:sz w:val="20"/>
          <w:szCs w:val="20"/>
          <w:lang w:val="nl-BE"/>
        </w:rPr>
        <w:t xml:space="preserve">H. </w:t>
      </w:r>
      <w:proofErr w:type="spellStart"/>
      <w:r w:rsidRPr="002B310E">
        <w:rPr>
          <w:sz w:val="20"/>
          <w:szCs w:val="20"/>
          <w:lang w:val="nl-BE"/>
        </w:rPr>
        <w:t>N</w:t>
      </w:r>
      <w:r w:rsidRPr="002B310E">
        <w:rPr>
          <w:smallCaps/>
          <w:sz w:val="20"/>
          <w:szCs w:val="20"/>
          <w:lang w:val="nl-BE"/>
        </w:rPr>
        <w:t>ys</w:t>
      </w:r>
      <w:proofErr w:type="spellEnd"/>
      <w:r w:rsidRPr="002B310E">
        <w:rPr>
          <w:sz w:val="20"/>
          <w:szCs w:val="20"/>
          <w:lang w:val="nl-BE"/>
        </w:rPr>
        <w:t>, “Euthanasie bij</w:t>
      </w:r>
      <w:r w:rsidRPr="00E419E9">
        <w:rPr>
          <w:sz w:val="20"/>
          <w:szCs w:val="20"/>
          <w:lang w:val="nl-BE"/>
        </w:rPr>
        <w:t xml:space="preserve"> kinderen naar Belgisch recht”, </w:t>
      </w:r>
      <w:r w:rsidRPr="00E419E9">
        <w:rPr>
          <w:i/>
          <w:sz w:val="20"/>
          <w:szCs w:val="20"/>
          <w:lang w:val="nl-BE"/>
        </w:rPr>
        <w:t>TJK</w:t>
      </w:r>
      <w:r w:rsidRPr="00E419E9">
        <w:rPr>
          <w:sz w:val="20"/>
          <w:szCs w:val="20"/>
          <w:lang w:val="nl-BE"/>
        </w:rPr>
        <w:t xml:space="preserve"> 2009, afl. 4, 279; </w:t>
      </w:r>
      <w:proofErr w:type="spellStart"/>
      <w:r w:rsidRPr="00E419E9">
        <w:rPr>
          <w:smallCaps/>
          <w:sz w:val="20"/>
          <w:szCs w:val="20"/>
          <w:lang w:val="nl-BE" w:eastAsia="ja-JP"/>
        </w:rPr>
        <w:t>Vansweevelt</w:t>
      </w:r>
      <w:proofErr w:type="spellEnd"/>
      <w:r w:rsidRPr="00E419E9">
        <w:rPr>
          <w:smallCaps/>
          <w:sz w:val="20"/>
          <w:szCs w:val="20"/>
          <w:lang w:val="nl-BE" w:eastAsia="ja-JP"/>
        </w:rPr>
        <w:t xml:space="preserve">, T., </w:t>
      </w:r>
      <w:r w:rsidRPr="00E419E9">
        <w:rPr>
          <w:sz w:val="20"/>
          <w:szCs w:val="20"/>
          <w:lang w:val="nl-BE"/>
        </w:rPr>
        <w:t xml:space="preserve"> “</w:t>
      </w:r>
      <w:r w:rsidRPr="00E419E9">
        <w:rPr>
          <w:color w:val="000000"/>
          <w:sz w:val="20"/>
          <w:szCs w:val="20"/>
        </w:rPr>
        <w:t xml:space="preserve">De euthanasiewet. De ultieme bevestiging van het zelfbeschikkingsrecht of een gecontroleerde keuzevrijheid?”, </w:t>
      </w:r>
      <w:proofErr w:type="spellStart"/>
      <w:r w:rsidRPr="00E419E9">
        <w:rPr>
          <w:i/>
          <w:color w:val="000000"/>
          <w:sz w:val="20"/>
          <w:szCs w:val="20"/>
        </w:rPr>
        <w:t>T.Gez</w:t>
      </w:r>
      <w:proofErr w:type="spellEnd"/>
      <w:r>
        <w:rPr>
          <w:color w:val="000000"/>
          <w:sz w:val="20"/>
          <w:szCs w:val="20"/>
        </w:rPr>
        <w:t>. 2002, afl.4, 234</w:t>
      </w:r>
      <w:r w:rsidRPr="00E419E9">
        <w:rPr>
          <w:sz w:val="20"/>
          <w:szCs w:val="20"/>
          <w:lang w:val="nl-BE"/>
        </w:rPr>
        <w:t>.</w:t>
      </w:r>
    </w:p>
  </w:footnote>
  <w:footnote w:id="58">
    <w:p w:rsidR="001A0466" w:rsidRPr="00E419E9" w:rsidRDefault="001A0466" w:rsidP="00E419E9">
      <w:pPr>
        <w:pStyle w:val="Voetnoottekst"/>
        <w:jc w:val="both"/>
      </w:pPr>
      <w:r w:rsidRPr="002B310E">
        <w:rPr>
          <w:rStyle w:val="Voetnootmarkering"/>
        </w:rPr>
        <w:footnoteRef/>
      </w:r>
      <w:r w:rsidRPr="002B310E">
        <w:t xml:space="preserve"> </w:t>
      </w:r>
      <w:r>
        <w:t xml:space="preserve">Zie </w:t>
      </w:r>
      <w:proofErr w:type="spellStart"/>
      <w:r w:rsidRPr="002B310E">
        <w:rPr>
          <w:i/>
        </w:rPr>
        <w:t>Supra</w:t>
      </w:r>
      <w:proofErr w:type="spellEnd"/>
      <w:r w:rsidRPr="002B310E">
        <w:rPr>
          <w:i/>
        </w:rPr>
        <w:t>.</w:t>
      </w:r>
    </w:p>
  </w:footnote>
  <w:footnote w:id="59">
    <w:p w:rsidR="001A0466" w:rsidRPr="001012BB" w:rsidRDefault="001A0466" w:rsidP="005E2768">
      <w:pPr>
        <w:pStyle w:val="Voetnoottekst"/>
        <w:jc w:val="both"/>
        <w:rPr>
          <w:lang w:val="nl-BE"/>
        </w:rPr>
      </w:pPr>
      <w:r>
        <w:rPr>
          <w:rStyle w:val="Voetnootmarkering"/>
        </w:rPr>
        <w:footnoteRef/>
      </w:r>
      <w:r>
        <w:t xml:space="preserve"> Verdrag van 20 november 1989 inzake de rechten ven het kind, </w:t>
      </w:r>
      <w:r w:rsidRPr="001012BB">
        <w:rPr>
          <w:i/>
        </w:rPr>
        <w:t>BS</w:t>
      </w:r>
      <w:r>
        <w:t xml:space="preserve"> 17 januari 1992.</w:t>
      </w:r>
    </w:p>
  </w:footnote>
  <w:footnote w:id="60">
    <w:p w:rsidR="001A0466" w:rsidRPr="00EC52BB" w:rsidRDefault="001A0466" w:rsidP="00EC52BB">
      <w:pPr>
        <w:pStyle w:val="Voetnoottekst"/>
        <w:jc w:val="both"/>
      </w:pPr>
      <w:r>
        <w:rPr>
          <w:rStyle w:val="Voetnootmarkering"/>
        </w:rPr>
        <w:footnoteRef/>
      </w:r>
      <w:r>
        <w:t xml:space="preserve"> Artikel 6 Kinderrechtenverdrag.</w:t>
      </w:r>
    </w:p>
  </w:footnote>
  <w:footnote w:id="61">
    <w:p w:rsidR="001A0466" w:rsidRPr="00EC52BB" w:rsidRDefault="001A0466" w:rsidP="00EC52BB">
      <w:pPr>
        <w:pStyle w:val="Voetnoottekst"/>
        <w:jc w:val="both"/>
      </w:pPr>
      <w:r>
        <w:rPr>
          <w:rStyle w:val="Voetnootmarkering"/>
        </w:rPr>
        <w:footnoteRef/>
      </w:r>
      <w:r>
        <w:t xml:space="preserve"> Artikel 19 Kinderrechtenverdrag.</w:t>
      </w:r>
    </w:p>
  </w:footnote>
  <w:footnote w:id="62">
    <w:p w:rsidR="001A0466" w:rsidRPr="00EC52BB" w:rsidRDefault="001A0466" w:rsidP="00EC52BB">
      <w:pPr>
        <w:pStyle w:val="Voetnoottekst"/>
        <w:jc w:val="both"/>
      </w:pPr>
      <w:r>
        <w:rPr>
          <w:rStyle w:val="Voetnootmarkering"/>
        </w:rPr>
        <w:footnoteRef/>
      </w:r>
      <w:r>
        <w:t xml:space="preserve"> Artikelen 24 en 26 Kinderrechtenverdrag.</w:t>
      </w:r>
    </w:p>
  </w:footnote>
  <w:footnote w:id="63">
    <w:p w:rsidR="001A0466" w:rsidRPr="00EC52BB" w:rsidRDefault="001A0466" w:rsidP="00EC52BB">
      <w:pPr>
        <w:pStyle w:val="Voetnoottekst"/>
        <w:jc w:val="both"/>
      </w:pPr>
      <w:r>
        <w:rPr>
          <w:rStyle w:val="Voetnootmarkering"/>
        </w:rPr>
        <w:footnoteRef/>
      </w:r>
      <w:r>
        <w:t xml:space="preserve"> </w:t>
      </w:r>
      <w:r w:rsidRPr="00C55BB6">
        <w:t xml:space="preserve">E. </w:t>
      </w:r>
      <w:r w:rsidRPr="00C55BB6">
        <w:rPr>
          <w:rFonts w:eastAsia="Times New Roman"/>
          <w:smallCaps/>
          <w:color w:val="000000"/>
          <w:lang w:val="nl-BE" w:eastAsia="ja-JP"/>
        </w:rPr>
        <w:t xml:space="preserve">De </w:t>
      </w:r>
      <w:proofErr w:type="spellStart"/>
      <w:r w:rsidRPr="00C55BB6">
        <w:rPr>
          <w:rFonts w:eastAsia="Times New Roman"/>
          <w:smallCaps/>
          <w:color w:val="000000"/>
          <w:lang w:val="nl-BE" w:eastAsia="ja-JP"/>
        </w:rPr>
        <w:t>Keyser</w:t>
      </w:r>
      <w:proofErr w:type="spellEnd"/>
      <w:r w:rsidRPr="00C55BB6">
        <w:rPr>
          <w:rFonts w:eastAsia="Times New Roman"/>
          <w:smallCaps/>
          <w:color w:val="000000"/>
          <w:lang w:val="nl-BE" w:eastAsia="ja-JP"/>
        </w:rPr>
        <w:t xml:space="preserve">, </w:t>
      </w:r>
      <w:r w:rsidRPr="00C55BB6">
        <w:rPr>
          <w:rFonts w:eastAsia="Times New Roman"/>
          <w:color w:val="000000"/>
          <w:lang w:val="nl-BE" w:eastAsia="ja-JP"/>
        </w:rPr>
        <w:t xml:space="preserve"> “Respect voor het zelfbeschikkingsrecht van de patiënt: gevolgen voor de wet betreffende de euthanasie”, </w:t>
      </w:r>
      <w:proofErr w:type="spellStart"/>
      <w:r w:rsidRPr="00C55BB6">
        <w:rPr>
          <w:rFonts w:eastAsia="Times New Roman"/>
          <w:i/>
          <w:color w:val="000000"/>
          <w:lang w:val="nl-BE" w:eastAsia="ja-JP"/>
        </w:rPr>
        <w:t>T.Gez</w:t>
      </w:r>
      <w:proofErr w:type="spellEnd"/>
      <w:r w:rsidRPr="00C55BB6">
        <w:rPr>
          <w:rFonts w:eastAsia="Times New Roman"/>
          <w:i/>
          <w:color w:val="000000"/>
          <w:lang w:val="nl-BE" w:eastAsia="ja-JP"/>
        </w:rPr>
        <w:t>.</w:t>
      </w:r>
      <w:r>
        <w:rPr>
          <w:rFonts w:eastAsia="Times New Roman"/>
          <w:color w:val="000000"/>
          <w:lang w:val="nl-BE" w:eastAsia="ja-JP"/>
        </w:rPr>
        <w:t xml:space="preserve"> 2005, afl. 5, 379; KINDERRECHTENCOMMISARIAAT, “Advies: Euthanasie en Minderjarigen bij het wetsvoorstel betreffende de euthanasie”, </w:t>
      </w:r>
      <w:r w:rsidRPr="00EC52BB">
        <w:rPr>
          <w:rFonts w:eastAsia="Times New Roman"/>
          <w:color w:val="000000"/>
          <w:u w:val="single"/>
          <w:lang w:val="nl-BE" w:eastAsia="ja-JP"/>
        </w:rPr>
        <w:t xml:space="preserve">http://www.kinderrechten.be/IUSR/adviezen//Adviezen_pdf/2001_2002/2001-2002_8_Euthanasie_en_minderjarigen_pdf.pdf, </w:t>
      </w:r>
      <w:r>
        <w:rPr>
          <w:rFonts w:eastAsia="Times New Roman"/>
          <w:color w:val="000000"/>
          <w:lang w:val="nl-BE" w:eastAsia="ja-JP"/>
        </w:rPr>
        <w:t>4.</w:t>
      </w:r>
    </w:p>
  </w:footnote>
  <w:footnote w:id="64">
    <w:p w:rsidR="001A0466" w:rsidRPr="00577BC8" w:rsidRDefault="001A0466" w:rsidP="00E66F22">
      <w:pPr>
        <w:pStyle w:val="Voetnoottekst"/>
        <w:jc w:val="both"/>
        <w:rPr>
          <w:lang w:val="nl-BE"/>
        </w:rPr>
      </w:pPr>
      <w:r>
        <w:rPr>
          <w:rStyle w:val="Voetnootmarkering"/>
        </w:rPr>
        <w:footnoteRef/>
      </w:r>
      <w:r>
        <w:t xml:space="preserve"> </w:t>
      </w:r>
      <w:r w:rsidRPr="00C55BB6">
        <w:t xml:space="preserve">E. </w:t>
      </w:r>
      <w:r w:rsidRPr="00C55BB6">
        <w:rPr>
          <w:rFonts w:eastAsia="Times New Roman"/>
          <w:smallCaps/>
          <w:color w:val="000000"/>
          <w:lang w:val="nl-BE" w:eastAsia="ja-JP"/>
        </w:rPr>
        <w:t xml:space="preserve">De </w:t>
      </w:r>
      <w:proofErr w:type="spellStart"/>
      <w:r w:rsidRPr="00C55BB6">
        <w:rPr>
          <w:rFonts w:eastAsia="Times New Roman"/>
          <w:smallCaps/>
          <w:color w:val="000000"/>
          <w:lang w:val="nl-BE" w:eastAsia="ja-JP"/>
        </w:rPr>
        <w:t>Keyser</w:t>
      </w:r>
      <w:proofErr w:type="spellEnd"/>
      <w:r w:rsidRPr="00C55BB6">
        <w:rPr>
          <w:rFonts w:eastAsia="Times New Roman"/>
          <w:smallCaps/>
          <w:color w:val="000000"/>
          <w:lang w:val="nl-BE" w:eastAsia="ja-JP"/>
        </w:rPr>
        <w:t xml:space="preserve">, </w:t>
      </w:r>
      <w:r w:rsidRPr="00C55BB6">
        <w:rPr>
          <w:rFonts w:eastAsia="Times New Roman"/>
          <w:color w:val="000000"/>
          <w:lang w:val="nl-BE" w:eastAsia="ja-JP"/>
        </w:rPr>
        <w:t xml:space="preserve"> “Respect voor het zelfbeschikkingsrecht van de patiënt: gevolgen voor de wet betreffende de euthanasie”, </w:t>
      </w:r>
      <w:proofErr w:type="spellStart"/>
      <w:r w:rsidRPr="00C55BB6">
        <w:rPr>
          <w:rFonts w:eastAsia="Times New Roman"/>
          <w:i/>
          <w:color w:val="000000"/>
          <w:lang w:val="nl-BE" w:eastAsia="ja-JP"/>
        </w:rPr>
        <w:t>T.Gez</w:t>
      </w:r>
      <w:proofErr w:type="spellEnd"/>
      <w:r w:rsidRPr="00C55BB6">
        <w:rPr>
          <w:rFonts w:eastAsia="Times New Roman"/>
          <w:i/>
          <w:color w:val="000000"/>
          <w:lang w:val="nl-BE" w:eastAsia="ja-JP"/>
        </w:rPr>
        <w:t>.</w:t>
      </w:r>
      <w:r>
        <w:rPr>
          <w:rFonts w:eastAsia="Times New Roman"/>
          <w:color w:val="000000"/>
          <w:lang w:val="nl-BE" w:eastAsia="ja-JP"/>
        </w:rPr>
        <w:t xml:space="preserve"> 2005, afl. 5, 379; KINDERRECHTENCOMMISARIAAT, “Advies: Euthanasie en Minderjarigen bij het wetsvoorstel betreffende de euthanasie”, </w:t>
      </w:r>
      <w:r w:rsidRPr="00EC52BB">
        <w:rPr>
          <w:rFonts w:eastAsia="Times New Roman"/>
          <w:color w:val="000000"/>
          <w:u w:val="single"/>
          <w:lang w:val="nl-BE" w:eastAsia="ja-JP"/>
        </w:rPr>
        <w:t xml:space="preserve">http://www.kinderrechten.be/IUSR/adviezen//Adviezen_pdf/2001_2002/2001-2002_8_Euthanasie_en_minderjarigen_pdf.pdf, </w:t>
      </w:r>
      <w:r>
        <w:rPr>
          <w:rFonts w:eastAsia="Times New Roman"/>
          <w:color w:val="000000"/>
          <w:lang w:val="nl-BE" w:eastAsia="ja-JP"/>
        </w:rPr>
        <w:t>3-4.</w:t>
      </w:r>
    </w:p>
  </w:footnote>
  <w:footnote w:id="65">
    <w:p w:rsidR="001A0466" w:rsidRPr="005E2768" w:rsidRDefault="001A0466" w:rsidP="00E66F22">
      <w:pPr>
        <w:pStyle w:val="Voetnoottekst"/>
        <w:jc w:val="both"/>
        <w:rPr>
          <w:i/>
          <w:lang w:val="nl-BE"/>
        </w:rPr>
      </w:pPr>
      <w:r>
        <w:rPr>
          <w:rStyle w:val="Voetnootmarkering"/>
        </w:rPr>
        <w:footnoteRef/>
      </w:r>
      <w:r>
        <w:t xml:space="preserve"> </w:t>
      </w:r>
      <w:r w:rsidRPr="005E2768">
        <w:rPr>
          <w:i/>
        </w:rPr>
        <w:t>Ibid.</w:t>
      </w:r>
    </w:p>
  </w:footnote>
  <w:footnote w:id="66">
    <w:p w:rsidR="001A0466" w:rsidRPr="00EC52BB" w:rsidRDefault="001A0466" w:rsidP="00E66F22">
      <w:pPr>
        <w:pStyle w:val="Voetnoottekst"/>
        <w:jc w:val="both"/>
      </w:pPr>
      <w:r>
        <w:rPr>
          <w:rStyle w:val="Voetnootmarkering"/>
        </w:rPr>
        <w:footnoteRef/>
      </w:r>
      <w:r>
        <w:t xml:space="preserve"> </w:t>
      </w:r>
      <w:r w:rsidRPr="00C55BB6">
        <w:t xml:space="preserve">E. </w:t>
      </w:r>
      <w:r w:rsidRPr="00C55BB6">
        <w:rPr>
          <w:rFonts w:eastAsia="Times New Roman"/>
          <w:smallCaps/>
          <w:color w:val="000000"/>
          <w:lang w:val="nl-BE" w:eastAsia="ja-JP"/>
        </w:rPr>
        <w:t xml:space="preserve">De </w:t>
      </w:r>
      <w:proofErr w:type="spellStart"/>
      <w:r w:rsidRPr="00C55BB6">
        <w:rPr>
          <w:rFonts w:eastAsia="Times New Roman"/>
          <w:smallCaps/>
          <w:color w:val="000000"/>
          <w:lang w:val="nl-BE" w:eastAsia="ja-JP"/>
        </w:rPr>
        <w:t>Keyser</w:t>
      </w:r>
      <w:proofErr w:type="spellEnd"/>
      <w:r w:rsidRPr="00C55BB6">
        <w:rPr>
          <w:rFonts w:eastAsia="Times New Roman"/>
          <w:smallCaps/>
          <w:color w:val="000000"/>
          <w:lang w:val="nl-BE" w:eastAsia="ja-JP"/>
        </w:rPr>
        <w:t xml:space="preserve">, </w:t>
      </w:r>
      <w:r w:rsidRPr="00C55BB6">
        <w:rPr>
          <w:rFonts w:eastAsia="Times New Roman"/>
          <w:color w:val="000000"/>
          <w:lang w:val="nl-BE" w:eastAsia="ja-JP"/>
        </w:rPr>
        <w:t xml:space="preserve"> “Respect voor het zelfbeschikkingsrecht van de patiënt: gevolgen voor de wet betreffende de euthanasie”, </w:t>
      </w:r>
      <w:proofErr w:type="spellStart"/>
      <w:r w:rsidRPr="00C55BB6">
        <w:rPr>
          <w:rFonts w:eastAsia="Times New Roman"/>
          <w:i/>
          <w:color w:val="000000"/>
          <w:lang w:val="nl-BE" w:eastAsia="ja-JP"/>
        </w:rPr>
        <w:t>T.Gez</w:t>
      </w:r>
      <w:proofErr w:type="spellEnd"/>
      <w:r w:rsidRPr="00C55BB6">
        <w:rPr>
          <w:rFonts w:eastAsia="Times New Roman"/>
          <w:i/>
          <w:color w:val="000000"/>
          <w:lang w:val="nl-BE" w:eastAsia="ja-JP"/>
        </w:rPr>
        <w:t>.</w:t>
      </w:r>
      <w:r>
        <w:rPr>
          <w:rFonts w:eastAsia="Times New Roman"/>
          <w:color w:val="000000"/>
          <w:lang w:val="nl-BE" w:eastAsia="ja-JP"/>
        </w:rPr>
        <w:t xml:space="preserve"> 2005, afl. 5, 379; KINDERRECHTENCOMMISARIAAT, “Advies: Euthanasie en Minderjarigen bij het wetsvoorstel betreffende de euthanasie”, </w:t>
      </w:r>
      <w:r w:rsidRPr="00EC52BB">
        <w:rPr>
          <w:rFonts w:eastAsia="Times New Roman"/>
          <w:color w:val="000000"/>
          <w:u w:val="single"/>
          <w:lang w:val="nl-BE" w:eastAsia="ja-JP"/>
        </w:rPr>
        <w:t xml:space="preserve">http://www.kinderrechten.be/IUSR/adviezen//Adviezen_pdf/2001_2002/2001-2002_8_Euthanasie_en_minderjarigen_pdf.pdf, </w:t>
      </w:r>
      <w:r>
        <w:rPr>
          <w:rFonts w:eastAsia="Times New Roman"/>
          <w:color w:val="000000"/>
          <w:lang w:val="nl-BE" w:eastAsia="ja-JP"/>
        </w:rPr>
        <w:t>5.</w:t>
      </w:r>
    </w:p>
  </w:footnote>
  <w:footnote w:id="67">
    <w:p w:rsidR="001A0466" w:rsidRPr="00D45322" w:rsidRDefault="001A0466" w:rsidP="00E66F22">
      <w:pPr>
        <w:pStyle w:val="Voetnoottekst"/>
        <w:jc w:val="both"/>
      </w:pPr>
      <w:r w:rsidRPr="00D45322">
        <w:rPr>
          <w:rStyle w:val="Voetnootmarkering"/>
        </w:rPr>
        <w:footnoteRef/>
      </w:r>
      <w:r w:rsidRPr="00D45322">
        <w:t xml:space="preserve"> E. </w:t>
      </w:r>
      <w:r w:rsidRPr="00D45322">
        <w:rPr>
          <w:rFonts w:eastAsia="Times New Roman"/>
          <w:smallCaps/>
          <w:color w:val="000000"/>
          <w:lang w:val="nl-BE" w:eastAsia="ja-JP"/>
        </w:rPr>
        <w:t xml:space="preserve">De </w:t>
      </w:r>
      <w:proofErr w:type="spellStart"/>
      <w:r w:rsidRPr="00D45322">
        <w:rPr>
          <w:rFonts w:eastAsia="Times New Roman"/>
          <w:smallCaps/>
          <w:color w:val="000000"/>
          <w:lang w:val="nl-BE" w:eastAsia="ja-JP"/>
        </w:rPr>
        <w:t>Keyser</w:t>
      </w:r>
      <w:proofErr w:type="spellEnd"/>
      <w:r w:rsidRPr="00D45322">
        <w:rPr>
          <w:rFonts w:eastAsia="Times New Roman"/>
          <w:smallCaps/>
          <w:color w:val="000000"/>
          <w:lang w:val="nl-BE" w:eastAsia="ja-JP"/>
        </w:rPr>
        <w:t xml:space="preserve">, </w:t>
      </w:r>
      <w:r w:rsidRPr="00D45322">
        <w:rPr>
          <w:rFonts w:eastAsia="Times New Roman"/>
          <w:color w:val="000000"/>
          <w:lang w:val="nl-BE" w:eastAsia="ja-JP"/>
        </w:rPr>
        <w:t xml:space="preserve"> “Respect voor het zelfbeschikkingsrecht van de patiënt: gevolgen voor de wet betreffende de euthanasie”, </w:t>
      </w:r>
      <w:proofErr w:type="spellStart"/>
      <w:r w:rsidRPr="00D45322">
        <w:rPr>
          <w:rFonts w:eastAsia="Times New Roman"/>
          <w:i/>
          <w:color w:val="000000"/>
          <w:lang w:val="nl-BE" w:eastAsia="ja-JP"/>
        </w:rPr>
        <w:t>T.Gez</w:t>
      </w:r>
      <w:proofErr w:type="spellEnd"/>
      <w:r w:rsidRPr="00D45322">
        <w:rPr>
          <w:rFonts w:eastAsia="Times New Roman"/>
          <w:i/>
          <w:color w:val="000000"/>
          <w:lang w:val="nl-BE" w:eastAsia="ja-JP"/>
        </w:rPr>
        <w:t>.</w:t>
      </w:r>
      <w:r w:rsidRPr="00D45322">
        <w:rPr>
          <w:rFonts w:eastAsia="Times New Roman"/>
          <w:color w:val="000000"/>
          <w:lang w:val="nl-BE" w:eastAsia="ja-JP"/>
        </w:rPr>
        <w:t xml:space="preserve"> 2005, afl. 5, 378.</w:t>
      </w:r>
    </w:p>
  </w:footnote>
  <w:footnote w:id="68">
    <w:p w:rsidR="001A0466" w:rsidRPr="00D45322" w:rsidRDefault="001A0466" w:rsidP="00E66F22">
      <w:pPr>
        <w:jc w:val="both"/>
        <w:rPr>
          <w:sz w:val="20"/>
          <w:szCs w:val="20"/>
          <w:lang w:val="nl-BE"/>
        </w:rPr>
      </w:pPr>
      <w:r w:rsidRPr="00D45322">
        <w:rPr>
          <w:rStyle w:val="Voetnootmarkering"/>
          <w:sz w:val="20"/>
          <w:szCs w:val="20"/>
        </w:rPr>
        <w:footnoteRef/>
      </w:r>
      <w:r w:rsidRPr="00D45322">
        <w:rPr>
          <w:sz w:val="20"/>
          <w:szCs w:val="20"/>
        </w:rPr>
        <w:t xml:space="preserve"> </w:t>
      </w:r>
      <w:r w:rsidRPr="00D45322">
        <w:rPr>
          <w:sz w:val="20"/>
          <w:szCs w:val="20"/>
          <w:lang w:val="nl-BE"/>
        </w:rPr>
        <w:t xml:space="preserve">Wet van 22 augustus 2002 betreffende de rechten van de patiënt, </w:t>
      </w:r>
      <w:r w:rsidRPr="00D45322">
        <w:rPr>
          <w:i/>
          <w:sz w:val="20"/>
          <w:szCs w:val="20"/>
          <w:lang w:val="nl-BE"/>
        </w:rPr>
        <w:t>BS</w:t>
      </w:r>
      <w:r w:rsidRPr="00D45322">
        <w:rPr>
          <w:sz w:val="20"/>
          <w:szCs w:val="20"/>
          <w:lang w:val="nl-BE"/>
        </w:rPr>
        <w:t xml:space="preserve"> 26 september 2002, </w:t>
      </w:r>
      <w:r>
        <w:rPr>
          <w:sz w:val="20"/>
          <w:szCs w:val="20"/>
          <w:lang w:val="nl-BE"/>
        </w:rPr>
        <w:t xml:space="preserve">43 719, </w:t>
      </w:r>
      <w:r w:rsidRPr="00D45322">
        <w:rPr>
          <w:i/>
          <w:sz w:val="20"/>
          <w:szCs w:val="20"/>
          <w:lang w:val="nl-BE"/>
        </w:rPr>
        <w:t>erratum</w:t>
      </w:r>
      <w:r w:rsidRPr="00D45322">
        <w:rPr>
          <w:sz w:val="20"/>
          <w:szCs w:val="20"/>
          <w:lang w:val="nl-BE"/>
        </w:rPr>
        <w:t xml:space="preserve"> </w:t>
      </w:r>
      <w:r w:rsidRPr="00D45322">
        <w:rPr>
          <w:i/>
          <w:sz w:val="20"/>
          <w:szCs w:val="20"/>
          <w:lang w:val="nl-BE"/>
        </w:rPr>
        <w:t>BS</w:t>
      </w:r>
      <w:r w:rsidRPr="00D45322">
        <w:rPr>
          <w:sz w:val="20"/>
          <w:szCs w:val="20"/>
          <w:lang w:val="nl-BE"/>
        </w:rPr>
        <w:t xml:space="preserve"> 20 december 2002</w:t>
      </w:r>
      <w:r>
        <w:rPr>
          <w:sz w:val="20"/>
          <w:szCs w:val="20"/>
          <w:lang w:val="nl-BE"/>
        </w:rPr>
        <w:t>, 57 406</w:t>
      </w:r>
      <w:r w:rsidRPr="00D45322">
        <w:rPr>
          <w:sz w:val="20"/>
          <w:szCs w:val="20"/>
          <w:lang w:val="nl-BE"/>
        </w:rPr>
        <w:t xml:space="preserve">. Hierna </w:t>
      </w:r>
      <w:r>
        <w:rPr>
          <w:sz w:val="20"/>
          <w:szCs w:val="20"/>
          <w:lang w:val="nl-BE"/>
        </w:rPr>
        <w:t>‘</w:t>
      </w:r>
      <w:r w:rsidRPr="00D45322">
        <w:rPr>
          <w:sz w:val="20"/>
          <w:szCs w:val="20"/>
          <w:lang w:val="nl-BE"/>
        </w:rPr>
        <w:t>Wet Patiëntenrechten</w:t>
      </w:r>
      <w:r>
        <w:rPr>
          <w:sz w:val="20"/>
          <w:szCs w:val="20"/>
          <w:lang w:val="nl-BE"/>
        </w:rPr>
        <w:t>’</w:t>
      </w:r>
      <w:r w:rsidRPr="00D45322">
        <w:rPr>
          <w:sz w:val="20"/>
          <w:szCs w:val="20"/>
          <w:lang w:val="nl-BE"/>
        </w:rPr>
        <w:t>.</w:t>
      </w:r>
    </w:p>
    <w:p w:rsidR="001A0466" w:rsidRPr="00E419E9" w:rsidRDefault="001A0466" w:rsidP="00E66F22">
      <w:pPr>
        <w:pStyle w:val="Voetnoottekst"/>
        <w:jc w:val="both"/>
      </w:pPr>
    </w:p>
  </w:footnote>
  <w:footnote w:id="69">
    <w:p w:rsidR="001A0466" w:rsidRPr="00E76ECC" w:rsidRDefault="001A0466" w:rsidP="00E66F22">
      <w:pPr>
        <w:jc w:val="both"/>
        <w:rPr>
          <w:sz w:val="20"/>
          <w:szCs w:val="20"/>
          <w:lang w:val="nl-BE"/>
        </w:rPr>
      </w:pPr>
      <w:r w:rsidRPr="00E76ECC">
        <w:rPr>
          <w:rStyle w:val="Voetnootmarkering"/>
          <w:sz w:val="20"/>
          <w:szCs w:val="20"/>
        </w:rPr>
        <w:footnoteRef/>
      </w:r>
      <w:r w:rsidRPr="00E76ECC">
        <w:rPr>
          <w:sz w:val="20"/>
          <w:szCs w:val="20"/>
        </w:rPr>
        <w:t xml:space="preserve"> H. </w:t>
      </w:r>
      <w:proofErr w:type="spellStart"/>
      <w:r w:rsidRPr="00E76ECC">
        <w:rPr>
          <w:sz w:val="20"/>
          <w:szCs w:val="20"/>
          <w:lang w:val="nl-BE"/>
        </w:rPr>
        <w:t>N</w:t>
      </w:r>
      <w:r w:rsidRPr="00E76ECC">
        <w:rPr>
          <w:smallCaps/>
          <w:sz w:val="20"/>
          <w:szCs w:val="20"/>
          <w:lang w:val="nl-BE"/>
        </w:rPr>
        <w:t>ys</w:t>
      </w:r>
      <w:proofErr w:type="spellEnd"/>
      <w:r w:rsidRPr="00E76ECC">
        <w:rPr>
          <w:sz w:val="20"/>
          <w:szCs w:val="20"/>
          <w:lang w:val="nl-BE"/>
        </w:rPr>
        <w:t xml:space="preserve">, </w:t>
      </w:r>
      <w:r w:rsidRPr="00E76ECC">
        <w:rPr>
          <w:i/>
          <w:sz w:val="20"/>
          <w:szCs w:val="20"/>
          <w:lang w:val="nl-BE"/>
        </w:rPr>
        <w:t>Recht en bio-ethiek, wegwijs voor mensen in de gezondheidszorg</w:t>
      </w:r>
      <w:r w:rsidRPr="00E76ECC">
        <w:rPr>
          <w:sz w:val="20"/>
          <w:szCs w:val="20"/>
          <w:lang w:val="nl-BE"/>
        </w:rPr>
        <w:t xml:space="preserve">, Leuven, </w:t>
      </w:r>
      <w:proofErr w:type="spellStart"/>
      <w:r w:rsidRPr="00E76ECC">
        <w:rPr>
          <w:sz w:val="20"/>
          <w:szCs w:val="20"/>
          <w:lang w:val="nl-BE"/>
        </w:rPr>
        <w:t>LannooCampus</w:t>
      </w:r>
      <w:proofErr w:type="spellEnd"/>
      <w:r w:rsidRPr="00E76ECC">
        <w:rPr>
          <w:sz w:val="20"/>
          <w:szCs w:val="20"/>
          <w:lang w:val="nl-BE"/>
        </w:rPr>
        <w:t>, 2010, 76.</w:t>
      </w:r>
    </w:p>
  </w:footnote>
  <w:footnote w:id="70">
    <w:p w:rsidR="001A0466" w:rsidRPr="00E76ECC" w:rsidRDefault="001A0466" w:rsidP="00E66F22">
      <w:pPr>
        <w:jc w:val="both"/>
        <w:rPr>
          <w:sz w:val="20"/>
          <w:szCs w:val="20"/>
          <w:lang w:val="nl-BE"/>
        </w:rPr>
      </w:pPr>
      <w:r w:rsidRPr="00E76ECC">
        <w:rPr>
          <w:rStyle w:val="Voetnootmarkering"/>
          <w:sz w:val="20"/>
          <w:szCs w:val="20"/>
        </w:rPr>
        <w:footnoteRef/>
      </w:r>
      <w:r w:rsidRPr="00E76ECC">
        <w:rPr>
          <w:smallCaps/>
          <w:sz w:val="20"/>
          <w:szCs w:val="20"/>
          <w:lang w:val="nl-BE"/>
        </w:rPr>
        <w:t xml:space="preserve">Y.H. </w:t>
      </w:r>
      <w:proofErr w:type="spellStart"/>
      <w:r w:rsidRPr="00E76ECC">
        <w:rPr>
          <w:smallCaps/>
          <w:sz w:val="20"/>
          <w:szCs w:val="20"/>
          <w:lang w:val="nl-BE"/>
        </w:rPr>
        <w:t>Lelieu</w:t>
      </w:r>
      <w:proofErr w:type="spellEnd"/>
      <w:r w:rsidRPr="00E76ECC">
        <w:rPr>
          <w:sz w:val="20"/>
          <w:szCs w:val="20"/>
          <w:lang w:val="nl-BE"/>
        </w:rPr>
        <w:t xml:space="preserve">, </w:t>
      </w:r>
      <w:proofErr w:type="spellStart"/>
      <w:r w:rsidRPr="00E76ECC">
        <w:rPr>
          <w:i/>
          <w:sz w:val="20"/>
          <w:szCs w:val="20"/>
          <w:lang w:val="nl-BE"/>
        </w:rPr>
        <w:t>Droit</w:t>
      </w:r>
      <w:proofErr w:type="spellEnd"/>
      <w:r w:rsidRPr="00E76ECC">
        <w:rPr>
          <w:i/>
          <w:sz w:val="20"/>
          <w:szCs w:val="20"/>
          <w:lang w:val="nl-BE"/>
        </w:rPr>
        <w:t xml:space="preserve"> </w:t>
      </w:r>
      <w:proofErr w:type="spellStart"/>
      <w:r w:rsidRPr="00E76ECC">
        <w:rPr>
          <w:i/>
          <w:sz w:val="20"/>
          <w:szCs w:val="20"/>
          <w:lang w:val="nl-BE"/>
        </w:rPr>
        <w:t>médical</w:t>
      </w:r>
      <w:proofErr w:type="spellEnd"/>
      <w:r w:rsidRPr="00E76ECC">
        <w:rPr>
          <w:sz w:val="20"/>
          <w:szCs w:val="20"/>
          <w:lang w:val="nl-BE"/>
        </w:rPr>
        <w:t xml:space="preserve">, De </w:t>
      </w:r>
      <w:proofErr w:type="spellStart"/>
      <w:r w:rsidRPr="00E76ECC">
        <w:rPr>
          <w:sz w:val="20"/>
          <w:szCs w:val="20"/>
          <w:lang w:val="nl-BE"/>
        </w:rPr>
        <w:t>Boeck</w:t>
      </w:r>
      <w:proofErr w:type="spellEnd"/>
      <w:r w:rsidRPr="00E76ECC">
        <w:rPr>
          <w:sz w:val="20"/>
          <w:szCs w:val="20"/>
          <w:lang w:val="nl-BE"/>
        </w:rPr>
        <w:t xml:space="preserve"> en </w:t>
      </w:r>
      <w:proofErr w:type="spellStart"/>
      <w:r w:rsidRPr="00E76ECC">
        <w:rPr>
          <w:sz w:val="20"/>
          <w:szCs w:val="20"/>
          <w:lang w:val="nl-BE"/>
        </w:rPr>
        <w:t>Larcier</w:t>
      </w:r>
      <w:proofErr w:type="spellEnd"/>
      <w:r w:rsidRPr="00E76ECC">
        <w:rPr>
          <w:sz w:val="20"/>
          <w:szCs w:val="20"/>
          <w:lang w:val="nl-BE"/>
        </w:rPr>
        <w:t xml:space="preserve">, Brussel, 2005, 47; </w:t>
      </w:r>
      <w:r w:rsidRPr="00E76ECC">
        <w:rPr>
          <w:sz w:val="20"/>
          <w:szCs w:val="20"/>
        </w:rPr>
        <w:t xml:space="preserve">H. </w:t>
      </w:r>
      <w:proofErr w:type="spellStart"/>
      <w:r w:rsidRPr="00E76ECC">
        <w:rPr>
          <w:sz w:val="20"/>
          <w:szCs w:val="20"/>
          <w:lang w:val="nl-BE"/>
        </w:rPr>
        <w:t>N</w:t>
      </w:r>
      <w:r w:rsidRPr="00E76ECC">
        <w:rPr>
          <w:smallCaps/>
          <w:sz w:val="20"/>
          <w:szCs w:val="20"/>
          <w:lang w:val="nl-BE"/>
        </w:rPr>
        <w:t>ys</w:t>
      </w:r>
      <w:proofErr w:type="spellEnd"/>
      <w:r w:rsidRPr="00E76ECC">
        <w:rPr>
          <w:sz w:val="20"/>
          <w:szCs w:val="20"/>
          <w:lang w:val="nl-BE"/>
        </w:rPr>
        <w:t xml:space="preserve">, </w:t>
      </w:r>
      <w:r w:rsidRPr="00E76ECC">
        <w:rPr>
          <w:i/>
          <w:sz w:val="20"/>
          <w:szCs w:val="20"/>
          <w:lang w:val="nl-BE"/>
        </w:rPr>
        <w:t>Recht en bio-ethiek, wegwijs voor mensen in de gezondheidszorg</w:t>
      </w:r>
      <w:r w:rsidRPr="00E76ECC">
        <w:rPr>
          <w:sz w:val="20"/>
          <w:szCs w:val="20"/>
          <w:lang w:val="nl-BE"/>
        </w:rPr>
        <w:t xml:space="preserve">, Leuven, </w:t>
      </w:r>
      <w:proofErr w:type="spellStart"/>
      <w:r w:rsidRPr="00E76ECC">
        <w:rPr>
          <w:sz w:val="20"/>
          <w:szCs w:val="20"/>
          <w:lang w:val="nl-BE"/>
        </w:rPr>
        <w:t>LannooCampus</w:t>
      </w:r>
      <w:proofErr w:type="spellEnd"/>
      <w:r w:rsidRPr="00E76ECC">
        <w:rPr>
          <w:sz w:val="20"/>
          <w:szCs w:val="20"/>
          <w:lang w:val="nl-BE"/>
        </w:rPr>
        <w:t>, 2010, 76.</w:t>
      </w:r>
    </w:p>
  </w:footnote>
  <w:footnote w:id="71">
    <w:p w:rsidR="001A0466" w:rsidRPr="00E76ECC" w:rsidRDefault="001A0466" w:rsidP="00E66F22">
      <w:pPr>
        <w:jc w:val="both"/>
        <w:rPr>
          <w:sz w:val="20"/>
          <w:szCs w:val="20"/>
          <w:lang w:val="fr-BE"/>
        </w:rPr>
      </w:pPr>
      <w:r w:rsidRPr="00E76ECC">
        <w:rPr>
          <w:rStyle w:val="Voetnootmarkering"/>
          <w:sz w:val="20"/>
          <w:szCs w:val="20"/>
        </w:rPr>
        <w:footnoteRef/>
      </w:r>
      <w:r w:rsidRPr="00E76ECC">
        <w:rPr>
          <w:sz w:val="20"/>
          <w:szCs w:val="20"/>
          <w:lang w:val="fr-BE"/>
        </w:rPr>
        <w:t xml:space="preserve"> </w:t>
      </w:r>
      <w:r w:rsidRPr="00E76ECC">
        <w:rPr>
          <w:smallCaps/>
          <w:sz w:val="20"/>
          <w:szCs w:val="20"/>
          <w:lang w:val="fr-BE"/>
        </w:rPr>
        <w:t xml:space="preserve">Y.H. </w:t>
      </w:r>
      <w:proofErr w:type="spellStart"/>
      <w:r w:rsidRPr="00E76ECC">
        <w:rPr>
          <w:smallCaps/>
          <w:sz w:val="20"/>
          <w:szCs w:val="20"/>
          <w:lang w:val="fr-BE"/>
        </w:rPr>
        <w:t>Lelieu</w:t>
      </w:r>
      <w:proofErr w:type="spellEnd"/>
      <w:r w:rsidRPr="00E76ECC">
        <w:rPr>
          <w:sz w:val="20"/>
          <w:szCs w:val="20"/>
          <w:lang w:val="fr-BE"/>
        </w:rPr>
        <w:t xml:space="preserve">, </w:t>
      </w:r>
      <w:r w:rsidRPr="00E76ECC">
        <w:rPr>
          <w:i/>
          <w:sz w:val="20"/>
          <w:szCs w:val="20"/>
          <w:lang w:val="fr-BE"/>
        </w:rPr>
        <w:t>Droit médical</w:t>
      </w:r>
      <w:r w:rsidRPr="00E76ECC">
        <w:rPr>
          <w:sz w:val="20"/>
          <w:szCs w:val="20"/>
          <w:lang w:val="fr-BE"/>
        </w:rPr>
        <w:t xml:space="preserve">, De Boeck en </w:t>
      </w:r>
      <w:proofErr w:type="spellStart"/>
      <w:r w:rsidRPr="00E76ECC">
        <w:rPr>
          <w:sz w:val="20"/>
          <w:szCs w:val="20"/>
          <w:lang w:val="fr-BE"/>
        </w:rPr>
        <w:t>Larcier</w:t>
      </w:r>
      <w:proofErr w:type="spellEnd"/>
      <w:r w:rsidRPr="00E76ECC">
        <w:rPr>
          <w:sz w:val="20"/>
          <w:szCs w:val="20"/>
          <w:lang w:val="fr-BE"/>
        </w:rPr>
        <w:t>, Brussel, 2005, 48.</w:t>
      </w:r>
    </w:p>
  </w:footnote>
  <w:footnote w:id="72">
    <w:p w:rsidR="001A0466" w:rsidRPr="00E76ECC" w:rsidRDefault="001A0466" w:rsidP="00E66F22">
      <w:pPr>
        <w:pStyle w:val="Voetnoottekst"/>
        <w:jc w:val="both"/>
        <w:rPr>
          <w:lang w:val="nl-BE" w:eastAsia="ja-JP"/>
        </w:rPr>
      </w:pPr>
      <w:r w:rsidRPr="00E76ECC">
        <w:rPr>
          <w:rStyle w:val="Voetnootmarkering"/>
        </w:rPr>
        <w:footnoteRef/>
      </w:r>
      <w:r w:rsidRPr="00E76ECC">
        <w:t xml:space="preserve"> E. </w:t>
      </w:r>
      <w:r w:rsidRPr="00E76ECC">
        <w:rPr>
          <w:rFonts w:eastAsia="Times New Roman"/>
          <w:smallCaps/>
          <w:color w:val="000000"/>
          <w:lang w:val="nl-BE" w:eastAsia="ja-JP"/>
        </w:rPr>
        <w:t xml:space="preserve">De </w:t>
      </w:r>
      <w:proofErr w:type="spellStart"/>
      <w:r w:rsidRPr="00E76ECC">
        <w:rPr>
          <w:rFonts w:eastAsia="Times New Roman"/>
          <w:smallCaps/>
          <w:color w:val="000000"/>
          <w:lang w:val="nl-BE" w:eastAsia="ja-JP"/>
        </w:rPr>
        <w:t>Keyser</w:t>
      </w:r>
      <w:proofErr w:type="spellEnd"/>
      <w:r w:rsidRPr="00E76ECC">
        <w:rPr>
          <w:rFonts w:eastAsia="Times New Roman"/>
          <w:smallCaps/>
          <w:color w:val="000000"/>
          <w:lang w:val="nl-BE" w:eastAsia="ja-JP"/>
        </w:rPr>
        <w:t xml:space="preserve">, </w:t>
      </w:r>
      <w:r w:rsidRPr="00E76ECC">
        <w:rPr>
          <w:rFonts w:eastAsia="Times New Roman"/>
          <w:color w:val="000000"/>
          <w:lang w:val="nl-BE" w:eastAsia="ja-JP"/>
        </w:rPr>
        <w:t xml:space="preserve"> “Respect voor het zelfbeschikkingsrecht van de patiënt: gevolgen voor de wet betreffende de euthanasie”, </w:t>
      </w:r>
      <w:proofErr w:type="spellStart"/>
      <w:r w:rsidRPr="00E76ECC">
        <w:rPr>
          <w:rFonts w:eastAsia="Times New Roman"/>
          <w:i/>
          <w:color w:val="000000"/>
          <w:lang w:val="nl-BE" w:eastAsia="ja-JP"/>
        </w:rPr>
        <w:t>T.Gez</w:t>
      </w:r>
      <w:proofErr w:type="spellEnd"/>
      <w:r w:rsidRPr="00E76ECC">
        <w:rPr>
          <w:rFonts w:eastAsia="Times New Roman"/>
          <w:i/>
          <w:color w:val="000000"/>
          <w:lang w:val="nl-BE" w:eastAsia="ja-JP"/>
        </w:rPr>
        <w:t>.</w:t>
      </w:r>
      <w:r w:rsidRPr="00E76ECC">
        <w:rPr>
          <w:rFonts w:eastAsia="Times New Roman"/>
          <w:color w:val="000000"/>
          <w:lang w:val="nl-BE" w:eastAsia="ja-JP"/>
        </w:rPr>
        <w:t xml:space="preserve"> 2005, afl. 5, 378; </w:t>
      </w:r>
      <w:r w:rsidRPr="00E76ECC">
        <w:rPr>
          <w:lang w:val="nl-BE" w:eastAsia="ja-JP"/>
        </w:rPr>
        <w:t xml:space="preserve">F. MORTIER, “Euthanasie bij minderjarigen”, in </w:t>
      </w:r>
      <w:r>
        <w:rPr>
          <w:lang w:val="nl-BE" w:eastAsia="ja-JP"/>
        </w:rPr>
        <w:t xml:space="preserve">M. </w:t>
      </w:r>
      <w:r>
        <w:rPr>
          <w:smallCaps/>
          <w:lang w:val="nl-BE"/>
        </w:rPr>
        <w:t xml:space="preserve">Adams, J. </w:t>
      </w:r>
      <w:proofErr w:type="spellStart"/>
      <w:r>
        <w:rPr>
          <w:smallCaps/>
          <w:lang w:val="nl-BE"/>
        </w:rPr>
        <w:t>Grifiths</w:t>
      </w:r>
      <w:proofErr w:type="spellEnd"/>
      <w:r>
        <w:rPr>
          <w:smallCaps/>
          <w:lang w:val="nl-BE"/>
        </w:rPr>
        <w:t xml:space="preserve"> </w:t>
      </w:r>
      <w:r w:rsidRPr="00E76ECC">
        <w:rPr>
          <w:lang w:val="nl-BE"/>
        </w:rPr>
        <w:t xml:space="preserve">en </w:t>
      </w:r>
      <w:r>
        <w:rPr>
          <w:lang w:val="nl-BE"/>
        </w:rPr>
        <w:t xml:space="preserve">G. </w:t>
      </w:r>
      <w:r>
        <w:rPr>
          <w:smallCaps/>
          <w:lang w:val="nl-BE"/>
        </w:rPr>
        <w:t xml:space="preserve">den </w:t>
      </w:r>
      <w:proofErr w:type="spellStart"/>
      <w:r>
        <w:rPr>
          <w:smallCaps/>
          <w:lang w:val="nl-BE"/>
        </w:rPr>
        <w:t>Hartogh</w:t>
      </w:r>
      <w:proofErr w:type="spellEnd"/>
      <w:r w:rsidRPr="00E76ECC">
        <w:rPr>
          <w:lang w:val="nl-BE"/>
        </w:rPr>
        <w:t xml:space="preserve"> (</w:t>
      </w:r>
      <w:proofErr w:type="spellStart"/>
      <w:r w:rsidRPr="00E76ECC">
        <w:rPr>
          <w:lang w:val="nl-BE"/>
        </w:rPr>
        <w:t>eds</w:t>
      </w:r>
      <w:proofErr w:type="spellEnd"/>
      <w:r w:rsidRPr="00E76ECC">
        <w:rPr>
          <w:lang w:val="nl-BE"/>
        </w:rPr>
        <w:t>.)</w:t>
      </w:r>
      <w:r w:rsidRPr="00E76ECC">
        <w:rPr>
          <w:lang w:val="nl-BE" w:eastAsia="ja-JP"/>
        </w:rPr>
        <w:t xml:space="preserve">, </w:t>
      </w:r>
      <w:r w:rsidRPr="00E76ECC">
        <w:rPr>
          <w:i/>
          <w:iCs/>
          <w:lang w:val="nl-BE" w:eastAsia="ja-JP"/>
        </w:rPr>
        <w:t>Euthanasie: Nieuwe knelpunten in een voortgezette discussie</w:t>
      </w:r>
      <w:r w:rsidRPr="00E76ECC">
        <w:rPr>
          <w:lang w:val="nl-BE" w:eastAsia="ja-JP"/>
        </w:rPr>
        <w:t>, Kampen, Kok, 2003, 200-201.</w:t>
      </w:r>
    </w:p>
  </w:footnote>
  <w:footnote w:id="73">
    <w:p w:rsidR="001A0466" w:rsidRPr="00E76ECC" w:rsidRDefault="001A0466" w:rsidP="00E66F22">
      <w:pPr>
        <w:jc w:val="both"/>
        <w:rPr>
          <w:sz w:val="20"/>
          <w:szCs w:val="20"/>
          <w:lang w:val="nl-BE"/>
        </w:rPr>
      </w:pPr>
      <w:r w:rsidRPr="00E76ECC">
        <w:rPr>
          <w:rStyle w:val="Voetnootmarkering"/>
          <w:sz w:val="20"/>
          <w:szCs w:val="20"/>
        </w:rPr>
        <w:footnoteRef/>
      </w:r>
      <w:r w:rsidRPr="00E76ECC">
        <w:rPr>
          <w:sz w:val="20"/>
          <w:szCs w:val="20"/>
        </w:rPr>
        <w:t xml:space="preserve"> M. </w:t>
      </w:r>
      <w:r>
        <w:rPr>
          <w:smallCaps/>
          <w:sz w:val="20"/>
          <w:szCs w:val="20"/>
          <w:lang w:val="nl-BE"/>
        </w:rPr>
        <w:t xml:space="preserve">De Hert, G. </w:t>
      </w:r>
      <w:proofErr w:type="spellStart"/>
      <w:r>
        <w:rPr>
          <w:smallCaps/>
          <w:sz w:val="20"/>
          <w:szCs w:val="20"/>
          <w:lang w:val="nl-BE"/>
        </w:rPr>
        <w:t>Magiels</w:t>
      </w:r>
      <w:proofErr w:type="spellEnd"/>
      <w:r>
        <w:rPr>
          <w:smallCaps/>
          <w:sz w:val="20"/>
          <w:szCs w:val="20"/>
          <w:lang w:val="nl-BE"/>
        </w:rPr>
        <w:t xml:space="preserve"> </w:t>
      </w:r>
      <w:r w:rsidRPr="005E2768">
        <w:rPr>
          <w:sz w:val="20"/>
          <w:szCs w:val="20"/>
          <w:lang w:val="nl-BE"/>
        </w:rPr>
        <w:t>en</w:t>
      </w:r>
      <w:r w:rsidRPr="00E76ECC">
        <w:rPr>
          <w:smallCaps/>
          <w:sz w:val="20"/>
          <w:szCs w:val="20"/>
          <w:lang w:val="nl-BE"/>
        </w:rPr>
        <w:t xml:space="preserve"> E. </w:t>
      </w:r>
      <w:proofErr w:type="spellStart"/>
      <w:r w:rsidRPr="00E76ECC">
        <w:rPr>
          <w:smallCaps/>
          <w:sz w:val="20"/>
          <w:szCs w:val="20"/>
          <w:lang w:val="nl-BE"/>
        </w:rPr>
        <w:t>Thys</w:t>
      </w:r>
      <w:proofErr w:type="spellEnd"/>
      <w:r w:rsidRPr="00E76ECC">
        <w:rPr>
          <w:smallCaps/>
          <w:sz w:val="20"/>
          <w:szCs w:val="20"/>
          <w:lang w:val="nl-BE"/>
        </w:rPr>
        <w:t xml:space="preserve">, </w:t>
      </w:r>
      <w:r w:rsidRPr="00E76ECC">
        <w:rPr>
          <w:i/>
          <w:sz w:val="20"/>
          <w:szCs w:val="20"/>
          <w:lang w:val="nl-BE"/>
        </w:rPr>
        <w:t>Over mijn lijf, Bijsluiter bij de wet over de rechten van de patiënt</w:t>
      </w:r>
      <w:r w:rsidRPr="00E76ECC">
        <w:rPr>
          <w:sz w:val="20"/>
          <w:szCs w:val="20"/>
          <w:lang w:val="nl-BE"/>
        </w:rPr>
        <w:t xml:space="preserve">, Antwerpen, Uitgeverij </w:t>
      </w:r>
      <w:proofErr w:type="spellStart"/>
      <w:r w:rsidRPr="00E76ECC">
        <w:rPr>
          <w:sz w:val="20"/>
          <w:szCs w:val="20"/>
          <w:lang w:val="nl-BE"/>
        </w:rPr>
        <w:t>Houtekiet</w:t>
      </w:r>
      <w:proofErr w:type="spellEnd"/>
      <w:r w:rsidRPr="00E76ECC">
        <w:rPr>
          <w:sz w:val="20"/>
          <w:szCs w:val="20"/>
          <w:lang w:val="nl-BE"/>
        </w:rPr>
        <w:t xml:space="preserve">, 2003, 92; </w:t>
      </w:r>
      <w:r w:rsidRPr="00E76ECC">
        <w:rPr>
          <w:smallCaps/>
          <w:sz w:val="20"/>
          <w:szCs w:val="20"/>
          <w:lang w:val="nl-BE"/>
        </w:rPr>
        <w:t xml:space="preserve">Y.H. </w:t>
      </w:r>
      <w:proofErr w:type="spellStart"/>
      <w:r w:rsidRPr="00E76ECC">
        <w:rPr>
          <w:smallCaps/>
          <w:sz w:val="20"/>
          <w:szCs w:val="20"/>
          <w:lang w:val="nl-BE"/>
        </w:rPr>
        <w:t>Lelieu</w:t>
      </w:r>
      <w:proofErr w:type="spellEnd"/>
      <w:r w:rsidRPr="00E76ECC">
        <w:rPr>
          <w:sz w:val="20"/>
          <w:szCs w:val="20"/>
          <w:lang w:val="nl-BE"/>
        </w:rPr>
        <w:t xml:space="preserve">, </w:t>
      </w:r>
      <w:proofErr w:type="spellStart"/>
      <w:r w:rsidRPr="00E76ECC">
        <w:rPr>
          <w:i/>
          <w:sz w:val="20"/>
          <w:szCs w:val="20"/>
          <w:lang w:val="nl-BE"/>
        </w:rPr>
        <w:t>Droit</w:t>
      </w:r>
      <w:proofErr w:type="spellEnd"/>
      <w:r w:rsidRPr="00E76ECC">
        <w:rPr>
          <w:i/>
          <w:sz w:val="20"/>
          <w:szCs w:val="20"/>
          <w:lang w:val="nl-BE"/>
        </w:rPr>
        <w:t xml:space="preserve"> </w:t>
      </w:r>
      <w:proofErr w:type="spellStart"/>
      <w:r w:rsidRPr="00E76ECC">
        <w:rPr>
          <w:i/>
          <w:sz w:val="20"/>
          <w:szCs w:val="20"/>
          <w:lang w:val="nl-BE"/>
        </w:rPr>
        <w:t>médical</w:t>
      </w:r>
      <w:proofErr w:type="spellEnd"/>
      <w:r w:rsidRPr="00E76ECC">
        <w:rPr>
          <w:sz w:val="20"/>
          <w:szCs w:val="20"/>
          <w:lang w:val="nl-BE"/>
        </w:rPr>
        <w:t xml:space="preserve">, De </w:t>
      </w:r>
      <w:proofErr w:type="spellStart"/>
      <w:r w:rsidRPr="00E76ECC">
        <w:rPr>
          <w:sz w:val="20"/>
          <w:szCs w:val="20"/>
          <w:lang w:val="nl-BE"/>
        </w:rPr>
        <w:t>Boeck</w:t>
      </w:r>
      <w:proofErr w:type="spellEnd"/>
      <w:r w:rsidRPr="00E76ECC">
        <w:rPr>
          <w:sz w:val="20"/>
          <w:szCs w:val="20"/>
          <w:lang w:val="nl-BE"/>
        </w:rPr>
        <w:t xml:space="preserve"> en </w:t>
      </w:r>
      <w:proofErr w:type="spellStart"/>
      <w:r w:rsidRPr="00E76ECC">
        <w:rPr>
          <w:sz w:val="20"/>
          <w:szCs w:val="20"/>
          <w:lang w:val="nl-BE"/>
        </w:rPr>
        <w:t>Larcier</w:t>
      </w:r>
      <w:proofErr w:type="spellEnd"/>
      <w:r w:rsidRPr="00E76ECC">
        <w:rPr>
          <w:sz w:val="20"/>
          <w:szCs w:val="20"/>
          <w:lang w:val="nl-BE"/>
        </w:rPr>
        <w:t>, Brussel, 2005, 48.</w:t>
      </w:r>
    </w:p>
  </w:footnote>
  <w:footnote w:id="74">
    <w:p w:rsidR="001A0466" w:rsidRPr="00E76ECC" w:rsidRDefault="001A0466" w:rsidP="00E66F22">
      <w:pPr>
        <w:jc w:val="both"/>
        <w:rPr>
          <w:sz w:val="20"/>
          <w:szCs w:val="20"/>
          <w:lang w:val="nl-BE"/>
        </w:rPr>
      </w:pPr>
      <w:r w:rsidRPr="00E76ECC">
        <w:rPr>
          <w:rStyle w:val="Voetnootmarkering"/>
          <w:sz w:val="20"/>
          <w:szCs w:val="20"/>
        </w:rPr>
        <w:footnoteRef/>
      </w:r>
      <w:r w:rsidRPr="00E76ECC">
        <w:rPr>
          <w:sz w:val="20"/>
          <w:szCs w:val="20"/>
        </w:rPr>
        <w:t xml:space="preserve"> M. </w:t>
      </w:r>
      <w:r>
        <w:rPr>
          <w:smallCaps/>
          <w:sz w:val="20"/>
          <w:szCs w:val="20"/>
          <w:lang w:val="nl-BE"/>
        </w:rPr>
        <w:t xml:space="preserve">De Hert, G. </w:t>
      </w:r>
      <w:proofErr w:type="spellStart"/>
      <w:r>
        <w:rPr>
          <w:smallCaps/>
          <w:sz w:val="20"/>
          <w:szCs w:val="20"/>
          <w:lang w:val="nl-BE"/>
        </w:rPr>
        <w:t>Magiels</w:t>
      </w:r>
      <w:proofErr w:type="spellEnd"/>
      <w:r>
        <w:rPr>
          <w:smallCaps/>
          <w:sz w:val="20"/>
          <w:szCs w:val="20"/>
          <w:lang w:val="nl-BE"/>
        </w:rPr>
        <w:t xml:space="preserve"> </w:t>
      </w:r>
      <w:r w:rsidRPr="005E2768">
        <w:rPr>
          <w:sz w:val="20"/>
          <w:szCs w:val="20"/>
          <w:lang w:val="nl-BE"/>
        </w:rPr>
        <w:t>en</w:t>
      </w:r>
      <w:r w:rsidRPr="00E76ECC">
        <w:rPr>
          <w:smallCaps/>
          <w:sz w:val="20"/>
          <w:szCs w:val="20"/>
          <w:lang w:val="nl-BE"/>
        </w:rPr>
        <w:t xml:space="preserve"> E. </w:t>
      </w:r>
      <w:proofErr w:type="spellStart"/>
      <w:r w:rsidRPr="00E76ECC">
        <w:rPr>
          <w:smallCaps/>
          <w:sz w:val="20"/>
          <w:szCs w:val="20"/>
          <w:lang w:val="nl-BE"/>
        </w:rPr>
        <w:t>Thys</w:t>
      </w:r>
      <w:proofErr w:type="spellEnd"/>
      <w:r w:rsidRPr="00E76ECC">
        <w:rPr>
          <w:smallCaps/>
          <w:sz w:val="20"/>
          <w:szCs w:val="20"/>
          <w:lang w:val="nl-BE"/>
        </w:rPr>
        <w:t xml:space="preserve">, </w:t>
      </w:r>
      <w:r w:rsidRPr="00E76ECC">
        <w:rPr>
          <w:i/>
          <w:sz w:val="20"/>
          <w:szCs w:val="20"/>
          <w:lang w:val="nl-BE"/>
        </w:rPr>
        <w:t>Over mijn lijf, Bijsluiter bij de wet over de rechten van de patiënt</w:t>
      </w:r>
      <w:r w:rsidRPr="00E76ECC">
        <w:rPr>
          <w:sz w:val="20"/>
          <w:szCs w:val="20"/>
          <w:lang w:val="nl-BE"/>
        </w:rPr>
        <w:t xml:space="preserve">, Antwerpen, Uitgeverij </w:t>
      </w:r>
      <w:proofErr w:type="spellStart"/>
      <w:r w:rsidRPr="00E76ECC">
        <w:rPr>
          <w:sz w:val="20"/>
          <w:szCs w:val="20"/>
          <w:lang w:val="nl-BE"/>
        </w:rPr>
        <w:t>Houtekiet</w:t>
      </w:r>
      <w:proofErr w:type="spellEnd"/>
      <w:r w:rsidRPr="00E76ECC">
        <w:rPr>
          <w:sz w:val="20"/>
          <w:szCs w:val="20"/>
          <w:lang w:val="nl-BE"/>
        </w:rPr>
        <w:t>, 2003, 92.</w:t>
      </w:r>
    </w:p>
  </w:footnote>
  <w:footnote w:id="75">
    <w:p w:rsidR="001A0466" w:rsidRPr="00E76ECC" w:rsidRDefault="001A0466" w:rsidP="00E66F22">
      <w:pPr>
        <w:jc w:val="both"/>
        <w:rPr>
          <w:sz w:val="20"/>
          <w:szCs w:val="20"/>
          <w:lang w:val="fr-BE"/>
        </w:rPr>
      </w:pPr>
      <w:r w:rsidRPr="00E76ECC">
        <w:rPr>
          <w:rStyle w:val="Voetnootmarkering"/>
          <w:sz w:val="20"/>
          <w:szCs w:val="20"/>
        </w:rPr>
        <w:footnoteRef/>
      </w:r>
      <w:r w:rsidRPr="00E76ECC">
        <w:rPr>
          <w:sz w:val="20"/>
          <w:szCs w:val="20"/>
          <w:lang w:val="fr-BE"/>
        </w:rPr>
        <w:t xml:space="preserve"> G. </w:t>
      </w:r>
      <w:proofErr w:type="spellStart"/>
      <w:r w:rsidRPr="00E76ECC">
        <w:rPr>
          <w:smallCaps/>
          <w:sz w:val="20"/>
          <w:szCs w:val="20"/>
          <w:lang w:val="fr-BE"/>
        </w:rPr>
        <w:t>Genicot</w:t>
      </w:r>
      <w:proofErr w:type="spellEnd"/>
      <w:r w:rsidRPr="00E76ECC">
        <w:rPr>
          <w:sz w:val="20"/>
          <w:szCs w:val="20"/>
          <w:lang w:val="fr-BE"/>
        </w:rPr>
        <w:t xml:space="preserve">, </w:t>
      </w:r>
      <w:r w:rsidRPr="00E76ECC">
        <w:rPr>
          <w:i/>
          <w:sz w:val="20"/>
          <w:szCs w:val="20"/>
          <w:lang w:val="fr-BE"/>
        </w:rPr>
        <w:t>Droit médical et biomédical</w:t>
      </w:r>
      <w:r w:rsidRPr="00E76ECC">
        <w:rPr>
          <w:sz w:val="20"/>
          <w:szCs w:val="20"/>
          <w:lang w:val="fr-BE"/>
        </w:rPr>
        <w:t xml:space="preserve">, Brussel, </w:t>
      </w:r>
      <w:proofErr w:type="spellStart"/>
      <w:r w:rsidRPr="00E76ECC">
        <w:rPr>
          <w:sz w:val="20"/>
          <w:szCs w:val="20"/>
          <w:lang w:val="fr-BE"/>
        </w:rPr>
        <w:t>Larcier</w:t>
      </w:r>
      <w:proofErr w:type="spellEnd"/>
      <w:r w:rsidRPr="00E76ECC">
        <w:rPr>
          <w:sz w:val="20"/>
          <w:szCs w:val="20"/>
          <w:lang w:val="fr-BE"/>
        </w:rPr>
        <w:t>, 2010, 662.</w:t>
      </w:r>
    </w:p>
  </w:footnote>
  <w:footnote w:id="76">
    <w:p w:rsidR="001A0466" w:rsidRPr="00E76ECC" w:rsidRDefault="001A0466" w:rsidP="00E66F22">
      <w:pPr>
        <w:pStyle w:val="Voetnoottekst"/>
        <w:jc w:val="both"/>
      </w:pPr>
      <w:r w:rsidRPr="00E76ECC">
        <w:rPr>
          <w:rStyle w:val="Voetnootmarkering"/>
        </w:rPr>
        <w:footnoteRef/>
      </w:r>
      <w:r w:rsidRPr="00E76ECC">
        <w:t xml:space="preserve"> </w:t>
      </w:r>
      <w:r w:rsidRPr="00E76ECC">
        <w:rPr>
          <w:lang w:val="nl-BE" w:eastAsia="ja-JP"/>
        </w:rPr>
        <w:t xml:space="preserve">Advies betreffende de </w:t>
      </w:r>
      <w:proofErr w:type="spellStart"/>
      <w:r w:rsidRPr="00E76ECC">
        <w:rPr>
          <w:lang w:val="nl-BE" w:eastAsia="ja-JP"/>
        </w:rPr>
        <w:t>palliatieve</w:t>
      </w:r>
      <w:proofErr w:type="spellEnd"/>
      <w:r w:rsidRPr="00E76ECC">
        <w:rPr>
          <w:lang w:val="nl-BE" w:eastAsia="ja-JP"/>
        </w:rPr>
        <w:t xml:space="preserve"> zorg, euthanasie en andere medische beslissingen omtrent het levenseinde, 22 maart 2003, </w:t>
      </w:r>
      <w:r w:rsidRPr="00E76ECC">
        <w:rPr>
          <w:i/>
          <w:iCs/>
          <w:lang w:val="nl-BE" w:eastAsia="ja-JP"/>
        </w:rPr>
        <w:t xml:space="preserve">Tijdschrift van de Nationale Raad, </w:t>
      </w:r>
      <w:r w:rsidRPr="00E76ECC">
        <w:rPr>
          <w:lang w:val="nl-BE" w:eastAsia="ja-JP"/>
        </w:rPr>
        <w:t xml:space="preserve">nr. 100, 5 en </w:t>
      </w:r>
      <w:r w:rsidRPr="00E76ECC">
        <w:rPr>
          <w:u w:val="single"/>
          <w:lang w:val="nl-BE" w:eastAsia="ja-JP"/>
        </w:rPr>
        <w:t>www.ordomedic.be/nl/adviezen/advies/advies-betreffende-palliatieve-zorg-euthanasie-en-andere-medische-beslissingen-omtrent-het-levenseinde</w:t>
      </w:r>
      <w:r w:rsidRPr="00E76ECC">
        <w:rPr>
          <w:lang w:val="nl-BE" w:eastAsia="ja-JP"/>
        </w:rPr>
        <w:t>.</w:t>
      </w:r>
    </w:p>
  </w:footnote>
  <w:footnote w:id="77">
    <w:p w:rsidR="001A0466" w:rsidRPr="00E76ECC" w:rsidRDefault="001A0466" w:rsidP="00E66F22">
      <w:pPr>
        <w:jc w:val="both"/>
        <w:rPr>
          <w:sz w:val="20"/>
          <w:szCs w:val="20"/>
          <w:lang w:val="nl-BE"/>
        </w:rPr>
      </w:pPr>
      <w:r w:rsidRPr="00E76ECC">
        <w:rPr>
          <w:rStyle w:val="Voetnootmarkering"/>
          <w:sz w:val="20"/>
          <w:szCs w:val="20"/>
        </w:rPr>
        <w:footnoteRef/>
      </w:r>
      <w:r w:rsidRPr="00E76ECC">
        <w:rPr>
          <w:sz w:val="20"/>
          <w:szCs w:val="20"/>
        </w:rPr>
        <w:t xml:space="preserve"> G. </w:t>
      </w:r>
      <w:proofErr w:type="spellStart"/>
      <w:r w:rsidRPr="00E76ECC">
        <w:rPr>
          <w:smallCaps/>
          <w:sz w:val="20"/>
          <w:szCs w:val="20"/>
          <w:lang w:val="nl-BE" w:eastAsia="ja-JP"/>
        </w:rPr>
        <w:t>Pousset</w:t>
      </w:r>
      <w:proofErr w:type="spellEnd"/>
      <w:r w:rsidRPr="00E76ECC">
        <w:rPr>
          <w:smallCaps/>
          <w:sz w:val="20"/>
          <w:szCs w:val="20"/>
          <w:lang w:val="nl-BE" w:eastAsia="ja-JP"/>
        </w:rPr>
        <w:t xml:space="preserve">, J. </w:t>
      </w:r>
      <w:proofErr w:type="spellStart"/>
      <w:r w:rsidRPr="00E76ECC">
        <w:rPr>
          <w:smallCaps/>
          <w:sz w:val="20"/>
          <w:szCs w:val="20"/>
          <w:lang w:val="nl-BE" w:eastAsia="ja-JP"/>
        </w:rPr>
        <w:t>Bilsen</w:t>
      </w:r>
      <w:proofErr w:type="spellEnd"/>
      <w:r w:rsidRPr="00E76ECC">
        <w:rPr>
          <w:smallCaps/>
          <w:sz w:val="20"/>
          <w:szCs w:val="20"/>
          <w:lang w:val="nl-BE" w:eastAsia="ja-JP"/>
        </w:rPr>
        <w:t xml:space="preserve">, J. De Wilde, L. </w:t>
      </w:r>
      <w:proofErr w:type="spellStart"/>
      <w:r w:rsidRPr="00E76ECC">
        <w:rPr>
          <w:smallCaps/>
          <w:sz w:val="20"/>
          <w:szCs w:val="20"/>
          <w:lang w:val="nl-BE" w:eastAsia="ja-JP"/>
        </w:rPr>
        <w:t>Deliens</w:t>
      </w:r>
      <w:proofErr w:type="spellEnd"/>
      <w:r>
        <w:rPr>
          <w:smallCaps/>
          <w:sz w:val="20"/>
          <w:szCs w:val="20"/>
          <w:lang w:val="nl-BE" w:eastAsia="ja-JP"/>
        </w:rPr>
        <w:t xml:space="preserve"> </w:t>
      </w:r>
      <w:r w:rsidRPr="005E2768">
        <w:rPr>
          <w:sz w:val="20"/>
          <w:szCs w:val="20"/>
          <w:lang w:val="nl-BE" w:eastAsia="ja-JP"/>
        </w:rPr>
        <w:t xml:space="preserve">en </w:t>
      </w:r>
      <w:r w:rsidRPr="00E76ECC">
        <w:rPr>
          <w:smallCaps/>
          <w:sz w:val="20"/>
          <w:szCs w:val="20"/>
          <w:lang w:val="nl-BE" w:eastAsia="ja-JP"/>
        </w:rPr>
        <w:t xml:space="preserve">F. Mortier, </w:t>
      </w:r>
      <w:r w:rsidRPr="00E76ECC">
        <w:rPr>
          <w:sz w:val="20"/>
          <w:szCs w:val="20"/>
          <w:lang w:val="nl-BE" w:eastAsia="ja-JP"/>
        </w:rPr>
        <w:t xml:space="preserve">“Houding van Vlaamse leerlingen uit het secundair onderwijs ten opzichte van euthanasie en andere beslissingen aan het levenseinde bij minderjarigen.”, </w:t>
      </w:r>
      <w:r w:rsidRPr="00E76ECC">
        <w:rPr>
          <w:i/>
          <w:sz w:val="20"/>
          <w:szCs w:val="20"/>
          <w:lang w:val="nl-BE" w:eastAsia="ja-JP"/>
        </w:rPr>
        <w:t>TJK</w:t>
      </w:r>
      <w:r w:rsidRPr="00E76ECC">
        <w:rPr>
          <w:sz w:val="20"/>
          <w:szCs w:val="20"/>
          <w:lang w:val="nl-BE" w:eastAsia="ja-JP"/>
        </w:rPr>
        <w:t xml:space="preserve"> 2009, afl. 4, 282. Artikel 8§4 Wet Patiëntenrechten staat dit toe, zie </w:t>
      </w:r>
      <w:r w:rsidRPr="00E76ECC">
        <w:rPr>
          <w:smallCaps/>
          <w:sz w:val="20"/>
          <w:szCs w:val="20"/>
          <w:lang w:val="nl-BE"/>
        </w:rPr>
        <w:t xml:space="preserve">Y.H. </w:t>
      </w:r>
      <w:proofErr w:type="spellStart"/>
      <w:r w:rsidRPr="00E76ECC">
        <w:rPr>
          <w:smallCaps/>
          <w:sz w:val="20"/>
          <w:szCs w:val="20"/>
          <w:lang w:val="nl-BE"/>
        </w:rPr>
        <w:t>Lelieu</w:t>
      </w:r>
      <w:proofErr w:type="spellEnd"/>
      <w:r w:rsidRPr="00E76ECC">
        <w:rPr>
          <w:sz w:val="20"/>
          <w:szCs w:val="20"/>
          <w:lang w:val="nl-BE"/>
        </w:rPr>
        <w:t xml:space="preserve">, </w:t>
      </w:r>
      <w:proofErr w:type="spellStart"/>
      <w:r w:rsidRPr="00E76ECC">
        <w:rPr>
          <w:i/>
          <w:sz w:val="20"/>
          <w:szCs w:val="20"/>
          <w:lang w:val="nl-BE"/>
        </w:rPr>
        <w:t>Droit</w:t>
      </w:r>
      <w:proofErr w:type="spellEnd"/>
      <w:r w:rsidRPr="00E76ECC">
        <w:rPr>
          <w:i/>
          <w:sz w:val="20"/>
          <w:szCs w:val="20"/>
          <w:lang w:val="nl-BE"/>
        </w:rPr>
        <w:t xml:space="preserve"> </w:t>
      </w:r>
      <w:proofErr w:type="spellStart"/>
      <w:r w:rsidRPr="00E76ECC">
        <w:rPr>
          <w:i/>
          <w:sz w:val="20"/>
          <w:szCs w:val="20"/>
          <w:lang w:val="nl-BE"/>
        </w:rPr>
        <w:t>médical</w:t>
      </w:r>
      <w:proofErr w:type="spellEnd"/>
      <w:r w:rsidRPr="00E76ECC">
        <w:rPr>
          <w:sz w:val="20"/>
          <w:szCs w:val="20"/>
          <w:lang w:val="nl-BE"/>
        </w:rPr>
        <w:t xml:space="preserve">, De </w:t>
      </w:r>
      <w:proofErr w:type="spellStart"/>
      <w:r w:rsidRPr="00E76ECC">
        <w:rPr>
          <w:sz w:val="20"/>
          <w:szCs w:val="20"/>
          <w:lang w:val="nl-BE"/>
        </w:rPr>
        <w:t>Boeck</w:t>
      </w:r>
      <w:proofErr w:type="spellEnd"/>
      <w:r w:rsidRPr="00E76ECC">
        <w:rPr>
          <w:sz w:val="20"/>
          <w:szCs w:val="20"/>
          <w:lang w:val="nl-BE"/>
        </w:rPr>
        <w:t xml:space="preserve"> en </w:t>
      </w:r>
      <w:proofErr w:type="spellStart"/>
      <w:r w:rsidRPr="00E76ECC">
        <w:rPr>
          <w:sz w:val="20"/>
          <w:szCs w:val="20"/>
          <w:lang w:val="nl-BE"/>
        </w:rPr>
        <w:t>Larcier</w:t>
      </w:r>
      <w:proofErr w:type="spellEnd"/>
      <w:r w:rsidRPr="00E76ECC">
        <w:rPr>
          <w:sz w:val="20"/>
          <w:szCs w:val="20"/>
          <w:lang w:val="nl-BE"/>
        </w:rPr>
        <w:t>, Brussel, 2005, 33.</w:t>
      </w:r>
    </w:p>
  </w:footnote>
  <w:footnote w:id="78">
    <w:p w:rsidR="001A0466" w:rsidRPr="00E76ECC" w:rsidRDefault="001A0466" w:rsidP="00E66F22">
      <w:pPr>
        <w:jc w:val="both"/>
        <w:rPr>
          <w:sz w:val="20"/>
          <w:szCs w:val="20"/>
          <w:lang w:val="fr-BE"/>
        </w:rPr>
      </w:pPr>
      <w:r w:rsidRPr="00E76ECC">
        <w:rPr>
          <w:rStyle w:val="Voetnootmarkering"/>
          <w:sz w:val="20"/>
          <w:szCs w:val="20"/>
        </w:rPr>
        <w:footnoteRef/>
      </w:r>
      <w:r w:rsidRPr="00E76ECC">
        <w:rPr>
          <w:sz w:val="20"/>
          <w:szCs w:val="20"/>
          <w:lang w:val="fr-BE"/>
        </w:rPr>
        <w:t xml:space="preserve"> </w:t>
      </w:r>
      <w:r w:rsidRPr="00E76ECC">
        <w:rPr>
          <w:smallCaps/>
          <w:sz w:val="20"/>
          <w:szCs w:val="20"/>
          <w:lang w:val="fr-BE"/>
        </w:rPr>
        <w:t xml:space="preserve">Y.H. </w:t>
      </w:r>
      <w:proofErr w:type="spellStart"/>
      <w:r w:rsidRPr="00E76ECC">
        <w:rPr>
          <w:smallCaps/>
          <w:sz w:val="20"/>
          <w:szCs w:val="20"/>
          <w:lang w:val="fr-BE"/>
        </w:rPr>
        <w:t>Lelieu</w:t>
      </w:r>
      <w:proofErr w:type="spellEnd"/>
      <w:r w:rsidRPr="00E76ECC">
        <w:rPr>
          <w:sz w:val="20"/>
          <w:szCs w:val="20"/>
          <w:lang w:val="fr-BE"/>
        </w:rPr>
        <w:t xml:space="preserve">, </w:t>
      </w:r>
      <w:r w:rsidRPr="00E76ECC">
        <w:rPr>
          <w:i/>
          <w:sz w:val="20"/>
          <w:szCs w:val="20"/>
          <w:lang w:val="fr-BE"/>
        </w:rPr>
        <w:t>Droit médical</w:t>
      </w:r>
      <w:r w:rsidRPr="00E76ECC">
        <w:rPr>
          <w:sz w:val="20"/>
          <w:szCs w:val="20"/>
          <w:lang w:val="fr-BE"/>
        </w:rPr>
        <w:t xml:space="preserve">, De Boeck en </w:t>
      </w:r>
      <w:proofErr w:type="spellStart"/>
      <w:r w:rsidRPr="00E76ECC">
        <w:rPr>
          <w:sz w:val="20"/>
          <w:szCs w:val="20"/>
          <w:lang w:val="fr-BE"/>
        </w:rPr>
        <w:t>Larcier</w:t>
      </w:r>
      <w:proofErr w:type="spellEnd"/>
      <w:r w:rsidRPr="00E76ECC">
        <w:rPr>
          <w:sz w:val="20"/>
          <w:szCs w:val="20"/>
          <w:lang w:val="fr-BE"/>
        </w:rPr>
        <w:t>, Brussel, 2005, 49.</w:t>
      </w:r>
    </w:p>
  </w:footnote>
  <w:footnote w:id="79">
    <w:p w:rsidR="001A0466" w:rsidRPr="00E76ECC" w:rsidRDefault="001A0466" w:rsidP="00E66F22">
      <w:pPr>
        <w:jc w:val="both"/>
        <w:rPr>
          <w:sz w:val="20"/>
          <w:szCs w:val="20"/>
          <w:lang w:val="fr-BE"/>
        </w:rPr>
      </w:pPr>
      <w:r w:rsidRPr="00E76ECC">
        <w:rPr>
          <w:rStyle w:val="Voetnootmarkering"/>
          <w:sz w:val="20"/>
          <w:szCs w:val="20"/>
        </w:rPr>
        <w:footnoteRef/>
      </w:r>
      <w:r w:rsidRPr="00E76ECC">
        <w:rPr>
          <w:sz w:val="20"/>
          <w:szCs w:val="20"/>
          <w:lang w:val="fr-BE"/>
        </w:rPr>
        <w:t xml:space="preserve"> </w:t>
      </w:r>
      <w:r w:rsidRPr="00E76ECC">
        <w:rPr>
          <w:smallCaps/>
          <w:sz w:val="20"/>
          <w:szCs w:val="20"/>
          <w:lang w:val="fr-BE"/>
        </w:rPr>
        <w:t xml:space="preserve">Y.H. </w:t>
      </w:r>
      <w:proofErr w:type="spellStart"/>
      <w:r w:rsidRPr="00E76ECC">
        <w:rPr>
          <w:smallCaps/>
          <w:sz w:val="20"/>
          <w:szCs w:val="20"/>
          <w:lang w:val="fr-BE"/>
        </w:rPr>
        <w:t>Lelieu</w:t>
      </w:r>
      <w:proofErr w:type="spellEnd"/>
      <w:r w:rsidRPr="00E76ECC">
        <w:rPr>
          <w:sz w:val="20"/>
          <w:szCs w:val="20"/>
          <w:lang w:val="fr-BE"/>
        </w:rPr>
        <w:t xml:space="preserve">, </w:t>
      </w:r>
      <w:r w:rsidRPr="00E76ECC">
        <w:rPr>
          <w:i/>
          <w:sz w:val="20"/>
          <w:szCs w:val="20"/>
          <w:lang w:val="fr-BE"/>
        </w:rPr>
        <w:t>Droit médical</w:t>
      </w:r>
      <w:r w:rsidRPr="00E76ECC">
        <w:rPr>
          <w:sz w:val="20"/>
          <w:szCs w:val="20"/>
          <w:lang w:val="fr-BE"/>
        </w:rPr>
        <w:t xml:space="preserve">, De Boeck en </w:t>
      </w:r>
      <w:proofErr w:type="spellStart"/>
      <w:r w:rsidRPr="00E76ECC">
        <w:rPr>
          <w:sz w:val="20"/>
          <w:szCs w:val="20"/>
          <w:lang w:val="fr-BE"/>
        </w:rPr>
        <w:t>Larcier</w:t>
      </w:r>
      <w:proofErr w:type="spellEnd"/>
      <w:r w:rsidRPr="00E76ECC">
        <w:rPr>
          <w:sz w:val="20"/>
          <w:szCs w:val="20"/>
          <w:lang w:val="fr-BE"/>
        </w:rPr>
        <w:t>, Brussel, 2005, 49.</w:t>
      </w:r>
    </w:p>
  </w:footnote>
  <w:footnote w:id="80">
    <w:p w:rsidR="001A0466" w:rsidRPr="00E76ECC" w:rsidRDefault="001A0466" w:rsidP="00E66F22">
      <w:pPr>
        <w:pStyle w:val="Voetnoottekst"/>
        <w:jc w:val="both"/>
      </w:pPr>
      <w:r w:rsidRPr="00E76ECC">
        <w:rPr>
          <w:rStyle w:val="Voetnootmarkering"/>
        </w:rPr>
        <w:footnoteRef/>
      </w:r>
      <w:r w:rsidRPr="00E76ECC">
        <w:t xml:space="preserve"> G. </w:t>
      </w:r>
      <w:proofErr w:type="spellStart"/>
      <w:r w:rsidRPr="00E76ECC">
        <w:rPr>
          <w:smallCaps/>
          <w:lang w:val="nl-BE" w:eastAsia="ja-JP"/>
        </w:rPr>
        <w:t>Pousset</w:t>
      </w:r>
      <w:proofErr w:type="spellEnd"/>
      <w:r w:rsidRPr="00E76ECC">
        <w:rPr>
          <w:smallCaps/>
          <w:lang w:val="nl-BE" w:eastAsia="ja-JP"/>
        </w:rPr>
        <w:t xml:space="preserve">, J. </w:t>
      </w:r>
      <w:proofErr w:type="spellStart"/>
      <w:r>
        <w:rPr>
          <w:smallCaps/>
          <w:lang w:val="nl-BE" w:eastAsia="ja-JP"/>
        </w:rPr>
        <w:t>Bilsen</w:t>
      </w:r>
      <w:proofErr w:type="spellEnd"/>
      <w:r>
        <w:rPr>
          <w:smallCaps/>
          <w:lang w:val="nl-BE" w:eastAsia="ja-JP"/>
        </w:rPr>
        <w:t xml:space="preserve">, J. De Wilde, L. </w:t>
      </w:r>
      <w:proofErr w:type="spellStart"/>
      <w:r>
        <w:rPr>
          <w:smallCaps/>
          <w:lang w:val="nl-BE" w:eastAsia="ja-JP"/>
        </w:rPr>
        <w:t>Deliens</w:t>
      </w:r>
      <w:proofErr w:type="spellEnd"/>
      <w:r>
        <w:rPr>
          <w:smallCaps/>
          <w:lang w:val="nl-BE" w:eastAsia="ja-JP"/>
        </w:rPr>
        <w:t xml:space="preserve"> </w:t>
      </w:r>
      <w:r w:rsidRPr="005E2768">
        <w:rPr>
          <w:lang w:val="nl-BE" w:eastAsia="ja-JP"/>
        </w:rPr>
        <w:t>en</w:t>
      </w:r>
      <w:r w:rsidRPr="00E76ECC">
        <w:rPr>
          <w:smallCaps/>
          <w:lang w:val="nl-BE" w:eastAsia="ja-JP"/>
        </w:rPr>
        <w:t xml:space="preserve"> F. Mortier, </w:t>
      </w:r>
      <w:r w:rsidRPr="00E76ECC">
        <w:rPr>
          <w:lang w:val="nl-BE" w:eastAsia="ja-JP"/>
        </w:rPr>
        <w:t xml:space="preserve">“Houding van Vlaamse leerlingen uit het secundair onderwijs ten opzichte van euthanasie en andere beslissingen aan het levenseinde bij minderjarigen.”, </w:t>
      </w:r>
      <w:r w:rsidRPr="00E76ECC">
        <w:rPr>
          <w:i/>
          <w:lang w:val="nl-BE" w:eastAsia="ja-JP"/>
        </w:rPr>
        <w:t>TJK</w:t>
      </w:r>
      <w:r w:rsidRPr="00E76ECC">
        <w:rPr>
          <w:lang w:val="nl-BE" w:eastAsia="ja-JP"/>
        </w:rPr>
        <w:t xml:space="preserve"> 2009, afl. 4, 283.</w:t>
      </w:r>
    </w:p>
  </w:footnote>
  <w:footnote w:id="81">
    <w:p w:rsidR="001A0466" w:rsidRPr="00E76ECC" w:rsidRDefault="001A0466" w:rsidP="00E66F22">
      <w:pPr>
        <w:autoSpaceDE w:val="0"/>
        <w:autoSpaceDN w:val="0"/>
        <w:adjustRightInd w:val="0"/>
        <w:jc w:val="both"/>
        <w:rPr>
          <w:sz w:val="20"/>
          <w:szCs w:val="20"/>
          <w:u w:val="single"/>
          <w:lang w:val="nl-BE" w:eastAsia="ja-JP"/>
        </w:rPr>
      </w:pPr>
      <w:r w:rsidRPr="00E76ECC">
        <w:rPr>
          <w:rStyle w:val="Voetnootmarkering"/>
          <w:sz w:val="20"/>
          <w:szCs w:val="20"/>
        </w:rPr>
        <w:footnoteRef/>
      </w:r>
      <w:r w:rsidRPr="00E76ECC">
        <w:rPr>
          <w:sz w:val="20"/>
          <w:szCs w:val="20"/>
          <w:lang w:val="nl-BE" w:eastAsia="ja-JP"/>
        </w:rPr>
        <w:t xml:space="preserve">Advies betreffende de </w:t>
      </w:r>
      <w:proofErr w:type="spellStart"/>
      <w:r w:rsidRPr="00E76ECC">
        <w:rPr>
          <w:sz w:val="20"/>
          <w:szCs w:val="20"/>
          <w:lang w:val="nl-BE" w:eastAsia="ja-JP"/>
        </w:rPr>
        <w:t>palliatieve</w:t>
      </w:r>
      <w:proofErr w:type="spellEnd"/>
      <w:r w:rsidRPr="00E76ECC">
        <w:rPr>
          <w:sz w:val="20"/>
          <w:szCs w:val="20"/>
          <w:lang w:val="nl-BE" w:eastAsia="ja-JP"/>
        </w:rPr>
        <w:t xml:space="preserve"> zorg, euthanasie en andere medische beslissingen omtrent het levenseinde, 22 maart 2003, </w:t>
      </w:r>
      <w:r w:rsidRPr="00E76ECC">
        <w:rPr>
          <w:i/>
          <w:iCs/>
          <w:sz w:val="20"/>
          <w:szCs w:val="20"/>
          <w:lang w:val="nl-BE" w:eastAsia="ja-JP"/>
        </w:rPr>
        <w:t xml:space="preserve">Tijdschrift van de Nationale Raad, </w:t>
      </w:r>
      <w:r w:rsidRPr="00E76ECC">
        <w:rPr>
          <w:sz w:val="20"/>
          <w:szCs w:val="20"/>
          <w:lang w:val="nl-BE" w:eastAsia="ja-JP"/>
        </w:rPr>
        <w:t xml:space="preserve">nr. 100, 5 en </w:t>
      </w:r>
      <w:r w:rsidRPr="00E76ECC">
        <w:rPr>
          <w:sz w:val="20"/>
          <w:szCs w:val="20"/>
          <w:u w:val="single"/>
          <w:lang w:val="nl-BE" w:eastAsia="ja-JP"/>
        </w:rPr>
        <w:t>www.ordomedic.be/nl/adviezen/advies/advies-betreffende-palliatieve-zorg-euthanasie-en-andere-medische-beslissingen-omtrent-het-levenseinde</w:t>
      </w:r>
      <w:r w:rsidRPr="00E76ECC">
        <w:rPr>
          <w:sz w:val="20"/>
          <w:szCs w:val="20"/>
          <w:lang w:val="nl-BE" w:eastAsia="ja-JP"/>
        </w:rPr>
        <w:t xml:space="preserve">, zie </w:t>
      </w:r>
      <w:proofErr w:type="spellStart"/>
      <w:r w:rsidRPr="00E76ECC">
        <w:rPr>
          <w:i/>
          <w:sz w:val="20"/>
          <w:szCs w:val="20"/>
          <w:lang w:val="nl-BE" w:eastAsia="ja-JP"/>
        </w:rPr>
        <w:t>supra</w:t>
      </w:r>
      <w:proofErr w:type="spellEnd"/>
      <w:r w:rsidRPr="00E76ECC">
        <w:rPr>
          <w:sz w:val="20"/>
          <w:szCs w:val="20"/>
          <w:lang w:val="nl-BE" w:eastAsia="ja-JP"/>
        </w:rPr>
        <w:t>.</w:t>
      </w:r>
    </w:p>
  </w:footnote>
  <w:footnote w:id="82">
    <w:p w:rsidR="001A0466" w:rsidRPr="00E76ECC" w:rsidRDefault="001A0466" w:rsidP="001C4926">
      <w:pPr>
        <w:pStyle w:val="Voetnoottekst"/>
        <w:jc w:val="both"/>
        <w:rPr>
          <w:lang w:val="nl-BE"/>
        </w:rPr>
      </w:pPr>
      <w:r w:rsidRPr="00E76ECC">
        <w:rPr>
          <w:rStyle w:val="Voetnootmarkering"/>
        </w:rPr>
        <w:footnoteRef/>
      </w:r>
      <w:r w:rsidRPr="00E76ECC">
        <w:t xml:space="preserve"> Zie ook </w:t>
      </w:r>
      <w:r w:rsidRPr="00E76ECC">
        <w:rPr>
          <w:rFonts w:eastAsia="Times New Roman"/>
          <w:color w:val="000000"/>
          <w:lang w:val="nl-BE" w:eastAsia="ja-JP"/>
        </w:rPr>
        <w:t xml:space="preserve">KINDERRECHTENCOMMISARIAAT, “Advies: Euthanasie en Minderjarigen bij het wetsvoorstel betreffende de euthanasie”, </w:t>
      </w:r>
      <w:r w:rsidRPr="00E76ECC">
        <w:rPr>
          <w:rFonts w:eastAsia="Times New Roman"/>
          <w:color w:val="000000"/>
          <w:u w:val="single"/>
          <w:lang w:val="nl-BE" w:eastAsia="ja-JP"/>
        </w:rPr>
        <w:t xml:space="preserve">http://www.kinderrechten.be/IUSR/adviezen//Adviezen_pdf/2001_2002/2001-2002_8_Euthanasie_en_minderjarigen_pdf.pdf, </w:t>
      </w:r>
      <w:r w:rsidRPr="00E76ECC">
        <w:rPr>
          <w:rFonts w:eastAsia="Times New Roman"/>
          <w:color w:val="000000"/>
          <w:lang w:val="nl-BE" w:eastAsia="ja-JP"/>
        </w:rPr>
        <w:t>5.</w:t>
      </w:r>
    </w:p>
  </w:footnote>
  <w:footnote w:id="83">
    <w:p w:rsidR="001A0466" w:rsidRPr="00E76ECC" w:rsidRDefault="001A0466" w:rsidP="00E66F22">
      <w:pPr>
        <w:jc w:val="both"/>
        <w:rPr>
          <w:sz w:val="20"/>
          <w:szCs w:val="20"/>
          <w:lang w:val="nl-BE"/>
        </w:rPr>
      </w:pPr>
      <w:r w:rsidRPr="00E76ECC">
        <w:rPr>
          <w:rStyle w:val="Voetnootmarkering"/>
          <w:sz w:val="20"/>
          <w:szCs w:val="20"/>
        </w:rPr>
        <w:footnoteRef/>
      </w:r>
      <w:r w:rsidRPr="00E76ECC">
        <w:rPr>
          <w:sz w:val="20"/>
          <w:szCs w:val="20"/>
        </w:rPr>
        <w:t xml:space="preserve">E. </w:t>
      </w:r>
      <w:r w:rsidRPr="00E76ECC">
        <w:rPr>
          <w:rFonts w:eastAsia="Times New Roman"/>
          <w:smallCaps/>
          <w:color w:val="000000"/>
          <w:sz w:val="20"/>
          <w:szCs w:val="20"/>
          <w:lang w:val="nl-BE" w:eastAsia="ja-JP"/>
        </w:rPr>
        <w:t xml:space="preserve">De </w:t>
      </w:r>
      <w:proofErr w:type="spellStart"/>
      <w:r w:rsidRPr="00E76ECC">
        <w:rPr>
          <w:rFonts w:eastAsia="Times New Roman"/>
          <w:smallCaps/>
          <w:color w:val="000000"/>
          <w:sz w:val="20"/>
          <w:szCs w:val="20"/>
          <w:lang w:val="nl-BE" w:eastAsia="ja-JP"/>
        </w:rPr>
        <w:t>Keyser</w:t>
      </w:r>
      <w:proofErr w:type="spellEnd"/>
      <w:r w:rsidRPr="00E76ECC">
        <w:rPr>
          <w:rFonts w:eastAsia="Times New Roman"/>
          <w:smallCaps/>
          <w:color w:val="000000"/>
          <w:sz w:val="20"/>
          <w:szCs w:val="20"/>
          <w:lang w:val="nl-BE" w:eastAsia="ja-JP"/>
        </w:rPr>
        <w:t xml:space="preserve">, </w:t>
      </w:r>
      <w:r w:rsidRPr="00E76ECC">
        <w:rPr>
          <w:rFonts w:eastAsia="Times New Roman"/>
          <w:color w:val="000000"/>
          <w:sz w:val="20"/>
          <w:szCs w:val="20"/>
          <w:lang w:val="nl-BE" w:eastAsia="ja-JP"/>
        </w:rPr>
        <w:t xml:space="preserve"> “Respect voor het zelfbeschikkingsrecht van de patiënt: gevolgen voor de wet betreffende de euthanasie”, </w:t>
      </w:r>
      <w:proofErr w:type="spellStart"/>
      <w:r w:rsidRPr="00E76ECC">
        <w:rPr>
          <w:rFonts w:eastAsia="Times New Roman"/>
          <w:i/>
          <w:color w:val="000000"/>
          <w:sz w:val="20"/>
          <w:szCs w:val="20"/>
          <w:lang w:val="nl-BE" w:eastAsia="ja-JP"/>
        </w:rPr>
        <w:t>T.Gez</w:t>
      </w:r>
      <w:proofErr w:type="spellEnd"/>
      <w:r w:rsidRPr="00E76ECC">
        <w:rPr>
          <w:rFonts w:eastAsia="Times New Roman"/>
          <w:i/>
          <w:color w:val="000000"/>
          <w:sz w:val="20"/>
          <w:szCs w:val="20"/>
          <w:lang w:val="nl-BE" w:eastAsia="ja-JP"/>
        </w:rPr>
        <w:t>.</w:t>
      </w:r>
      <w:r w:rsidRPr="00E76ECC">
        <w:rPr>
          <w:rFonts w:eastAsia="Times New Roman"/>
          <w:color w:val="000000"/>
          <w:sz w:val="20"/>
          <w:szCs w:val="20"/>
          <w:lang w:val="nl-BE" w:eastAsia="ja-JP"/>
        </w:rPr>
        <w:t xml:space="preserve"> 2005, afl. 5, 380; </w:t>
      </w:r>
      <w:r w:rsidRPr="00E76ECC">
        <w:rPr>
          <w:sz w:val="20"/>
          <w:szCs w:val="20"/>
          <w:lang w:val="nl-BE"/>
        </w:rPr>
        <w:t xml:space="preserve">H. </w:t>
      </w:r>
      <w:proofErr w:type="spellStart"/>
      <w:r w:rsidRPr="00E76ECC">
        <w:rPr>
          <w:sz w:val="20"/>
          <w:szCs w:val="20"/>
          <w:lang w:val="nl-BE"/>
        </w:rPr>
        <w:t>N</w:t>
      </w:r>
      <w:r w:rsidRPr="00E76ECC">
        <w:rPr>
          <w:smallCaps/>
          <w:sz w:val="20"/>
          <w:szCs w:val="20"/>
          <w:lang w:val="nl-BE"/>
        </w:rPr>
        <w:t>ys</w:t>
      </w:r>
      <w:proofErr w:type="spellEnd"/>
      <w:r w:rsidRPr="00E76ECC">
        <w:rPr>
          <w:sz w:val="20"/>
          <w:szCs w:val="20"/>
          <w:lang w:val="nl-BE"/>
        </w:rPr>
        <w:t xml:space="preserve">, “Euthanasie bij kinderen naar Belgisch recht”, </w:t>
      </w:r>
      <w:r w:rsidRPr="00E76ECC">
        <w:rPr>
          <w:i/>
          <w:sz w:val="20"/>
          <w:szCs w:val="20"/>
          <w:lang w:val="nl-BE"/>
        </w:rPr>
        <w:t>TJK</w:t>
      </w:r>
      <w:r w:rsidRPr="00E76ECC">
        <w:rPr>
          <w:sz w:val="20"/>
          <w:szCs w:val="20"/>
          <w:lang w:val="nl-BE"/>
        </w:rPr>
        <w:t xml:space="preserve"> 2009, afl. 4, 281; F. </w:t>
      </w:r>
      <w:r w:rsidRPr="00E76ECC">
        <w:rPr>
          <w:smallCaps/>
          <w:sz w:val="20"/>
          <w:szCs w:val="20"/>
          <w:lang w:val="nl-BE"/>
        </w:rPr>
        <w:t>Mortier</w:t>
      </w:r>
      <w:r w:rsidRPr="00E76ECC">
        <w:rPr>
          <w:sz w:val="20"/>
          <w:szCs w:val="20"/>
          <w:lang w:val="nl-BE"/>
        </w:rPr>
        <w:t xml:space="preserve">, “Euthanasie bij minderjarigen” in M. </w:t>
      </w:r>
      <w:r w:rsidRPr="00E76ECC">
        <w:rPr>
          <w:smallCaps/>
          <w:sz w:val="20"/>
          <w:szCs w:val="20"/>
          <w:lang w:val="nl-BE"/>
        </w:rPr>
        <w:t xml:space="preserve">Adams, J. </w:t>
      </w:r>
      <w:proofErr w:type="spellStart"/>
      <w:r w:rsidRPr="00E76ECC">
        <w:rPr>
          <w:smallCaps/>
          <w:sz w:val="20"/>
          <w:szCs w:val="20"/>
          <w:lang w:val="nl-BE"/>
        </w:rPr>
        <w:t>Grifiths</w:t>
      </w:r>
      <w:proofErr w:type="spellEnd"/>
      <w:r w:rsidRPr="00E76ECC">
        <w:rPr>
          <w:sz w:val="20"/>
          <w:szCs w:val="20"/>
          <w:lang w:val="nl-BE"/>
        </w:rPr>
        <w:t xml:space="preserve"> en G. </w:t>
      </w:r>
      <w:r w:rsidRPr="00E76ECC">
        <w:rPr>
          <w:smallCaps/>
          <w:sz w:val="20"/>
          <w:szCs w:val="20"/>
          <w:lang w:val="nl-BE"/>
        </w:rPr>
        <w:t xml:space="preserve">Den </w:t>
      </w:r>
      <w:proofErr w:type="spellStart"/>
      <w:r w:rsidRPr="00E76ECC">
        <w:rPr>
          <w:smallCaps/>
          <w:sz w:val="20"/>
          <w:szCs w:val="20"/>
          <w:lang w:val="nl-BE"/>
        </w:rPr>
        <w:t>Hartogh</w:t>
      </w:r>
      <w:proofErr w:type="spellEnd"/>
      <w:r w:rsidRPr="00E76ECC">
        <w:rPr>
          <w:smallCaps/>
          <w:sz w:val="20"/>
          <w:szCs w:val="20"/>
          <w:lang w:val="nl-BE"/>
        </w:rPr>
        <w:t xml:space="preserve"> </w:t>
      </w:r>
      <w:r w:rsidRPr="00E76ECC">
        <w:rPr>
          <w:sz w:val="20"/>
          <w:szCs w:val="20"/>
          <w:lang w:val="nl-BE"/>
        </w:rPr>
        <w:t>(</w:t>
      </w:r>
      <w:proofErr w:type="spellStart"/>
      <w:r w:rsidRPr="00E76ECC">
        <w:rPr>
          <w:sz w:val="20"/>
          <w:szCs w:val="20"/>
          <w:lang w:val="nl-BE"/>
        </w:rPr>
        <w:t>eds</w:t>
      </w:r>
      <w:proofErr w:type="spellEnd"/>
      <w:r w:rsidRPr="00E76ECC">
        <w:rPr>
          <w:sz w:val="20"/>
          <w:szCs w:val="20"/>
          <w:lang w:val="nl-BE"/>
        </w:rPr>
        <w:t xml:space="preserve">.), </w:t>
      </w:r>
      <w:r w:rsidRPr="00E76ECC">
        <w:rPr>
          <w:i/>
          <w:sz w:val="20"/>
          <w:szCs w:val="20"/>
          <w:lang w:val="nl-BE"/>
        </w:rPr>
        <w:t>Euthanasie. Nieuwe knelpunten in een voortgezette discussie</w:t>
      </w:r>
      <w:r w:rsidRPr="00E76ECC">
        <w:rPr>
          <w:sz w:val="20"/>
          <w:szCs w:val="20"/>
          <w:lang w:val="nl-BE"/>
        </w:rPr>
        <w:t>, Kampen, Kok, 2003, 204.</w:t>
      </w:r>
    </w:p>
  </w:footnote>
  <w:footnote w:id="84">
    <w:p w:rsidR="001A0466" w:rsidRPr="00E76ECC" w:rsidRDefault="001A0466" w:rsidP="00E66F22">
      <w:pPr>
        <w:jc w:val="both"/>
        <w:rPr>
          <w:sz w:val="20"/>
          <w:szCs w:val="20"/>
          <w:lang w:val="nl-BE"/>
        </w:rPr>
      </w:pPr>
      <w:r w:rsidRPr="00E76ECC">
        <w:rPr>
          <w:rStyle w:val="Voetnootmarkering"/>
          <w:sz w:val="20"/>
          <w:szCs w:val="20"/>
        </w:rPr>
        <w:footnoteRef/>
      </w:r>
      <w:r w:rsidRPr="00E76ECC">
        <w:rPr>
          <w:sz w:val="20"/>
          <w:szCs w:val="20"/>
        </w:rPr>
        <w:t xml:space="preserve"> E. </w:t>
      </w:r>
      <w:r w:rsidRPr="00E76ECC">
        <w:rPr>
          <w:rFonts w:eastAsia="Times New Roman"/>
          <w:smallCaps/>
          <w:color w:val="000000"/>
          <w:sz w:val="20"/>
          <w:szCs w:val="20"/>
          <w:lang w:val="nl-BE" w:eastAsia="ja-JP"/>
        </w:rPr>
        <w:t xml:space="preserve">De </w:t>
      </w:r>
      <w:proofErr w:type="spellStart"/>
      <w:r w:rsidRPr="00E76ECC">
        <w:rPr>
          <w:rFonts w:eastAsia="Times New Roman"/>
          <w:smallCaps/>
          <w:color w:val="000000"/>
          <w:sz w:val="20"/>
          <w:szCs w:val="20"/>
          <w:lang w:val="nl-BE" w:eastAsia="ja-JP"/>
        </w:rPr>
        <w:t>Keyser</w:t>
      </w:r>
      <w:proofErr w:type="spellEnd"/>
      <w:r w:rsidRPr="00E76ECC">
        <w:rPr>
          <w:rFonts w:eastAsia="Times New Roman"/>
          <w:smallCaps/>
          <w:color w:val="000000"/>
          <w:sz w:val="20"/>
          <w:szCs w:val="20"/>
          <w:lang w:val="nl-BE" w:eastAsia="ja-JP"/>
        </w:rPr>
        <w:t xml:space="preserve">, </w:t>
      </w:r>
      <w:r w:rsidRPr="00E76ECC">
        <w:rPr>
          <w:rFonts w:eastAsia="Times New Roman"/>
          <w:color w:val="000000"/>
          <w:sz w:val="20"/>
          <w:szCs w:val="20"/>
          <w:lang w:val="nl-BE" w:eastAsia="ja-JP"/>
        </w:rPr>
        <w:t xml:space="preserve"> “Respect voor het zelfbeschikkingsrecht van de patiënt: gevolgen voor de wet betreffende de euthanasie”, </w:t>
      </w:r>
      <w:proofErr w:type="spellStart"/>
      <w:r w:rsidRPr="00E76ECC">
        <w:rPr>
          <w:rFonts w:eastAsia="Times New Roman"/>
          <w:i/>
          <w:color w:val="000000"/>
          <w:sz w:val="20"/>
          <w:szCs w:val="20"/>
          <w:lang w:val="nl-BE" w:eastAsia="ja-JP"/>
        </w:rPr>
        <w:t>T.Gez</w:t>
      </w:r>
      <w:proofErr w:type="spellEnd"/>
      <w:r w:rsidRPr="00E76ECC">
        <w:rPr>
          <w:rFonts w:eastAsia="Times New Roman"/>
          <w:i/>
          <w:color w:val="000000"/>
          <w:sz w:val="20"/>
          <w:szCs w:val="20"/>
          <w:lang w:val="nl-BE" w:eastAsia="ja-JP"/>
        </w:rPr>
        <w:t>.</w:t>
      </w:r>
      <w:r w:rsidRPr="00E76ECC">
        <w:rPr>
          <w:rFonts w:eastAsia="Times New Roman"/>
          <w:color w:val="000000"/>
          <w:sz w:val="20"/>
          <w:szCs w:val="20"/>
          <w:lang w:val="nl-BE" w:eastAsia="ja-JP"/>
        </w:rPr>
        <w:t xml:space="preserve"> 2005, afl. 5, 380; </w:t>
      </w:r>
      <w:r w:rsidRPr="00E76ECC">
        <w:rPr>
          <w:sz w:val="20"/>
          <w:szCs w:val="20"/>
          <w:lang w:val="nl-BE"/>
        </w:rPr>
        <w:t xml:space="preserve">H. </w:t>
      </w:r>
      <w:proofErr w:type="spellStart"/>
      <w:r w:rsidRPr="00E76ECC">
        <w:rPr>
          <w:sz w:val="20"/>
          <w:szCs w:val="20"/>
          <w:lang w:val="nl-BE"/>
        </w:rPr>
        <w:t>N</w:t>
      </w:r>
      <w:r w:rsidRPr="00E76ECC">
        <w:rPr>
          <w:smallCaps/>
          <w:sz w:val="20"/>
          <w:szCs w:val="20"/>
          <w:lang w:val="nl-BE"/>
        </w:rPr>
        <w:t>ys</w:t>
      </w:r>
      <w:proofErr w:type="spellEnd"/>
      <w:r w:rsidRPr="00E76ECC">
        <w:rPr>
          <w:sz w:val="20"/>
          <w:szCs w:val="20"/>
          <w:lang w:val="nl-BE"/>
        </w:rPr>
        <w:t xml:space="preserve">, “Euthanasie bij kinderen naar Belgisch recht”, </w:t>
      </w:r>
      <w:r w:rsidRPr="00E76ECC">
        <w:rPr>
          <w:i/>
          <w:sz w:val="20"/>
          <w:szCs w:val="20"/>
          <w:lang w:val="nl-BE"/>
        </w:rPr>
        <w:t>TJK</w:t>
      </w:r>
      <w:r w:rsidRPr="00E76ECC">
        <w:rPr>
          <w:sz w:val="20"/>
          <w:szCs w:val="20"/>
          <w:lang w:val="nl-BE"/>
        </w:rPr>
        <w:t xml:space="preserve"> 2009, afl. 4, 281.</w:t>
      </w:r>
    </w:p>
  </w:footnote>
  <w:footnote w:id="85">
    <w:p w:rsidR="001A0466" w:rsidRPr="00E76ECC" w:rsidRDefault="001A0466" w:rsidP="00E66F22">
      <w:pPr>
        <w:jc w:val="both"/>
        <w:rPr>
          <w:sz w:val="20"/>
          <w:szCs w:val="20"/>
          <w:lang w:val="nl-BE"/>
        </w:rPr>
      </w:pPr>
      <w:r w:rsidRPr="00E76ECC">
        <w:rPr>
          <w:rStyle w:val="Voetnootmarkering"/>
          <w:sz w:val="20"/>
          <w:szCs w:val="20"/>
        </w:rPr>
        <w:footnoteRef/>
      </w:r>
      <w:r w:rsidRPr="00E76ECC">
        <w:rPr>
          <w:sz w:val="20"/>
          <w:szCs w:val="20"/>
        </w:rPr>
        <w:t xml:space="preserve"> E. </w:t>
      </w:r>
      <w:r w:rsidRPr="00E76ECC">
        <w:rPr>
          <w:rFonts w:eastAsia="Times New Roman"/>
          <w:smallCaps/>
          <w:color w:val="000000"/>
          <w:sz w:val="20"/>
          <w:szCs w:val="20"/>
          <w:lang w:val="nl-BE" w:eastAsia="ja-JP"/>
        </w:rPr>
        <w:t xml:space="preserve">De </w:t>
      </w:r>
      <w:proofErr w:type="spellStart"/>
      <w:r w:rsidRPr="00E76ECC">
        <w:rPr>
          <w:rFonts w:eastAsia="Times New Roman"/>
          <w:smallCaps/>
          <w:color w:val="000000"/>
          <w:sz w:val="20"/>
          <w:szCs w:val="20"/>
          <w:lang w:val="nl-BE" w:eastAsia="ja-JP"/>
        </w:rPr>
        <w:t>Keyser</w:t>
      </w:r>
      <w:proofErr w:type="spellEnd"/>
      <w:r w:rsidRPr="00E76ECC">
        <w:rPr>
          <w:rFonts w:eastAsia="Times New Roman"/>
          <w:smallCaps/>
          <w:color w:val="000000"/>
          <w:sz w:val="20"/>
          <w:szCs w:val="20"/>
          <w:lang w:val="nl-BE" w:eastAsia="ja-JP"/>
        </w:rPr>
        <w:t xml:space="preserve">, </w:t>
      </w:r>
      <w:r w:rsidRPr="00E76ECC">
        <w:rPr>
          <w:rFonts w:eastAsia="Times New Roman"/>
          <w:color w:val="000000"/>
          <w:sz w:val="20"/>
          <w:szCs w:val="20"/>
          <w:lang w:val="nl-BE" w:eastAsia="ja-JP"/>
        </w:rPr>
        <w:t xml:space="preserve"> “Respect voor het zelfbeschikkingsrecht van de patiënt: gevolgen voor de wet betreffende de euthanasie”, </w:t>
      </w:r>
      <w:proofErr w:type="spellStart"/>
      <w:r w:rsidRPr="00E76ECC">
        <w:rPr>
          <w:rFonts w:eastAsia="Times New Roman"/>
          <w:i/>
          <w:color w:val="000000"/>
          <w:sz w:val="20"/>
          <w:szCs w:val="20"/>
          <w:lang w:val="nl-BE" w:eastAsia="ja-JP"/>
        </w:rPr>
        <w:t>T.Gez</w:t>
      </w:r>
      <w:proofErr w:type="spellEnd"/>
      <w:r w:rsidRPr="00E76ECC">
        <w:rPr>
          <w:rFonts w:eastAsia="Times New Roman"/>
          <w:i/>
          <w:color w:val="000000"/>
          <w:sz w:val="20"/>
          <w:szCs w:val="20"/>
          <w:lang w:val="nl-BE" w:eastAsia="ja-JP"/>
        </w:rPr>
        <w:t>.</w:t>
      </w:r>
      <w:r w:rsidRPr="00E76ECC">
        <w:rPr>
          <w:rFonts w:eastAsia="Times New Roman"/>
          <w:color w:val="000000"/>
          <w:sz w:val="20"/>
          <w:szCs w:val="20"/>
          <w:lang w:val="nl-BE" w:eastAsia="ja-JP"/>
        </w:rPr>
        <w:t xml:space="preserve"> 2005, afl. 5, 380; </w:t>
      </w:r>
      <w:r w:rsidRPr="00E76ECC">
        <w:rPr>
          <w:sz w:val="20"/>
          <w:szCs w:val="20"/>
          <w:lang w:val="nl-BE"/>
        </w:rPr>
        <w:t xml:space="preserve">H. </w:t>
      </w:r>
      <w:proofErr w:type="spellStart"/>
      <w:r w:rsidRPr="00E76ECC">
        <w:rPr>
          <w:sz w:val="20"/>
          <w:szCs w:val="20"/>
          <w:lang w:val="nl-BE"/>
        </w:rPr>
        <w:t>N</w:t>
      </w:r>
      <w:r w:rsidRPr="00E76ECC">
        <w:rPr>
          <w:smallCaps/>
          <w:sz w:val="20"/>
          <w:szCs w:val="20"/>
          <w:lang w:val="nl-BE"/>
        </w:rPr>
        <w:t>ys</w:t>
      </w:r>
      <w:proofErr w:type="spellEnd"/>
      <w:r w:rsidRPr="00E76ECC">
        <w:rPr>
          <w:sz w:val="20"/>
          <w:szCs w:val="20"/>
          <w:lang w:val="nl-BE"/>
        </w:rPr>
        <w:t xml:space="preserve">, “Euthanasie bij kinderen naar Belgisch recht”, </w:t>
      </w:r>
      <w:r w:rsidRPr="00E76ECC">
        <w:rPr>
          <w:i/>
          <w:sz w:val="20"/>
          <w:szCs w:val="20"/>
          <w:lang w:val="nl-BE"/>
        </w:rPr>
        <w:t>TJK</w:t>
      </w:r>
      <w:r w:rsidRPr="00E76ECC">
        <w:rPr>
          <w:sz w:val="20"/>
          <w:szCs w:val="20"/>
          <w:lang w:val="nl-BE"/>
        </w:rPr>
        <w:t xml:space="preserve"> 2009, afl. 4, 281.</w:t>
      </w:r>
    </w:p>
  </w:footnote>
  <w:footnote w:id="86">
    <w:p w:rsidR="001A0466" w:rsidRPr="00E76ECC" w:rsidRDefault="001A0466" w:rsidP="00E66F22">
      <w:pPr>
        <w:pStyle w:val="Voetnoottekst"/>
        <w:jc w:val="both"/>
        <w:rPr>
          <w:i/>
          <w:lang w:val="nl-BE"/>
        </w:rPr>
      </w:pPr>
      <w:r w:rsidRPr="00E76ECC">
        <w:rPr>
          <w:rStyle w:val="Voetnootmarkering"/>
        </w:rPr>
        <w:footnoteRef/>
      </w:r>
      <w:r w:rsidRPr="00E76ECC">
        <w:rPr>
          <w:lang w:val="nl-BE"/>
        </w:rPr>
        <w:t xml:space="preserve"> </w:t>
      </w:r>
      <w:proofErr w:type="spellStart"/>
      <w:r w:rsidRPr="00E76ECC">
        <w:rPr>
          <w:i/>
          <w:lang w:val="nl-BE"/>
        </w:rPr>
        <w:t>Infra</w:t>
      </w:r>
      <w:proofErr w:type="spellEnd"/>
      <w:r w:rsidRPr="00E76ECC">
        <w:rPr>
          <w:i/>
          <w:lang w:val="nl-BE"/>
        </w:rPr>
        <w:t xml:space="preserve">. </w:t>
      </w:r>
    </w:p>
  </w:footnote>
  <w:footnote w:id="87">
    <w:p w:rsidR="001A0466" w:rsidRPr="00E76ECC" w:rsidRDefault="001A0466" w:rsidP="00E66F22">
      <w:pPr>
        <w:jc w:val="both"/>
        <w:rPr>
          <w:sz w:val="20"/>
          <w:szCs w:val="20"/>
          <w:lang w:val="nl-BE"/>
        </w:rPr>
      </w:pPr>
      <w:r w:rsidRPr="00E76ECC">
        <w:rPr>
          <w:rStyle w:val="Voetnootmarkering"/>
          <w:sz w:val="20"/>
          <w:szCs w:val="20"/>
        </w:rPr>
        <w:footnoteRef/>
      </w:r>
      <w:r w:rsidRPr="00E76ECC">
        <w:rPr>
          <w:sz w:val="20"/>
          <w:szCs w:val="20"/>
        </w:rPr>
        <w:t xml:space="preserve"> E. </w:t>
      </w:r>
      <w:r w:rsidRPr="00E76ECC">
        <w:rPr>
          <w:rFonts w:eastAsia="Times New Roman"/>
          <w:smallCaps/>
          <w:color w:val="000000"/>
          <w:sz w:val="20"/>
          <w:szCs w:val="20"/>
          <w:lang w:val="nl-BE" w:eastAsia="ja-JP"/>
        </w:rPr>
        <w:t xml:space="preserve">De </w:t>
      </w:r>
      <w:proofErr w:type="spellStart"/>
      <w:r w:rsidRPr="00E76ECC">
        <w:rPr>
          <w:rFonts w:eastAsia="Times New Roman"/>
          <w:smallCaps/>
          <w:color w:val="000000"/>
          <w:sz w:val="20"/>
          <w:szCs w:val="20"/>
          <w:lang w:val="nl-BE" w:eastAsia="ja-JP"/>
        </w:rPr>
        <w:t>Keyser</w:t>
      </w:r>
      <w:proofErr w:type="spellEnd"/>
      <w:r w:rsidRPr="00E76ECC">
        <w:rPr>
          <w:rFonts w:eastAsia="Times New Roman"/>
          <w:smallCaps/>
          <w:color w:val="000000"/>
          <w:sz w:val="20"/>
          <w:szCs w:val="20"/>
          <w:lang w:val="nl-BE" w:eastAsia="ja-JP"/>
        </w:rPr>
        <w:t xml:space="preserve">, </w:t>
      </w:r>
      <w:r w:rsidRPr="00E76ECC">
        <w:rPr>
          <w:rFonts w:eastAsia="Times New Roman"/>
          <w:color w:val="000000"/>
          <w:sz w:val="20"/>
          <w:szCs w:val="20"/>
          <w:lang w:val="nl-BE" w:eastAsia="ja-JP"/>
        </w:rPr>
        <w:t xml:space="preserve"> “Respect voor het zelfbeschikkingsrecht van de patiënt: gevolgen voor de wet betreffende de euthanasie”, </w:t>
      </w:r>
      <w:proofErr w:type="spellStart"/>
      <w:r w:rsidRPr="00E76ECC">
        <w:rPr>
          <w:rFonts w:eastAsia="Times New Roman"/>
          <w:i/>
          <w:color w:val="000000"/>
          <w:sz w:val="20"/>
          <w:szCs w:val="20"/>
          <w:lang w:val="nl-BE" w:eastAsia="ja-JP"/>
        </w:rPr>
        <w:t>T.Gez</w:t>
      </w:r>
      <w:proofErr w:type="spellEnd"/>
      <w:r w:rsidRPr="00E76ECC">
        <w:rPr>
          <w:rFonts w:eastAsia="Times New Roman"/>
          <w:i/>
          <w:color w:val="000000"/>
          <w:sz w:val="20"/>
          <w:szCs w:val="20"/>
          <w:lang w:val="nl-BE" w:eastAsia="ja-JP"/>
        </w:rPr>
        <w:t>.</w:t>
      </w:r>
      <w:r w:rsidRPr="00E76ECC">
        <w:rPr>
          <w:rFonts w:eastAsia="Times New Roman"/>
          <w:color w:val="000000"/>
          <w:sz w:val="20"/>
          <w:szCs w:val="20"/>
          <w:lang w:val="nl-BE" w:eastAsia="ja-JP"/>
        </w:rPr>
        <w:t xml:space="preserve"> 2005, afl. 5, 380; </w:t>
      </w:r>
      <w:r w:rsidRPr="00E76ECC">
        <w:rPr>
          <w:sz w:val="20"/>
          <w:szCs w:val="20"/>
          <w:lang w:val="nl-BE"/>
        </w:rPr>
        <w:t xml:space="preserve">H. </w:t>
      </w:r>
      <w:proofErr w:type="spellStart"/>
      <w:r w:rsidRPr="00E76ECC">
        <w:rPr>
          <w:sz w:val="20"/>
          <w:szCs w:val="20"/>
          <w:lang w:val="nl-BE"/>
        </w:rPr>
        <w:t>N</w:t>
      </w:r>
      <w:r w:rsidRPr="00E76ECC">
        <w:rPr>
          <w:smallCaps/>
          <w:sz w:val="20"/>
          <w:szCs w:val="20"/>
          <w:lang w:val="nl-BE"/>
        </w:rPr>
        <w:t>ys</w:t>
      </w:r>
      <w:proofErr w:type="spellEnd"/>
      <w:r w:rsidRPr="00E76ECC">
        <w:rPr>
          <w:sz w:val="20"/>
          <w:szCs w:val="20"/>
          <w:lang w:val="nl-BE"/>
        </w:rPr>
        <w:t xml:space="preserve">, “Euthanasie bij kinderen naar Belgisch recht”, </w:t>
      </w:r>
      <w:r w:rsidRPr="00E76ECC">
        <w:rPr>
          <w:i/>
          <w:sz w:val="20"/>
          <w:szCs w:val="20"/>
          <w:lang w:val="nl-BE"/>
        </w:rPr>
        <w:t>TJK</w:t>
      </w:r>
      <w:r w:rsidRPr="00E76ECC">
        <w:rPr>
          <w:sz w:val="20"/>
          <w:szCs w:val="20"/>
          <w:lang w:val="nl-BE"/>
        </w:rPr>
        <w:t xml:space="preserve"> 2009, afl. 4, 281.</w:t>
      </w:r>
    </w:p>
  </w:footnote>
  <w:footnote w:id="88">
    <w:p w:rsidR="001A0466" w:rsidRPr="00E76ECC" w:rsidRDefault="001A0466" w:rsidP="00E66F22">
      <w:pPr>
        <w:pStyle w:val="Voetnoottekst"/>
        <w:jc w:val="both"/>
      </w:pPr>
      <w:r w:rsidRPr="00E76ECC">
        <w:rPr>
          <w:rStyle w:val="Voetnootmarkering"/>
        </w:rPr>
        <w:footnoteRef/>
      </w:r>
      <w:r w:rsidRPr="00E76ECC">
        <w:t xml:space="preserve"> </w:t>
      </w:r>
      <w:proofErr w:type="spellStart"/>
      <w:r w:rsidRPr="00E76ECC">
        <w:rPr>
          <w:i/>
        </w:rPr>
        <w:t>Infra</w:t>
      </w:r>
      <w:proofErr w:type="spellEnd"/>
      <w:r w:rsidRPr="00E76ECC">
        <w:t xml:space="preserve">, wetsvoorstel </w:t>
      </w:r>
      <w:proofErr w:type="spellStart"/>
      <w:r w:rsidRPr="00E76ECC">
        <w:t>Vanlerberghe</w:t>
      </w:r>
      <w:proofErr w:type="spellEnd"/>
      <w:r w:rsidRPr="00E76ECC">
        <w:t xml:space="preserve"> en De </w:t>
      </w:r>
      <w:proofErr w:type="spellStart"/>
      <w:r w:rsidRPr="00E76ECC">
        <w:t>Gucht</w:t>
      </w:r>
      <w:proofErr w:type="spellEnd"/>
      <w:r w:rsidRPr="00E76ECC">
        <w:t>.</w:t>
      </w:r>
    </w:p>
  </w:footnote>
  <w:footnote w:id="89">
    <w:p w:rsidR="001A0466" w:rsidRPr="00E76ECC" w:rsidRDefault="001A0466" w:rsidP="00E66F22">
      <w:pPr>
        <w:pStyle w:val="Voetnoottekst"/>
        <w:jc w:val="both"/>
      </w:pPr>
      <w:r w:rsidRPr="00E76ECC">
        <w:rPr>
          <w:rStyle w:val="Voetnootmarkering"/>
        </w:rPr>
        <w:footnoteRef/>
      </w:r>
      <w:r w:rsidRPr="00E76ECC">
        <w:t xml:space="preserve"> </w:t>
      </w:r>
      <w:proofErr w:type="spellStart"/>
      <w:r w:rsidRPr="00E76ECC">
        <w:rPr>
          <w:i/>
        </w:rPr>
        <w:t>Infra</w:t>
      </w:r>
      <w:proofErr w:type="spellEnd"/>
      <w:r w:rsidRPr="00E76ECC">
        <w:t>, zie wetsvoorstellen.</w:t>
      </w:r>
    </w:p>
  </w:footnote>
  <w:footnote w:id="90">
    <w:p w:rsidR="001A0466" w:rsidRPr="00E76ECC" w:rsidRDefault="001A0466" w:rsidP="00E66F22">
      <w:pPr>
        <w:jc w:val="both"/>
        <w:rPr>
          <w:sz w:val="20"/>
          <w:szCs w:val="20"/>
          <w:lang w:val="nl-BE"/>
        </w:rPr>
      </w:pPr>
      <w:r w:rsidRPr="00E76ECC">
        <w:rPr>
          <w:rStyle w:val="Voetnootmarkering"/>
          <w:sz w:val="20"/>
          <w:szCs w:val="20"/>
        </w:rPr>
        <w:footnoteRef/>
      </w:r>
      <w:r w:rsidRPr="00E76ECC">
        <w:rPr>
          <w:sz w:val="20"/>
          <w:szCs w:val="20"/>
          <w:lang w:val="nl-BE"/>
        </w:rPr>
        <w:t xml:space="preserve"> H. </w:t>
      </w:r>
      <w:proofErr w:type="spellStart"/>
      <w:r w:rsidRPr="00E76ECC">
        <w:rPr>
          <w:sz w:val="20"/>
          <w:szCs w:val="20"/>
          <w:lang w:val="nl-BE"/>
        </w:rPr>
        <w:t>N</w:t>
      </w:r>
      <w:r w:rsidRPr="00E76ECC">
        <w:rPr>
          <w:smallCaps/>
          <w:sz w:val="20"/>
          <w:szCs w:val="20"/>
          <w:lang w:val="nl-BE"/>
        </w:rPr>
        <w:t>ys</w:t>
      </w:r>
      <w:proofErr w:type="spellEnd"/>
      <w:r w:rsidRPr="00E76ECC">
        <w:rPr>
          <w:sz w:val="20"/>
          <w:szCs w:val="20"/>
          <w:lang w:val="nl-BE"/>
        </w:rPr>
        <w:t xml:space="preserve">, “Euthanasie bij kinderen naar Belgisch recht”, </w:t>
      </w:r>
      <w:r w:rsidRPr="00E76ECC">
        <w:rPr>
          <w:i/>
          <w:sz w:val="20"/>
          <w:szCs w:val="20"/>
          <w:lang w:val="nl-BE"/>
        </w:rPr>
        <w:t>TJK</w:t>
      </w:r>
      <w:r w:rsidRPr="00E76ECC">
        <w:rPr>
          <w:sz w:val="20"/>
          <w:szCs w:val="20"/>
          <w:lang w:val="nl-BE"/>
        </w:rPr>
        <w:t xml:space="preserve"> 2009, afl. 4, 280.</w:t>
      </w:r>
    </w:p>
  </w:footnote>
  <w:footnote w:id="91">
    <w:p w:rsidR="001A0466" w:rsidRPr="00E76ECC" w:rsidRDefault="001A0466" w:rsidP="00E66F22">
      <w:pPr>
        <w:pStyle w:val="Geenafstand"/>
        <w:jc w:val="both"/>
        <w:rPr>
          <w:sz w:val="20"/>
          <w:szCs w:val="20"/>
          <w:lang w:val="nl-BE"/>
        </w:rPr>
      </w:pPr>
      <w:r w:rsidRPr="00E76ECC">
        <w:rPr>
          <w:rStyle w:val="Voetnootmarkering"/>
          <w:sz w:val="20"/>
          <w:szCs w:val="20"/>
        </w:rPr>
        <w:footnoteRef/>
      </w:r>
      <w:r w:rsidRPr="00E76ECC">
        <w:rPr>
          <w:sz w:val="20"/>
          <w:szCs w:val="20"/>
        </w:rPr>
        <w:t xml:space="preserve"> </w:t>
      </w:r>
      <w:r w:rsidRPr="00E76ECC">
        <w:rPr>
          <w:color w:val="000000" w:themeColor="text1"/>
          <w:sz w:val="20"/>
          <w:szCs w:val="20"/>
        </w:rPr>
        <w:t>Wetsvoorstel van 28 november 2007 (</w:t>
      </w:r>
      <w:hyperlink r:id="rId2" w:history="1">
        <w:r w:rsidRPr="00E76ECC">
          <w:rPr>
            <w:color w:val="000000" w:themeColor="text1"/>
            <w:sz w:val="20"/>
            <w:szCs w:val="20"/>
          </w:rPr>
          <w:t xml:space="preserve">M. </w:t>
        </w:r>
        <w:proofErr w:type="spellStart"/>
        <w:r w:rsidRPr="00E76ECC">
          <w:rPr>
            <w:color w:val="000000" w:themeColor="text1"/>
            <w:sz w:val="20"/>
            <w:szCs w:val="20"/>
          </w:rPr>
          <w:t>V</w:t>
        </w:r>
        <w:r w:rsidRPr="00E76ECC">
          <w:rPr>
            <w:smallCaps/>
            <w:color w:val="000000" w:themeColor="text1"/>
            <w:sz w:val="20"/>
            <w:szCs w:val="20"/>
          </w:rPr>
          <w:t>anlerberghe</w:t>
        </w:r>
        <w:proofErr w:type="spellEnd"/>
      </w:hyperlink>
      <w:r w:rsidRPr="00E76ECC">
        <w:rPr>
          <w:color w:val="000000" w:themeColor="text1"/>
          <w:sz w:val="20"/>
          <w:szCs w:val="20"/>
        </w:rPr>
        <w:t xml:space="preserve"> en </w:t>
      </w:r>
      <w:hyperlink r:id="rId3" w:history="1">
        <w:r w:rsidRPr="00E76ECC">
          <w:rPr>
            <w:color w:val="000000" w:themeColor="text1"/>
            <w:sz w:val="20"/>
            <w:szCs w:val="20"/>
          </w:rPr>
          <w:t xml:space="preserve">A. </w:t>
        </w:r>
        <w:r w:rsidRPr="00E76ECC">
          <w:rPr>
            <w:smallCaps/>
            <w:color w:val="000000" w:themeColor="text1"/>
            <w:sz w:val="20"/>
            <w:szCs w:val="20"/>
          </w:rPr>
          <w:t xml:space="preserve">Van </w:t>
        </w:r>
        <w:proofErr w:type="spellStart"/>
        <w:r w:rsidRPr="00E76ECC">
          <w:rPr>
            <w:smallCaps/>
            <w:color w:val="000000" w:themeColor="text1"/>
            <w:sz w:val="20"/>
            <w:szCs w:val="20"/>
          </w:rPr>
          <w:t>Nieuwkerke</w:t>
        </w:r>
        <w:proofErr w:type="spellEnd"/>
      </w:hyperlink>
      <w:r w:rsidRPr="00E76ECC">
        <w:rPr>
          <w:sz w:val="20"/>
          <w:szCs w:val="20"/>
        </w:rPr>
        <w:t xml:space="preserve">) </w:t>
      </w:r>
      <w:r w:rsidRPr="00E76ECC">
        <w:rPr>
          <w:color w:val="000000" w:themeColor="text1"/>
          <w:sz w:val="20"/>
          <w:szCs w:val="20"/>
        </w:rPr>
        <w:t xml:space="preserve">tot aanvulling van de wet van 28 mei 2002 betreffende de euthanasie, wat minderjarigen betreft, </w:t>
      </w:r>
      <w:proofErr w:type="spellStart"/>
      <w:r w:rsidRPr="00E76ECC">
        <w:rPr>
          <w:i/>
          <w:color w:val="000000" w:themeColor="text1"/>
          <w:sz w:val="20"/>
          <w:szCs w:val="20"/>
        </w:rPr>
        <w:t>parl</w:t>
      </w:r>
      <w:proofErr w:type="spellEnd"/>
      <w:r w:rsidRPr="00E76ECC">
        <w:rPr>
          <w:i/>
          <w:color w:val="000000" w:themeColor="text1"/>
          <w:sz w:val="20"/>
          <w:szCs w:val="20"/>
        </w:rPr>
        <w:t xml:space="preserve">. </w:t>
      </w:r>
      <w:r w:rsidRPr="00E76ECC">
        <w:rPr>
          <w:i/>
          <w:color w:val="000000" w:themeColor="text1"/>
          <w:sz w:val="20"/>
          <w:szCs w:val="20"/>
          <w:lang w:val="nl-BE"/>
        </w:rPr>
        <w:t>St.</w:t>
      </w:r>
      <w:r w:rsidRPr="00E76ECC">
        <w:rPr>
          <w:color w:val="000000" w:themeColor="text1"/>
          <w:sz w:val="20"/>
          <w:szCs w:val="20"/>
          <w:lang w:val="nl-BE"/>
        </w:rPr>
        <w:t xml:space="preserve"> Senaat 2007-2008, nr. </w:t>
      </w:r>
      <w:r w:rsidRPr="00E76ECC">
        <w:rPr>
          <w:sz w:val="20"/>
          <w:szCs w:val="20"/>
          <w:lang w:val="nl-BE"/>
        </w:rPr>
        <w:t xml:space="preserve">4-431/1. Hierna </w:t>
      </w:r>
      <w:r>
        <w:rPr>
          <w:sz w:val="20"/>
          <w:szCs w:val="20"/>
          <w:lang w:val="nl-BE"/>
        </w:rPr>
        <w:t>‘</w:t>
      </w:r>
      <w:r w:rsidRPr="00E76ECC">
        <w:rPr>
          <w:sz w:val="20"/>
          <w:szCs w:val="20"/>
          <w:lang w:val="nl-BE"/>
        </w:rPr>
        <w:t xml:space="preserve">voorstel </w:t>
      </w:r>
      <w:proofErr w:type="spellStart"/>
      <w:r w:rsidRPr="00E76ECC">
        <w:rPr>
          <w:sz w:val="20"/>
          <w:szCs w:val="20"/>
          <w:lang w:val="nl-BE"/>
        </w:rPr>
        <w:t>Vanlerberghe</w:t>
      </w:r>
      <w:proofErr w:type="spellEnd"/>
      <w:r>
        <w:rPr>
          <w:sz w:val="20"/>
          <w:szCs w:val="20"/>
          <w:lang w:val="nl-BE"/>
        </w:rPr>
        <w:t>’</w:t>
      </w:r>
      <w:r w:rsidRPr="00E76ECC">
        <w:rPr>
          <w:sz w:val="20"/>
          <w:szCs w:val="20"/>
          <w:lang w:val="nl-BE"/>
        </w:rPr>
        <w:t>.</w:t>
      </w:r>
    </w:p>
  </w:footnote>
  <w:footnote w:id="92">
    <w:p w:rsidR="001A0466" w:rsidRPr="00E76ECC" w:rsidRDefault="001A0466" w:rsidP="00E76ECC">
      <w:pPr>
        <w:pStyle w:val="Geenafstand"/>
        <w:jc w:val="both"/>
        <w:rPr>
          <w:sz w:val="20"/>
          <w:szCs w:val="20"/>
          <w:lang w:val="nl-BE"/>
        </w:rPr>
      </w:pPr>
      <w:r w:rsidRPr="00E76ECC">
        <w:rPr>
          <w:rStyle w:val="Voetnootmarkering"/>
          <w:sz w:val="20"/>
          <w:szCs w:val="20"/>
        </w:rPr>
        <w:footnoteRef/>
      </w:r>
      <w:r w:rsidRPr="00E76ECC">
        <w:rPr>
          <w:sz w:val="20"/>
          <w:szCs w:val="20"/>
        </w:rPr>
        <w:t xml:space="preserve"> Wetsvoorstel van 26 mei 2008 (P. </w:t>
      </w:r>
      <w:proofErr w:type="spellStart"/>
      <w:r w:rsidRPr="00E76ECC">
        <w:rPr>
          <w:sz w:val="20"/>
          <w:szCs w:val="20"/>
        </w:rPr>
        <w:t>V</w:t>
      </w:r>
      <w:r w:rsidRPr="00E76ECC">
        <w:rPr>
          <w:smallCaps/>
          <w:sz w:val="20"/>
          <w:szCs w:val="20"/>
        </w:rPr>
        <w:t>ankrunkelsven</w:t>
      </w:r>
      <w:proofErr w:type="spellEnd"/>
      <w:r w:rsidRPr="00E76ECC">
        <w:rPr>
          <w:sz w:val="20"/>
          <w:szCs w:val="20"/>
        </w:rPr>
        <w:t xml:space="preserve">) tot aanvulling van de wet van 28 mei 2002 betreffende de euthanasie, wat minderjarigen betreft, </w:t>
      </w:r>
      <w:proofErr w:type="spellStart"/>
      <w:r w:rsidRPr="00E76ECC">
        <w:rPr>
          <w:i/>
          <w:sz w:val="20"/>
          <w:szCs w:val="20"/>
        </w:rPr>
        <w:t>Parl</w:t>
      </w:r>
      <w:proofErr w:type="spellEnd"/>
      <w:r w:rsidRPr="00E76ECC">
        <w:rPr>
          <w:i/>
          <w:sz w:val="20"/>
          <w:szCs w:val="20"/>
        </w:rPr>
        <w:t>. St.</w:t>
      </w:r>
      <w:r w:rsidRPr="00E76ECC">
        <w:rPr>
          <w:sz w:val="20"/>
          <w:szCs w:val="20"/>
        </w:rPr>
        <w:t xml:space="preserve"> Senaat 2007-2008, nr. 4-785/1</w:t>
      </w:r>
      <w:r w:rsidRPr="00E76ECC">
        <w:rPr>
          <w:b/>
          <w:sz w:val="20"/>
          <w:szCs w:val="20"/>
        </w:rPr>
        <w:t xml:space="preserve">. </w:t>
      </w:r>
      <w:r w:rsidRPr="00E76ECC">
        <w:rPr>
          <w:sz w:val="20"/>
          <w:szCs w:val="20"/>
        </w:rPr>
        <w:t xml:space="preserve">Hierna </w:t>
      </w:r>
      <w:r>
        <w:rPr>
          <w:sz w:val="20"/>
          <w:szCs w:val="20"/>
        </w:rPr>
        <w:t>‘</w:t>
      </w:r>
      <w:r w:rsidRPr="00E76ECC">
        <w:rPr>
          <w:sz w:val="20"/>
          <w:szCs w:val="20"/>
        </w:rPr>
        <w:t xml:space="preserve">voorstel </w:t>
      </w:r>
      <w:proofErr w:type="spellStart"/>
      <w:r w:rsidRPr="00E76ECC">
        <w:rPr>
          <w:sz w:val="20"/>
          <w:szCs w:val="20"/>
        </w:rPr>
        <w:t>Vankrunkelsven</w:t>
      </w:r>
      <w:proofErr w:type="spellEnd"/>
      <w:r>
        <w:rPr>
          <w:sz w:val="20"/>
          <w:szCs w:val="20"/>
        </w:rPr>
        <w:t>’</w:t>
      </w:r>
      <w:r w:rsidRPr="00E76ECC">
        <w:rPr>
          <w:sz w:val="20"/>
          <w:szCs w:val="20"/>
        </w:rPr>
        <w:t>.</w:t>
      </w:r>
    </w:p>
  </w:footnote>
  <w:footnote w:id="93">
    <w:p w:rsidR="001A0466" w:rsidRPr="00E76ECC" w:rsidRDefault="001A0466" w:rsidP="00E76ECC">
      <w:pPr>
        <w:pStyle w:val="Geenafstand"/>
        <w:jc w:val="both"/>
        <w:rPr>
          <w:color w:val="000000" w:themeColor="text1"/>
          <w:sz w:val="20"/>
          <w:szCs w:val="20"/>
          <w:lang w:val="nl-BE"/>
        </w:rPr>
      </w:pPr>
      <w:r w:rsidRPr="00E76ECC">
        <w:rPr>
          <w:rStyle w:val="Voetnootmarkering"/>
          <w:sz w:val="20"/>
          <w:szCs w:val="20"/>
        </w:rPr>
        <w:footnoteRef/>
      </w:r>
      <w:r w:rsidRPr="00E76ECC">
        <w:rPr>
          <w:sz w:val="20"/>
          <w:szCs w:val="20"/>
        </w:rPr>
        <w:t xml:space="preserve"> Wetsvoorstel van 16 september 2008 </w:t>
      </w:r>
      <w:r w:rsidRPr="00E76ECC">
        <w:rPr>
          <w:color w:val="000000" w:themeColor="text1"/>
          <w:sz w:val="20"/>
          <w:szCs w:val="20"/>
        </w:rPr>
        <w:t>(</w:t>
      </w:r>
      <w:hyperlink r:id="rId4" w:history="1">
        <w:r w:rsidRPr="00E76ECC">
          <w:rPr>
            <w:rStyle w:val="Hyperlink"/>
            <w:smallCaps/>
            <w:color w:val="000000" w:themeColor="text1"/>
            <w:sz w:val="20"/>
            <w:szCs w:val="20"/>
            <w:u w:val="none"/>
          </w:rPr>
          <w:t xml:space="preserve">J-J. De </w:t>
        </w:r>
        <w:proofErr w:type="spellStart"/>
        <w:r w:rsidRPr="00E76ECC">
          <w:rPr>
            <w:rStyle w:val="Hyperlink"/>
            <w:smallCaps/>
            <w:color w:val="000000" w:themeColor="text1"/>
            <w:sz w:val="20"/>
            <w:szCs w:val="20"/>
            <w:u w:val="none"/>
          </w:rPr>
          <w:t>Gucht</w:t>
        </w:r>
        <w:proofErr w:type="spellEnd"/>
      </w:hyperlink>
      <w:r w:rsidRPr="00E76ECC">
        <w:rPr>
          <w:smallCaps/>
          <w:color w:val="000000" w:themeColor="text1"/>
          <w:sz w:val="20"/>
          <w:szCs w:val="20"/>
        </w:rPr>
        <w:t xml:space="preserve">, </w:t>
      </w:r>
      <w:hyperlink r:id="rId5" w:history="1">
        <w:r w:rsidRPr="00E76ECC">
          <w:rPr>
            <w:rStyle w:val="Hyperlink"/>
            <w:smallCaps/>
            <w:color w:val="000000" w:themeColor="text1"/>
            <w:sz w:val="20"/>
            <w:szCs w:val="20"/>
            <w:u w:val="none"/>
          </w:rPr>
          <w:t>P. Wille</w:t>
        </w:r>
      </w:hyperlink>
      <w:r w:rsidRPr="00E76ECC">
        <w:rPr>
          <w:smallCaps/>
          <w:color w:val="000000" w:themeColor="text1"/>
          <w:sz w:val="20"/>
          <w:szCs w:val="20"/>
        </w:rPr>
        <w:t xml:space="preserve">, </w:t>
      </w:r>
      <w:hyperlink r:id="rId6" w:history="1">
        <w:r w:rsidRPr="00E76ECC">
          <w:rPr>
            <w:rStyle w:val="Hyperlink"/>
            <w:smallCaps/>
            <w:color w:val="000000" w:themeColor="text1"/>
            <w:sz w:val="20"/>
            <w:szCs w:val="20"/>
            <w:u w:val="none"/>
          </w:rPr>
          <w:t xml:space="preserve">P. </w:t>
        </w:r>
        <w:proofErr w:type="spellStart"/>
        <w:r w:rsidRPr="00E76ECC">
          <w:rPr>
            <w:rStyle w:val="Hyperlink"/>
            <w:smallCaps/>
            <w:color w:val="000000" w:themeColor="text1"/>
            <w:sz w:val="20"/>
            <w:szCs w:val="20"/>
            <w:u w:val="none"/>
          </w:rPr>
          <w:t>Vankrunkelsven</w:t>
        </w:r>
        <w:proofErr w:type="spellEnd"/>
      </w:hyperlink>
      <w:r w:rsidRPr="00E76ECC">
        <w:rPr>
          <w:color w:val="000000" w:themeColor="text1"/>
          <w:sz w:val="20"/>
          <w:szCs w:val="20"/>
        </w:rPr>
        <w:t xml:space="preserve"> en </w:t>
      </w:r>
      <w:hyperlink r:id="rId7" w:history="1">
        <w:r w:rsidRPr="00E76ECC">
          <w:rPr>
            <w:rStyle w:val="Hyperlink"/>
            <w:smallCaps/>
            <w:color w:val="000000" w:themeColor="text1"/>
            <w:sz w:val="20"/>
            <w:szCs w:val="20"/>
            <w:u w:val="none"/>
          </w:rPr>
          <w:t xml:space="preserve">M. </w:t>
        </w:r>
        <w:proofErr w:type="spellStart"/>
        <w:r w:rsidRPr="00E76ECC">
          <w:rPr>
            <w:rStyle w:val="Hyperlink"/>
            <w:smallCaps/>
            <w:color w:val="000000" w:themeColor="text1"/>
            <w:sz w:val="20"/>
            <w:szCs w:val="20"/>
            <w:u w:val="none"/>
          </w:rPr>
          <w:t>Taelman</w:t>
        </w:r>
        <w:proofErr w:type="spellEnd"/>
      </w:hyperlink>
      <w:r w:rsidRPr="00E76ECC">
        <w:rPr>
          <w:color w:val="000000" w:themeColor="text1"/>
          <w:sz w:val="20"/>
          <w:szCs w:val="20"/>
        </w:rPr>
        <w:t xml:space="preserve">) </w:t>
      </w:r>
      <w:r w:rsidRPr="00E76ECC">
        <w:rPr>
          <w:sz w:val="20"/>
          <w:szCs w:val="20"/>
        </w:rPr>
        <w:t xml:space="preserve">tot wijziging van artikel 3 van de wet van 28 mei 2002 betreffende de euthanasie,  inzake euthanasie bij minderjarigen, </w:t>
      </w:r>
      <w:proofErr w:type="spellStart"/>
      <w:r w:rsidRPr="00E76ECC">
        <w:rPr>
          <w:i/>
          <w:sz w:val="20"/>
          <w:szCs w:val="20"/>
        </w:rPr>
        <w:t>Parl</w:t>
      </w:r>
      <w:proofErr w:type="spellEnd"/>
      <w:r w:rsidRPr="00E76ECC">
        <w:rPr>
          <w:i/>
          <w:sz w:val="20"/>
          <w:szCs w:val="20"/>
        </w:rPr>
        <w:t>. St.</w:t>
      </w:r>
      <w:r w:rsidRPr="00E76ECC">
        <w:rPr>
          <w:sz w:val="20"/>
          <w:szCs w:val="20"/>
        </w:rPr>
        <w:t xml:space="preserve"> Senaat 2007-2008, nr. 4-920/1. Hierna </w:t>
      </w:r>
      <w:r>
        <w:rPr>
          <w:sz w:val="20"/>
          <w:szCs w:val="20"/>
        </w:rPr>
        <w:t>‘</w:t>
      </w:r>
      <w:r w:rsidRPr="00E76ECC">
        <w:rPr>
          <w:sz w:val="20"/>
          <w:szCs w:val="20"/>
        </w:rPr>
        <w:t xml:space="preserve">voorstel De </w:t>
      </w:r>
      <w:proofErr w:type="spellStart"/>
      <w:r w:rsidRPr="00E76ECC">
        <w:rPr>
          <w:sz w:val="20"/>
          <w:szCs w:val="20"/>
        </w:rPr>
        <w:t>Gucht</w:t>
      </w:r>
      <w:proofErr w:type="spellEnd"/>
      <w:r>
        <w:rPr>
          <w:sz w:val="20"/>
          <w:szCs w:val="20"/>
        </w:rPr>
        <w:t>’</w:t>
      </w:r>
      <w:r w:rsidRPr="00E76ECC">
        <w:rPr>
          <w:sz w:val="20"/>
          <w:szCs w:val="20"/>
        </w:rPr>
        <w:t>.</w:t>
      </w:r>
    </w:p>
  </w:footnote>
  <w:footnote w:id="94">
    <w:p w:rsidR="001A0466" w:rsidRPr="00E76ECC" w:rsidRDefault="001A0466" w:rsidP="00E76ECC">
      <w:pPr>
        <w:pStyle w:val="Geenafstand"/>
        <w:jc w:val="both"/>
        <w:rPr>
          <w:bCs/>
          <w:sz w:val="20"/>
          <w:szCs w:val="20"/>
          <w:lang w:val="nl-BE" w:eastAsia="ja-JP"/>
        </w:rPr>
      </w:pPr>
      <w:r w:rsidRPr="00E76ECC">
        <w:rPr>
          <w:rStyle w:val="Voetnootmarkering"/>
          <w:sz w:val="20"/>
          <w:szCs w:val="20"/>
        </w:rPr>
        <w:footnoteRef/>
      </w:r>
      <w:r w:rsidRPr="00E76ECC">
        <w:rPr>
          <w:sz w:val="20"/>
          <w:szCs w:val="20"/>
          <w:lang w:val="nl-BE"/>
        </w:rPr>
        <w:t xml:space="preserve"> </w:t>
      </w:r>
      <w:r w:rsidRPr="00E76ECC">
        <w:rPr>
          <w:bCs/>
          <w:sz w:val="20"/>
          <w:szCs w:val="20"/>
          <w:lang w:val="nl-BE" w:eastAsia="ja-JP"/>
        </w:rPr>
        <w:t xml:space="preserve">Wetsvoorstel van 19 december 2007 </w:t>
      </w:r>
      <w:r w:rsidRPr="00E76ECC">
        <w:rPr>
          <w:sz w:val="20"/>
          <w:szCs w:val="20"/>
          <w:lang w:val="nl-BE" w:eastAsia="ja-JP"/>
        </w:rPr>
        <w:t>(</w:t>
      </w:r>
      <w:r w:rsidRPr="00E76ECC">
        <w:rPr>
          <w:smallCaps/>
          <w:sz w:val="20"/>
          <w:szCs w:val="20"/>
          <w:lang w:val="nl-BE" w:eastAsia="ja-JP"/>
        </w:rPr>
        <w:t xml:space="preserve">M. </w:t>
      </w:r>
      <w:proofErr w:type="spellStart"/>
      <w:r w:rsidRPr="00E76ECC">
        <w:rPr>
          <w:smallCaps/>
          <w:sz w:val="20"/>
          <w:szCs w:val="20"/>
          <w:lang w:val="nl-BE" w:eastAsia="ja-JP"/>
        </w:rPr>
        <w:t>Detiège</w:t>
      </w:r>
      <w:proofErr w:type="spellEnd"/>
      <w:r w:rsidRPr="00E76ECC">
        <w:rPr>
          <w:sz w:val="20"/>
          <w:szCs w:val="20"/>
          <w:lang w:val="nl-BE" w:eastAsia="ja-JP"/>
        </w:rPr>
        <w:t>)</w:t>
      </w:r>
      <w:r w:rsidRPr="00E76ECC">
        <w:rPr>
          <w:sz w:val="20"/>
          <w:szCs w:val="20"/>
        </w:rPr>
        <w:t xml:space="preserve"> </w:t>
      </w:r>
      <w:r w:rsidRPr="00E76ECC">
        <w:rPr>
          <w:bCs/>
          <w:sz w:val="20"/>
          <w:szCs w:val="20"/>
          <w:lang w:val="nl-BE" w:eastAsia="ja-JP"/>
        </w:rPr>
        <w:t xml:space="preserve">tot wijziging van de wet van 28 mei 2002 betreffende de euthanasie voor wat betreft minderjarigen, </w:t>
      </w:r>
      <w:proofErr w:type="spellStart"/>
      <w:r w:rsidRPr="00E76ECC">
        <w:rPr>
          <w:bCs/>
          <w:i/>
          <w:sz w:val="20"/>
          <w:szCs w:val="20"/>
          <w:lang w:val="nl-BE" w:eastAsia="ja-JP"/>
        </w:rPr>
        <w:t>Parl</w:t>
      </w:r>
      <w:proofErr w:type="spellEnd"/>
      <w:r w:rsidRPr="00E76ECC">
        <w:rPr>
          <w:bCs/>
          <w:i/>
          <w:sz w:val="20"/>
          <w:szCs w:val="20"/>
          <w:lang w:val="nl-BE" w:eastAsia="ja-JP"/>
        </w:rPr>
        <w:t>. St.</w:t>
      </w:r>
      <w:r w:rsidRPr="00E76ECC">
        <w:rPr>
          <w:bCs/>
          <w:sz w:val="20"/>
          <w:szCs w:val="20"/>
          <w:lang w:val="nl-BE" w:eastAsia="ja-JP"/>
        </w:rPr>
        <w:t xml:space="preserve"> Kamer 2007-2008, nr. 611/1. Hierna </w:t>
      </w:r>
      <w:r>
        <w:rPr>
          <w:bCs/>
          <w:sz w:val="20"/>
          <w:szCs w:val="20"/>
          <w:lang w:val="nl-BE" w:eastAsia="ja-JP"/>
        </w:rPr>
        <w:t>‘</w:t>
      </w:r>
      <w:r w:rsidRPr="00E76ECC">
        <w:rPr>
          <w:bCs/>
          <w:sz w:val="20"/>
          <w:szCs w:val="20"/>
          <w:lang w:val="nl-BE" w:eastAsia="ja-JP"/>
        </w:rPr>
        <w:t xml:space="preserve">voorstel </w:t>
      </w:r>
      <w:proofErr w:type="spellStart"/>
      <w:r w:rsidRPr="00E76ECC">
        <w:rPr>
          <w:bCs/>
          <w:sz w:val="20"/>
          <w:szCs w:val="20"/>
          <w:lang w:val="nl-BE" w:eastAsia="ja-JP"/>
        </w:rPr>
        <w:t>Detiège</w:t>
      </w:r>
      <w:proofErr w:type="spellEnd"/>
      <w:r>
        <w:rPr>
          <w:bCs/>
          <w:sz w:val="20"/>
          <w:szCs w:val="20"/>
          <w:lang w:val="nl-BE" w:eastAsia="ja-JP"/>
        </w:rPr>
        <w:t>’</w:t>
      </w:r>
      <w:r w:rsidRPr="00E76ECC">
        <w:rPr>
          <w:bCs/>
          <w:sz w:val="20"/>
          <w:szCs w:val="20"/>
          <w:lang w:val="nl-BE" w:eastAsia="ja-JP"/>
        </w:rPr>
        <w:t xml:space="preserve">. Dit voorstel stemt echter overeen met het voorstel </w:t>
      </w:r>
      <w:proofErr w:type="spellStart"/>
      <w:r w:rsidRPr="00E76ECC">
        <w:rPr>
          <w:bCs/>
          <w:sz w:val="20"/>
          <w:szCs w:val="20"/>
          <w:lang w:val="nl-BE" w:eastAsia="ja-JP"/>
        </w:rPr>
        <w:t>Vanlerberghe</w:t>
      </w:r>
      <w:proofErr w:type="spellEnd"/>
      <w:r w:rsidRPr="00E76ECC">
        <w:rPr>
          <w:bCs/>
          <w:sz w:val="20"/>
          <w:szCs w:val="20"/>
          <w:lang w:val="nl-BE" w:eastAsia="ja-JP"/>
        </w:rPr>
        <w:t xml:space="preserve"> en wordt verder niet behandeld. Ook het nog te bespreken wetsvoorstel van 28 oktober 2010 neemt deze tekst over.</w:t>
      </w:r>
    </w:p>
  </w:footnote>
  <w:footnote w:id="95">
    <w:p w:rsidR="001A0466" w:rsidRPr="00E76ECC" w:rsidRDefault="001A0466" w:rsidP="00E76ECC">
      <w:pPr>
        <w:pStyle w:val="Voetnoottekst"/>
        <w:jc w:val="both"/>
      </w:pPr>
      <w:r w:rsidRPr="00E76ECC">
        <w:rPr>
          <w:rStyle w:val="Voetnootmarkering"/>
        </w:rPr>
        <w:footnoteRef/>
      </w:r>
      <w:r w:rsidRPr="00E76ECC">
        <w:t xml:space="preserve"> Zie ook </w:t>
      </w:r>
      <w:r w:rsidRPr="00E76ECC">
        <w:rPr>
          <w:lang w:val="nl-BE"/>
        </w:rPr>
        <w:t xml:space="preserve">H. </w:t>
      </w:r>
      <w:proofErr w:type="spellStart"/>
      <w:r w:rsidRPr="00E76ECC">
        <w:rPr>
          <w:lang w:val="nl-BE"/>
        </w:rPr>
        <w:t>N</w:t>
      </w:r>
      <w:r w:rsidRPr="00E76ECC">
        <w:rPr>
          <w:smallCaps/>
          <w:lang w:val="nl-BE"/>
        </w:rPr>
        <w:t>ys</w:t>
      </w:r>
      <w:proofErr w:type="spellEnd"/>
      <w:r w:rsidRPr="00E76ECC">
        <w:rPr>
          <w:lang w:val="nl-BE"/>
        </w:rPr>
        <w:t xml:space="preserve">, “Euthanasie bij kinderen naar Belgisch recht”, </w:t>
      </w:r>
      <w:r w:rsidRPr="00E76ECC">
        <w:rPr>
          <w:i/>
          <w:lang w:val="nl-BE"/>
        </w:rPr>
        <w:t>TJK</w:t>
      </w:r>
      <w:r w:rsidRPr="00E76ECC">
        <w:rPr>
          <w:lang w:val="nl-BE"/>
        </w:rPr>
        <w:t xml:space="preserve"> 2009, afl. 4, 279-281. In zijn werk worden deze eerste 3 voorstellen ook besproken.</w:t>
      </w:r>
    </w:p>
  </w:footnote>
  <w:footnote w:id="96">
    <w:p w:rsidR="001A0466" w:rsidRPr="00E76ECC" w:rsidRDefault="001A0466" w:rsidP="00E76ECC">
      <w:pPr>
        <w:pStyle w:val="Voetnoottekst"/>
        <w:jc w:val="both"/>
      </w:pPr>
      <w:r w:rsidRPr="00E76ECC">
        <w:rPr>
          <w:rStyle w:val="Voetnootmarkering"/>
        </w:rPr>
        <w:footnoteRef/>
      </w:r>
      <w:r w:rsidRPr="00E76ECC">
        <w:t xml:space="preserve"> Voorstel </w:t>
      </w:r>
      <w:proofErr w:type="spellStart"/>
      <w:r w:rsidRPr="00E76ECC">
        <w:t>Vanlerberghe</w:t>
      </w:r>
      <w:proofErr w:type="spellEnd"/>
      <w:r w:rsidRPr="00E76ECC">
        <w:t>.</w:t>
      </w:r>
    </w:p>
  </w:footnote>
  <w:footnote w:id="97">
    <w:p w:rsidR="001A0466" w:rsidRPr="00E76ECC" w:rsidRDefault="001A0466" w:rsidP="00E76ECC">
      <w:pPr>
        <w:pStyle w:val="Voetnoottekst"/>
        <w:jc w:val="both"/>
        <w:rPr>
          <w:lang w:val="nl-BE"/>
        </w:rPr>
      </w:pPr>
      <w:r w:rsidRPr="00E76ECC">
        <w:rPr>
          <w:rStyle w:val="Voetnootmarkering"/>
        </w:rPr>
        <w:footnoteRef/>
      </w:r>
      <w:r w:rsidRPr="00E76ECC">
        <w:rPr>
          <w:lang w:val="nl-BE"/>
        </w:rPr>
        <w:t xml:space="preserve"> Voorstel </w:t>
      </w:r>
      <w:proofErr w:type="spellStart"/>
      <w:r w:rsidRPr="00E76ECC">
        <w:rPr>
          <w:lang w:val="nl-BE"/>
        </w:rPr>
        <w:t>Vanlerberghe</w:t>
      </w:r>
      <w:proofErr w:type="spellEnd"/>
      <w:r w:rsidRPr="00E76ECC">
        <w:rPr>
          <w:lang w:val="nl-BE"/>
        </w:rPr>
        <w:t xml:space="preserve"> en Voorstel </w:t>
      </w:r>
      <w:proofErr w:type="spellStart"/>
      <w:r w:rsidRPr="00E76ECC">
        <w:rPr>
          <w:lang w:val="nl-BE"/>
        </w:rPr>
        <w:t>Vankrunkelsven</w:t>
      </w:r>
      <w:proofErr w:type="spellEnd"/>
      <w:r w:rsidRPr="00E76ECC">
        <w:rPr>
          <w:lang w:val="nl-BE"/>
        </w:rPr>
        <w:t>.</w:t>
      </w:r>
    </w:p>
  </w:footnote>
  <w:footnote w:id="98">
    <w:p w:rsidR="001A0466" w:rsidRPr="00E76ECC" w:rsidRDefault="001A0466" w:rsidP="00E76ECC">
      <w:pPr>
        <w:pStyle w:val="Voetnoottekst"/>
        <w:jc w:val="both"/>
        <w:rPr>
          <w:lang w:val="nl-BE"/>
        </w:rPr>
      </w:pPr>
      <w:r w:rsidRPr="00E76ECC">
        <w:rPr>
          <w:rStyle w:val="Voetnootmarkering"/>
        </w:rPr>
        <w:footnoteRef/>
      </w:r>
      <w:r w:rsidRPr="00E76ECC">
        <w:rPr>
          <w:lang w:val="nl-BE"/>
        </w:rPr>
        <w:t xml:space="preserve"> Voorstel </w:t>
      </w:r>
      <w:proofErr w:type="spellStart"/>
      <w:r w:rsidRPr="00E76ECC">
        <w:rPr>
          <w:lang w:val="nl-BE"/>
        </w:rPr>
        <w:t>Vanlerberghe</w:t>
      </w:r>
      <w:proofErr w:type="spellEnd"/>
      <w:r w:rsidRPr="00E76ECC">
        <w:rPr>
          <w:lang w:val="nl-BE"/>
        </w:rPr>
        <w:t>.</w:t>
      </w:r>
    </w:p>
  </w:footnote>
  <w:footnote w:id="99">
    <w:p w:rsidR="001A0466" w:rsidRPr="00E76ECC" w:rsidRDefault="001A0466" w:rsidP="00E76ECC">
      <w:pPr>
        <w:pStyle w:val="Voetnoottekst"/>
        <w:jc w:val="both"/>
        <w:rPr>
          <w:lang w:val="nl-BE"/>
        </w:rPr>
      </w:pPr>
      <w:r w:rsidRPr="00E76ECC">
        <w:rPr>
          <w:rStyle w:val="Voetnootmarkering"/>
        </w:rPr>
        <w:footnoteRef/>
      </w:r>
      <w:r w:rsidRPr="00E76ECC">
        <w:rPr>
          <w:lang w:val="nl-BE"/>
        </w:rPr>
        <w:t xml:space="preserve"> Voorstel De </w:t>
      </w:r>
      <w:proofErr w:type="spellStart"/>
      <w:r w:rsidRPr="00E76ECC">
        <w:rPr>
          <w:lang w:val="nl-BE"/>
        </w:rPr>
        <w:t>Gucht</w:t>
      </w:r>
      <w:proofErr w:type="spellEnd"/>
      <w:r w:rsidRPr="00E76ECC">
        <w:rPr>
          <w:lang w:val="nl-BE"/>
        </w:rPr>
        <w:t>.</w:t>
      </w:r>
    </w:p>
  </w:footnote>
  <w:footnote w:id="100">
    <w:p w:rsidR="001A0466" w:rsidRPr="00E76ECC" w:rsidRDefault="001A0466" w:rsidP="00E76ECC">
      <w:pPr>
        <w:pStyle w:val="Voetnoottekst"/>
        <w:jc w:val="both"/>
        <w:rPr>
          <w:lang w:val="nl-BE"/>
        </w:rPr>
      </w:pPr>
      <w:r w:rsidRPr="00E76ECC">
        <w:rPr>
          <w:rStyle w:val="Voetnootmarkering"/>
        </w:rPr>
        <w:footnoteRef/>
      </w:r>
      <w:r w:rsidRPr="00E76ECC">
        <w:rPr>
          <w:lang w:val="nl-BE"/>
        </w:rPr>
        <w:t xml:space="preserve"> Voorstel De </w:t>
      </w:r>
      <w:proofErr w:type="spellStart"/>
      <w:r w:rsidRPr="00E76ECC">
        <w:rPr>
          <w:lang w:val="nl-BE"/>
        </w:rPr>
        <w:t>Gucht</w:t>
      </w:r>
      <w:proofErr w:type="spellEnd"/>
      <w:r w:rsidRPr="00E76ECC">
        <w:rPr>
          <w:lang w:val="nl-BE"/>
        </w:rPr>
        <w:t>.</w:t>
      </w:r>
    </w:p>
  </w:footnote>
  <w:footnote w:id="101">
    <w:p w:rsidR="001A0466" w:rsidRPr="00E76ECC" w:rsidRDefault="001A0466" w:rsidP="00E76ECC">
      <w:pPr>
        <w:pStyle w:val="Voetnoottekst"/>
        <w:jc w:val="both"/>
      </w:pPr>
      <w:r w:rsidRPr="00E76ECC">
        <w:rPr>
          <w:rStyle w:val="Voetnootmarkering"/>
        </w:rPr>
        <w:footnoteRef/>
      </w:r>
      <w:r w:rsidRPr="00E76ECC">
        <w:t xml:space="preserve"> Voorstel </w:t>
      </w:r>
      <w:proofErr w:type="spellStart"/>
      <w:r w:rsidRPr="00E76ECC">
        <w:t>Vankrunkelsven</w:t>
      </w:r>
      <w:proofErr w:type="spellEnd"/>
      <w:r w:rsidRPr="00E76ECC">
        <w:t>.</w:t>
      </w:r>
    </w:p>
  </w:footnote>
  <w:footnote w:id="102">
    <w:p w:rsidR="001A0466" w:rsidRPr="00E76ECC" w:rsidRDefault="001A0466" w:rsidP="00E76ECC">
      <w:pPr>
        <w:pStyle w:val="Voetnoottekst"/>
        <w:jc w:val="both"/>
        <w:rPr>
          <w:lang w:val="nl-BE"/>
        </w:rPr>
      </w:pPr>
      <w:r w:rsidRPr="00E76ECC">
        <w:rPr>
          <w:rStyle w:val="Voetnootmarkering"/>
        </w:rPr>
        <w:footnoteRef/>
      </w:r>
      <w:r w:rsidRPr="00E76ECC">
        <w:rPr>
          <w:lang w:val="nl-BE"/>
        </w:rPr>
        <w:t xml:space="preserve"> Voorstel De </w:t>
      </w:r>
      <w:proofErr w:type="spellStart"/>
      <w:r w:rsidRPr="00E76ECC">
        <w:rPr>
          <w:lang w:val="nl-BE"/>
        </w:rPr>
        <w:t>Gucht</w:t>
      </w:r>
      <w:proofErr w:type="spellEnd"/>
      <w:r w:rsidRPr="00E76ECC">
        <w:rPr>
          <w:lang w:val="nl-BE"/>
        </w:rPr>
        <w:t xml:space="preserve"> en voorstel </w:t>
      </w:r>
      <w:proofErr w:type="spellStart"/>
      <w:r w:rsidRPr="00E76ECC">
        <w:rPr>
          <w:lang w:val="nl-BE"/>
        </w:rPr>
        <w:t>Vankrunkelsven</w:t>
      </w:r>
      <w:proofErr w:type="spellEnd"/>
      <w:r w:rsidRPr="00E76ECC">
        <w:rPr>
          <w:lang w:val="nl-BE"/>
        </w:rPr>
        <w:t>.</w:t>
      </w:r>
    </w:p>
  </w:footnote>
  <w:footnote w:id="103">
    <w:p w:rsidR="001A0466" w:rsidRPr="00E76ECC" w:rsidRDefault="001A0466" w:rsidP="00E76ECC">
      <w:pPr>
        <w:pStyle w:val="Voetnoottekst"/>
        <w:jc w:val="both"/>
        <w:rPr>
          <w:lang w:val="nl-BE"/>
        </w:rPr>
      </w:pPr>
      <w:r w:rsidRPr="00E76ECC">
        <w:rPr>
          <w:rStyle w:val="Voetnootmarkering"/>
        </w:rPr>
        <w:footnoteRef/>
      </w:r>
      <w:r w:rsidRPr="00E76ECC">
        <w:rPr>
          <w:lang w:val="nl-BE"/>
        </w:rPr>
        <w:t xml:space="preserve"> Voorstel </w:t>
      </w:r>
      <w:proofErr w:type="spellStart"/>
      <w:r w:rsidRPr="00E76ECC">
        <w:rPr>
          <w:lang w:val="nl-BE"/>
        </w:rPr>
        <w:t>Vanlerberghe</w:t>
      </w:r>
      <w:proofErr w:type="spellEnd"/>
      <w:r w:rsidRPr="00E76ECC">
        <w:rPr>
          <w:lang w:val="nl-BE"/>
        </w:rPr>
        <w:t>.</w:t>
      </w:r>
    </w:p>
  </w:footnote>
  <w:footnote w:id="104">
    <w:p w:rsidR="001A0466" w:rsidRPr="001606A0" w:rsidRDefault="001A0466" w:rsidP="00E76ECC">
      <w:pPr>
        <w:pStyle w:val="Voetnoottekst"/>
        <w:jc w:val="both"/>
        <w:rPr>
          <w:lang w:val="nl-BE"/>
        </w:rPr>
      </w:pPr>
      <w:r>
        <w:rPr>
          <w:rStyle w:val="Voetnootmarkering"/>
        </w:rPr>
        <w:footnoteRef/>
      </w:r>
      <w:r w:rsidRPr="001606A0">
        <w:rPr>
          <w:lang w:val="nl-BE"/>
        </w:rPr>
        <w:t xml:space="preserve"> Voorstel </w:t>
      </w:r>
      <w:proofErr w:type="spellStart"/>
      <w:r w:rsidRPr="001606A0">
        <w:rPr>
          <w:lang w:val="nl-BE"/>
        </w:rPr>
        <w:t>Vanlerberghe</w:t>
      </w:r>
      <w:proofErr w:type="spellEnd"/>
      <w:r>
        <w:rPr>
          <w:lang w:val="nl-BE"/>
        </w:rPr>
        <w:t xml:space="preserve"> en voorstel De </w:t>
      </w:r>
      <w:proofErr w:type="spellStart"/>
      <w:r>
        <w:rPr>
          <w:lang w:val="nl-BE"/>
        </w:rPr>
        <w:t>Gucht</w:t>
      </w:r>
      <w:proofErr w:type="spellEnd"/>
      <w:r>
        <w:rPr>
          <w:lang w:val="nl-BE"/>
        </w:rPr>
        <w:t>.</w:t>
      </w:r>
    </w:p>
  </w:footnote>
  <w:footnote w:id="105">
    <w:p w:rsidR="001A0466" w:rsidRPr="00521E3F" w:rsidRDefault="001A0466" w:rsidP="00E76ECC">
      <w:pPr>
        <w:pStyle w:val="Voetnoottekst"/>
        <w:jc w:val="both"/>
      </w:pPr>
      <w:r>
        <w:rPr>
          <w:rStyle w:val="Voetnootmarkering"/>
        </w:rPr>
        <w:footnoteRef/>
      </w:r>
      <w:r>
        <w:t xml:space="preserve"> Voorstel </w:t>
      </w:r>
      <w:proofErr w:type="spellStart"/>
      <w:r>
        <w:t>Vanlerberghe</w:t>
      </w:r>
      <w:proofErr w:type="spellEnd"/>
      <w:r>
        <w:t>.</w:t>
      </w:r>
    </w:p>
  </w:footnote>
  <w:footnote w:id="106">
    <w:p w:rsidR="001A0466" w:rsidRPr="00521E3F" w:rsidRDefault="001A0466" w:rsidP="00E76ECC">
      <w:pPr>
        <w:pStyle w:val="Voetnoottekst"/>
        <w:jc w:val="both"/>
      </w:pPr>
      <w:r>
        <w:rPr>
          <w:rStyle w:val="Voetnootmarkering"/>
        </w:rPr>
        <w:footnoteRef/>
      </w:r>
      <w:r>
        <w:t xml:space="preserve"> </w:t>
      </w:r>
      <w:r w:rsidRPr="00521E3F">
        <w:rPr>
          <w:i/>
        </w:rPr>
        <w:t>Ibid</w:t>
      </w:r>
      <w:r>
        <w:t>.</w:t>
      </w:r>
    </w:p>
  </w:footnote>
  <w:footnote w:id="107">
    <w:p w:rsidR="001A0466" w:rsidRPr="001606A0" w:rsidRDefault="001A0466" w:rsidP="00E76ECC">
      <w:pPr>
        <w:pStyle w:val="Voetnoottekst"/>
        <w:jc w:val="both"/>
        <w:rPr>
          <w:lang w:val="nl-BE"/>
        </w:rPr>
      </w:pPr>
      <w:r>
        <w:rPr>
          <w:rStyle w:val="Voetnootmarkering"/>
        </w:rPr>
        <w:footnoteRef/>
      </w:r>
      <w:r w:rsidRPr="001606A0">
        <w:rPr>
          <w:lang w:val="nl-BE"/>
        </w:rPr>
        <w:t xml:space="preserve"> Het onderzoek wordt aangehaald in het voorstel van </w:t>
      </w:r>
      <w:proofErr w:type="spellStart"/>
      <w:r w:rsidRPr="001606A0">
        <w:rPr>
          <w:lang w:val="nl-BE"/>
        </w:rPr>
        <w:t>Vanlerberghe</w:t>
      </w:r>
      <w:proofErr w:type="spellEnd"/>
      <w:r w:rsidRPr="001606A0">
        <w:rPr>
          <w:lang w:val="nl-BE"/>
        </w:rPr>
        <w:t>, de rec</w:t>
      </w:r>
      <w:r>
        <w:rPr>
          <w:lang w:val="nl-BE"/>
        </w:rPr>
        <w:t>h</w:t>
      </w:r>
      <w:r w:rsidRPr="001606A0">
        <w:rPr>
          <w:lang w:val="nl-BE"/>
        </w:rPr>
        <w:t>tszekerheid wordt in alle wetsvoorstellen aangehaald.</w:t>
      </w:r>
    </w:p>
  </w:footnote>
  <w:footnote w:id="108">
    <w:p w:rsidR="001A0466" w:rsidRPr="00F76F4D" w:rsidRDefault="001A0466" w:rsidP="00E76ECC">
      <w:pPr>
        <w:pStyle w:val="Voetnoottekst"/>
        <w:jc w:val="both"/>
      </w:pPr>
      <w:r>
        <w:rPr>
          <w:rStyle w:val="Voetnootmarkering"/>
        </w:rPr>
        <w:footnoteRef/>
      </w:r>
      <w:r>
        <w:t xml:space="preserve"> Het voorstel </w:t>
      </w:r>
      <w:proofErr w:type="spellStart"/>
      <w:r>
        <w:t>Vankrunkelsven</w:t>
      </w:r>
      <w:proofErr w:type="spellEnd"/>
      <w:r>
        <w:t xml:space="preserve"> gebruikt deze term niet letterlijk.</w:t>
      </w:r>
    </w:p>
  </w:footnote>
  <w:footnote w:id="109">
    <w:p w:rsidR="001A0466" w:rsidRPr="00F76F4D" w:rsidRDefault="001A0466" w:rsidP="00E76ECC">
      <w:pPr>
        <w:pStyle w:val="Voetnoottekst"/>
        <w:jc w:val="both"/>
        <w:rPr>
          <w:lang w:val="nl-BE"/>
        </w:rPr>
      </w:pPr>
      <w:r>
        <w:rPr>
          <w:rStyle w:val="Voetnootmarkering"/>
        </w:rPr>
        <w:footnoteRef/>
      </w:r>
      <w:r w:rsidRPr="00F76F4D">
        <w:rPr>
          <w:lang w:val="nl-BE"/>
        </w:rPr>
        <w:t xml:space="preserve"> Voorstel </w:t>
      </w:r>
      <w:proofErr w:type="spellStart"/>
      <w:r w:rsidRPr="00F76F4D">
        <w:rPr>
          <w:lang w:val="nl-BE"/>
        </w:rPr>
        <w:t>Vanlerberghe</w:t>
      </w:r>
      <w:proofErr w:type="spellEnd"/>
      <w:r w:rsidRPr="00F76F4D">
        <w:rPr>
          <w:lang w:val="nl-BE"/>
        </w:rPr>
        <w:t xml:space="preserve"> en voorstel De </w:t>
      </w:r>
      <w:proofErr w:type="spellStart"/>
      <w:r w:rsidRPr="00F76F4D">
        <w:rPr>
          <w:lang w:val="nl-BE"/>
        </w:rPr>
        <w:t>Gucht</w:t>
      </w:r>
      <w:proofErr w:type="spellEnd"/>
      <w:r w:rsidRPr="00F76F4D">
        <w:rPr>
          <w:lang w:val="nl-BE"/>
        </w:rPr>
        <w:t>.</w:t>
      </w:r>
    </w:p>
  </w:footnote>
  <w:footnote w:id="110">
    <w:p w:rsidR="001A0466" w:rsidRPr="006A5068" w:rsidRDefault="001A0466" w:rsidP="00E76ECC">
      <w:pPr>
        <w:pStyle w:val="Voetnoottekst"/>
        <w:jc w:val="both"/>
      </w:pPr>
      <w:r>
        <w:rPr>
          <w:rStyle w:val="Voetnootmarkering"/>
        </w:rPr>
        <w:footnoteRef/>
      </w:r>
      <w:r>
        <w:t xml:space="preserve"> In het voorstel De </w:t>
      </w:r>
      <w:proofErr w:type="spellStart"/>
      <w:r>
        <w:t>Gucht</w:t>
      </w:r>
      <w:proofErr w:type="spellEnd"/>
      <w:r>
        <w:t xml:space="preserve"> wordt wel geen ondergrens gehanteerd, maar wordt geopteerd voor de term ‘oordeelsvermogen’ als onderscheidingscriterium.</w:t>
      </w:r>
    </w:p>
  </w:footnote>
  <w:footnote w:id="111">
    <w:p w:rsidR="001A0466" w:rsidRPr="00E76ECC" w:rsidRDefault="001A0466" w:rsidP="00E66F22">
      <w:pPr>
        <w:pStyle w:val="Geenafstand"/>
        <w:jc w:val="both"/>
        <w:rPr>
          <w:sz w:val="20"/>
          <w:szCs w:val="20"/>
          <w:lang w:val="nl-BE"/>
        </w:rPr>
      </w:pPr>
      <w:r w:rsidRPr="00E76ECC">
        <w:rPr>
          <w:rStyle w:val="Voetnootmarkering"/>
          <w:sz w:val="20"/>
          <w:szCs w:val="20"/>
        </w:rPr>
        <w:footnoteRef/>
      </w:r>
      <w:r w:rsidRPr="00E76ECC">
        <w:rPr>
          <w:sz w:val="20"/>
          <w:szCs w:val="20"/>
          <w:lang w:val="nl-BE"/>
        </w:rPr>
        <w:t xml:space="preserve"> </w:t>
      </w:r>
      <w:r w:rsidRPr="00E76ECC">
        <w:rPr>
          <w:sz w:val="20"/>
          <w:szCs w:val="20"/>
        </w:rPr>
        <w:t>Wetsvoorstel van 28 oktober 2010 (</w:t>
      </w:r>
      <w:r w:rsidRPr="00E76ECC">
        <w:rPr>
          <w:smallCaps/>
          <w:sz w:val="20"/>
          <w:szCs w:val="20"/>
          <w:lang w:val="nl-BE"/>
        </w:rPr>
        <w:t xml:space="preserve">M. </w:t>
      </w:r>
      <w:proofErr w:type="spellStart"/>
      <w:r w:rsidRPr="00E76ECC">
        <w:rPr>
          <w:smallCaps/>
          <w:sz w:val="20"/>
          <w:szCs w:val="20"/>
          <w:lang w:val="nl-BE"/>
        </w:rPr>
        <w:t>Vanlerberghe</w:t>
      </w:r>
      <w:proofErr w:type="spellEnd"/>
      <w:r w:rsidRPr="00E76ECC">
        <w:rPr>
          <w:smallCaps/>
          <w:sz w:val="20"/>
          <w:szCs w:val="20"/>
          <w:lang w:val="nl-BE"/>
        </w:rPr>
        <w:t xml:space="preserve">, R. </w:t>
      </w:r>
      <w:proofErr w:type="spellStart"/>
      <w:r w:rsidRPr="00E76ECC">
        <w:rPr>
          <w:smallCaps/>
          <w:sz w:val="20"/>
          <w:szCs w:val="20"/>
          <w:lang w:val="nl-BE"/>
        </w:rPr>
        <w:t>Landuyt</w:t>
      </w:r>
      <w:proofErr w:type="spellEnd"/>
      <w:r w:rsidRPr="00E76ECC">
        <w:rPr>
          <w:smallCaps/>
          <w:sz w:val="20"/>
          <w:szCs w:val="20"/>
        </w:rPr>
        <w:t>,</w:t>
      </w:r>
      <w:r w:rsidRPr="00E76ECC">
        <w:rPr>
          <w:smallCaps/>
          <w:sz w:val="20"/>
          <w:szCs w:val="20"/>
          <w:lang w:val="nl-BE"/>
        </w:rPr>
        <w:t xml:space="preserve"> </w:t>
      </w:r>
      <w:hyperlink r:id="rId8" w:history="1">
        <w:r w:rsidRPr="00E76ECC">
          <w:rPr>
            <w:rStyle w:val="Hyperlink"/>
            <w:smallCaps/>
            <w:color w:val="000000" w:themeColor="text1"/>
            <w:sz w:val="20"/>
            <w:szCs w:val="20"/>
            <w:u w:val="none"/>
            <w:lang w:val="nl-BE"/>
          </w:rPr>
          <w:t xml:space="preserve">M. </w:t>
        </w:r>
        <w:proofErr w:type="spellStart"/>
        <w:r w:rsidRPr="00E76ECC">
          <w:rPr>
            <w:rStyle w:val="Hyperlink"/>
            <w:smallCaps/>
            <w:color w:val="000000" w:themeColor="text1"/>
            <w:sz w:val="20"/>
            <w:szCs w:val="20"/>
            <w:u w:val="none"/>
            <w:lang w:val="nl-BE"/>
          </w:rPr>
          <w:t>Detiège</w:t>
        </w:r>
        <w:proofErr w:type="spellEnd"/>
      </w:hyperlink>
      <w:r w:rsidRPr="00E76ECC">
        <w:rPr>
          <w:sz w:val="20"/>
          <w:szCs w:val="20"/>
        </w:rPr>
        <w:t xml:space="preserve">) tot aanvulling van de wet van 28 mei 2002 betreffende de euthanasie, wat minderjarigen betreft, </w:t>
      </w:r>
      <w:proofErr w:type="spellStart"/>
      <w:r w:rsidRPr="00E76ECC">
        <w:rPr>
          <w:i/>
          <w:sz w:val="20"/>
          <w:szCs w:val="20"/>
        </w:rPr>
        <w:t>Parl</w:t>
      </w:r>
      <w:proofErr w:type="spellEnd"/>
      <w:r w:rsidRPr="00E76ECC">
        <w:rPr>
          <w:i/>
          <w:sz w:val="20"/>
          <w:szCs w:val="20"/>
        </w:rPr>
        <w:t xml:space="preserve">. </w:t>
      </w:r>
      <w:r w:rsidRPr="00E76ECC">
        <w:rPr>
          <w:i/>
          <w:sz w:val="20"/>
          <w:szCs w:val="20"/>
          <w:lang w:val="nl-BE"/>
        </w:rPr>
        <w:t>St.</w:t>
      </w:r>
      <w:r w:rsidRPr="00E76ECC">
        <w:rPr>
          <w:sz w:val="20"/>
          <w:szCs w:val="20"/>
          <w:lang w:val="nl-BE"/>
        </w:rPr>
        <w:t xml:space="preserve"> Kamer 2010-2011,  nr. 0496/001.</w:t>
      </w:r>
    </w:p>
  </w:footnote>
  <w:footnote w:id="112">
    <w:p w:rsidR="001A0466" w:rsidRPr="00E76ECC" w:rsidRDefault="001A0466" w:rsidP="00E66F22">
      <w:pPr>
        <w:pStyle w:val="Geenafstand"/>
        <w:jc w:val="both"/>
        <w:rPr>
          <w:sz w:val="20"/>
          <w:szCs w:val="20"/>
          <w:lang w:val="nl-BE" w:eastAsia="ja-JP"/>
        </w:rPr>
      </w:pPr>
      <w:r w:rsidRPr="00E76ECC">
        <w:rPr>
          <w:rStyle w:val="Voetnootmarkering"/>
          <w:sz w:val="20"/>
          <w:szCs w:val="20"/>
        </w:rPr>
        <w:footnoteRef/>
      </w:r>
      <w:r w:rsidRPr="00E76ECC">
        <w:rPr>
          <w:sz w:val="20"/>
          <w:szCs w:val="20"/>
          <w:lang w:val="nl-BE"/>
        </w:rPr>
        <w:t xml:space="preserve"> </w:t>
      </w:r>
      <w:r w:rsidRPr="00E76ECC">
        <w:rPr>
          <w:sz w:val="20"/>
          <w:szCs w:val="20"/>
          <w:lang w:val="nl-BE" w:eastAsia="ja-JP"/>
        </w:rPr>
        <w:t xml:space="preserve">Wetsvoorstel van 16 augustus 2010 (A. </w:t>
      </w:r>
      <w:r w:rsidRPr="00E76ECC">
        <w:rPr>
          <w:smallCaps/>
          <w:sz w:val="20"/>
          <w:szCs w:val="20"/>
          <w:lang w:val="nl-BE" w:eastAsia="ja-JP"/>
        </w:rPr>
        <w:t xml:space="preserve">De </w:t>
      </w:r>
      <w:proofErr w:type="spellStart"/>
      <w:r w:rsidRPr="00E76ECC">
        <w:rPr>
          <w:smallCaps/>
          <w:sz w:val="20"/>
          <w:szCs w:val="20"/>
          <w:lang w:val="nl-BE" w:eastAsia="ja-JP"/>
        </w:rPr>
        <w:t>Croo</w:t>
      </w:r>
      <w:proofErr w:type="spellEnd"/>
      <w:r w:rsidRPr="00E76ECC">
        <w:rPr>
          <w:sz w:val="20"/>
          <w:szCs w:val="20"/>
          <w:lang w:val="nl-BE" w:eastAsia="ja-JP"/>
        </w:rPr>
        <w:t xml:space="preserve"> et. al.) tot wijziging van artikel 3 van de wet van 28 mei 2002 betreffende de euthanasie, inzake euthanasie bij minderjarigen, </w:t>
      </w:r>
      <w:proofErr w:type="spellStart"/>
      <w:r w:rsidRPr="00E76ECC">
        <w:rPr>
          <w:i/>
          <w:sz w:val="20"/>
          <w:szCs w:val="20"/>
          <w:lang w:val="nl-BE" w:eastAsia="ja-JP"/>
        </w:rPr>
        <w:t>Parl</w:t>
      </w:r>
      <w:proofErr w:type="spellEnd"/>
      <w:r w:rsidRPr="00E76ECC">
        <w:rPr>
          <w:i/>
          <w:sz w:val="20"/>
          <w:szCs w:val="20"/>
          <w:lang w:val="nl-BE" w:eastAsia="ja-JP"/>
        </w:rPr>
        <w:t>. St.</w:t>
      </w:r>
      <w:r w:rsidRPr="00E76ECC">
        <w:rPr>
          <w:sz w:val="20"/>
          <w:szCs w:val="20"/>
          <w:lang w:val="nl-BE" w:eastAsia="ja-JP"/>
        </w:rPr>
        <w:t xml:space="preserve"> Senaat BZ 2010, nr. 5-21/1.</w:t>
      </w:r>
    </w:p>
  </w:footnote>
  <w:footnote w:id="113">
    <w:p w:rsidR="001A0466" w:rsidRPr="00E76ECC" w:rsidRDefault="001A0466" w:rsidP="00E66F22">
      <w:pPr>
        <w:pStyle w:val="Geenafstand"/>
        <w:jc w:val="both"/>
        <w:rPr>
          <w:sz w:val="20"/>
          <w:szCs w:val="20"/>
        </w:rPr>
      </w:pPr>
      <w:r w:rsidRPr="00E76ECC">
        <w:rPr>
          <w:rStyle w:val="Voetnootmarkering"/>
          <w:sz w:val="20"/>
          <w:szCs w:val="20"/>
        </w:rPr>
        <w:footnoteRef/>
      </w:r>
      <w:r w:rsidRPr="00E76ECC">
        <w:rPr>
          <w:sz w:val="20"/>
          <w:szCs w:val="20"/>
          <w:lang w:val="nl-BE"/>
        </w:rPr>
        <w:t xml:space="preserve"> </w:t>
      </w:r>
      <w:r w:rsidRPr="00E76ECC">
        <w:rPr>
          <w:sz w:val="20"/>
          <w:szCs w:val="20"/>
        </w:rPr>
        <w:t>Wetsvoorstel van 23 september 2010 (</w:t>
      </w:r>
      <w:hyperlink r:id="rId9" w:history="1">
        <w:r w:rsidRPr="00E76ECC">
          <w:rPr>
            <w:rStyle w:val="Hyperlink"/>
            <w:smallCaps/>
            <w:color w:val="000000" w:themeColor="text1"/>
            <w:sz w:val="20"/>
            <w:szCs w:val="20"/>
            <w:u w:val="none"/>
          </w:rPr>
          <w:t xml:space="preserve">C. </w:t>
        </w:r>
        <w:proofErr w:type="spellStart"/>
        <w:r w:rsidRPr="00E76ECC">
          <w:rPr>
            <w:rStyle w:val="Hyperlink"/>
            <w:smallCaps/>
            <w:color w:val="000000" w:themeColor="text1"/>
            <w:sz w:val="20"/>
            <w:szCs w:val="20"/>
            <w:u w:val="none"/>
          </w:rPr>
          <w:t>Defraigne</w:t>
        </w:r>
        <w:proofErr w:type="spellEnd"/>
      </w:hyperlink>
      <w:r w:rsidRPr="00E76ECC">
        <w:rPr>
          <w:sz w:val="20"/>
          <w:szCs w:val="20"/>
        </w:rPr>
        <w:t xml:space="preserve">) tot wijziging van de wet van 28 mei 2002 betreffende de euthanasie wat minderjarigen van vijftien jaar en ouder betreft, </w:t>
      </w:r>
      <w:proofErr w:type="spellStart"/>
      <w:r w:rsidRPr="00E76ECC">
        <w:rPr>
          <w:i/>
          <w:sz w:val="20"/>
          <w:szCs w:val="20"/>
        </w:rPr>
        <w:t>Parl</w:t>
      </w:r>
      <w:proofErr w:type="spellEnd"/>
      <w:r w:rsidRPr="00E76ECC">
        <w:rPr>
          <w:i/>
          <w:sz w:val="20"/>
          <w:szCs w:val="20"/>
        </w:rPr>
        <w:t>. St.</w:t>
      </w:r>
      <w:r w:rsidRPr="00E76ECC">
        <w:rPr>
          <w:sz w:val="20"/>
          <w:szCs w:val="20"/>
        </w:rPr>
        <w:t xml:space="preserve"> Senaat BZ 2010, nr. 5-179/1. Hierna </w:t>
      </w:r>
      <w:r>
        <w:rPr>
          <w:sz w:val="20"/>
          <w:szCs w:val="20"/>
        </w:rPr>
        <w:t>‘</w:t>
      </w:r>
      <w:r w:rsidRPr="00E76ECC">
        <w:rPr>
          <w:sz w:val="20"/>
          <w:szCs w:val="20"/>
        </w:rPr>
        <w:t xml:space="preserve">voorstel </w:t>
      </w:r>
      <w:proofErr w:type="spellStart"/>
      <w:r w:rsidRPr="00E76ECC">
        <w:rPr>
          <w:sz w:val="20"/>
          <w:szCs w:val="20"/>
        </w:rPr>
        <w:t>Defraigne</w:t>
      </w:r>
      <w:proofErr w:type="spellEnd"/>
      <w:r>
        <w:rPr>
          <w:sz w:val="20"/>
          <w:szCs w:val="20"/>
        </w:rPr>
        <w:t>’</w:t>
      </w:r>
      <w:r w:rsidRPr="00E76ECC">
        <w:rPr>
          <w:sz w:val="20"/>
          <w:szCs w:val="20"/>
        </w:rPr>
        <w:t>.</w:t>
      </w:r>
    </w:p>
  </w:footnote>
  <w:footnote w:id="114">
    <w:p w:rsidR="001A0466" w:rsidRPr="00E76ECC" w:rsidRDefault="001A0466" w:rsidP="00E66F22">
      <w:pPr>
        <w:pStyle w:val="Voetnoottekst"/>
        <w:jc w:val="both"/>
      </w:pPr>
      <w:r w:rsidRPr="00E76ECC">
        <w:rPr>
          <w:rStyle w:val="Voetnootmarkering"/>
        </w:rPr>
        <w:footnoteRef/>
      </w:r>
      <w:r w:rsidRPr="00E76ECC">
        <w:t xml:space="preserve"> Een ontvoogding kan vanaf d</w:t>
      </w:r>
      <w:r>
        <w:t>e leeftijd van 15 jaar. Zie artikel 477 lid 1 B.W. en artikel</w:t>
      </w:r>
      <w:r w:rsidRPr="00E76ECC">
        <w:t xml:space="preserve"> 478 lid 1 B.W. en het voorstel </w:t>
      </w:r>
      <w:proofErr w:type="spellStart"/>
      <w:r w:rsidRPr="00E76ECC">
        <w:t>Defraigne</w:t>
      </w:r>
      <w:proofErr w:type="spellEnd"/>
      <w:r w:rsidRPr="00E76ECC">
        <w:t>.</w:t>
      </w:r>
    </w:p>
  </w:footnote>
  <w:footnote w:id="115">
    <w:p w:rsidR="001A0466" w:rsidRPr="00E76ECC" w:rsidRDefault="001A0466" w:rsidP="00E66F22">
      <w:pPr>
        <w:pStyle w:val="Voetnoottekst"/>
        <w:jc w:val="both"/>
        <w:rPr>
          <w:lang w:val="nl-BE"/>
        </w:rPr>
      </w:pPr>
      <w:r w:rsidRPr="00E76ECC">
        <w:rPr>
          <w:rStyle w:val="Voetnootmarkering"/>
        </w:rPr>
        <w:footnoteRef/>
      </w:r>
      <w:r w:rsidRPr="00E76ECC">
        <w:rPr>
          <w:lang w:val="nl-BE"/>
        </w:rPr>
        <w:t xml:space="preserve"> Dit ligt in de lijn van het voorstel De </w:t>
      </w:r>
      <w:proofErr w:type="spellStart"/>
      <w:r w:rsidRPr="00E76ECC">
        <w:rPr>
          <w:lang w:val="nl-BE"/>
        </w:rPr>
        <w:t>Gucht</w:t>
      </w:r>
      <w:proofErr w:type="spellEnd"/>
      <w:r w:rsidRPr="00E76ECC">
        <w:rPr>
          <w:lang w:val="nl-BE"/>
        </w:rPr>
        <w:t xml:space="preserve"> (voor minderjarigen die de leeftijd van 16 jaar bereikten). In de andere voorstellen moeten ouders wel akkoord gaan met euthanasie bij hun minderjarig kind.</w:t>
      </w:r>
    </w:p>
  </w:footnote>
  <w:footnote w:id="116">
    <w:p w:rsidR="001A0466" w:rsidRPr="00047DF8" w:rsidRDefault="001A0466" w:rsidP="00E66F22">
      <w:pPr>
        <w:pStyle w:val="Voetnoottekst"/>
        <w:jc w:val="both"/>
      </w:pPr>
      <w:r w:rsidRPr="00E76ECC">
        <w:rPr>
          <w:rStyle w:val="Voetnootmarkering"/>
        </w:rPr>
        <w:footnoteRef/>
      </w:r>
      <w:r w:rsidRPr="00E76ECC">
        <w:t xml:space="preserve"> Christine </w:t>
      </w:r>
      <w:proofErr w:type="spellStart"/>
      <w:r w:rsidRPr="00E76ECC">
        <w:t>Defraign</w:t>
      </w:r>
      <w:r>
        <w:t>e</w:t>
      </w:r>
      <w:proofErr w:type="spellEnd"/>
      <w:r>
        <w:t xml:space="preserve"> is lid van de liberale partij </w:t>
      </w:r>
      <w:r w:rsidRPr="00E76ECC">
        <w:t xml:space="preserve">MR. </w:t>
      </w:r>
      <w:r w:rsidRPr="00E76ECC">
        <w:rPr>
          <w:lang w:val="nl-BE"/>
        </w:rPr>
        <w:t xml:space="preserve">H. </w:t>
      </w:r>
      <w:proofErr w:type="spellStart"/>
      <w:r w:rsidRPr="00E76ECC">
        <w:rPr>
          <w:lang w:val="nl-BE"/>
        </w:rPr>
        <w:t>Nys</w:t>
      </w:r>
      <w:proofErr w:type="spellEnd"/>
      <w:r w:rsidRPr="00E76ECC">
        <w:rPr>
          <w:lang w:val="nl-BE"/>
        </w:rPr>
        <w:t xml:space="preserve"> merkte reeds voor de komst van dit wetsvoorstel op dat de toenmalige afwez</w:t>
      </w:r>
      <w:r>
        <w:rPr>
          <w:lang w:val="nl-BE"/>
        </w:rPr>
        <w:t>igheid van een Waals initiatief</w:t>
      </w:r>
      <w:r w:rsidRPr="00E76ECC">
        <w:rPr>
          <w:lang w:val="nl-BE"/>
        </w:rPr>
        <w:t xml:space="preserve"> iets zegt over het verschil aan waarde dat  in de twee landsdelen aan het maatschappelijk thema gegeven wordt. Zie H. </w:t>
      </w:r>
      <w:proofErr w:type="spellStart"/>
      <w:r w:rsidRPr="00E76ECC">
        <w:rPr>
          <w:lang w:val="nl-BE"/>
        </w:rPr>
        <w:t>N</w:t>
      </w:r>
      <w:r w:rsidRPr="00E76ECC">
        <w:rPr>
          <w:smallCaps/>
          <w:lang w:val="nl-BE"/>
        </w:rPr>
        <w:t>ys</w:t>
      </w:r>
      <w:proofErr w:type="spellEnd"/>
      <w:r w:rsidRPr="00E76ECC">
        <w:rPr>
          <w:lang w:val="nl-BE"/>
        </w:rPr>
        <w:t xml:space="preserve">, “Euthanasie bij kinderen naar Belgisch recht”, </w:t>
      </w:r>
      <w:r w:rsidRPr="00E76ECC">
        <w:rPr>
          <w:i/>
          <w:lang w:val="nl-BE"/>
        </w:rPr>
        <w:t>TJK</w:t>
      </w:r>
      <w:r w:rsidRPr="00E76ECC">
        <w:rPr>
          <w:lang w:val="nl-BE"/>
        </w:rPr>
        <w:t xml:space="preserve"> 2009, afl. 4, 279. Met het voorstel </w:t>
      </w:r>
      <w:proofErr w:type="spellStart"/>
      <w:r w:rsidRPr="00E76ECC">
        <w:rPr>
          <w:lang w:val="nl-BE"/>
        </w:rPr>
        <w:t>Defraigne</w:t>
      </w:r>
      <w:proofErr w:type="spellEnd"/>
      <w:r w:rsidRPr="00E76ECC">
        <w:rPr>
          <w:lang w:val="nl-BE"/>
        </w:rPr>
        <w:t xml:space="preserve"> is er eindelijk een Waalse tegenhanger. Het feit dat bij dit voorstel als enige geopteerd wordt voor een</w:t>
      </w:r>
      <w:r>
        <w:rPr>
          <w:lang w:val="nl-BE"/>
        </w:rPr>
        <w:t xml:space="preserve"> leeftijdsgrens zegt misschien ook wel iets over een verschil in denken omtrent euthanasie bij Walen en Vlamingen.</w:t>
      </w:r>
    </w:p>
  </w:footnote>
  <w:footnote w:id="117">
    <w:p w:rsidR="001A0466" w:rsidRPr="009105AC" w:rsidRDefault="001A0466" w:rsidP="00E66F22">
      <w:pPr>
        <w:pStyle w:val="Voetnoottekst"/>
        <w:jc w:val="both"/>
        <w:rPr>
          <w:lang w:val="nl-BE"/>
        </w:rPr>
      </w:pPr>
      <w:r>
        <w:rPr>
          <w:rStyle w:val="Voetnootmarkering"/>
        </w:rPr>
        <w:footnoteRef/>
      </w:r>
      <w:r>
        <w:t xml:space="preserve"> </w:t>
      </w:r>
      <w:r w:rsidRPr="009105AC">
        <w:rPr>
          <w:lang w:val="nl-BE"/>
        </w:rPr>
        <w:t xml:space="preserve">Met uitzondering van het voorstel </w:t>
      </w:r>
      <w:proofErr w:type="spellStart"/>
      <w:r w:rsidRPr="009105AC">
        <w:rPr>
          <w:lang w:val="nl-BE"/>
        </w:rPr>
        <w:t>Defreigne</w:t>
      </w:r>
      <w:proofErr w:type="spellEnd"/>
      <w:r w:rsidRPr="009105AC">
        <w:rPr>
          <w:lang w:val="nl-BE"/>
        </w:rPr>
        <w:t>.</w:t>
      </w:r>
    </w:p>
  </w:footnote>
  <w:footnote w:id="118">
    <w:p w:rsidR="001A0466" w:rsidRPr="0044190A" w:rsidRDefault="001A0466" w:rsidP="00E66F22">
      <w:pPr>
        <w:pStyle w:val="Voetnoottekst"/>
        <w:jc w:val="both"/>
      </w:pPr>
      <w:r>
        <w:rPr>
          <w:rStyle w:val="Voetnootmarkering"/>
        </w:rPr>
        <w:footnoteRef/>
      </w:r>
      <w:r>
        <w:t xml:space="preserve"> </w:t>
      </w:r>
      <w:r w:rsidRPr="00DD7E82">
        <w:rPr>
          <w:lang w:val="nl-BE"/>
        </w:rPr>
        <w:t xml:space="preserve">H. </w:t>
      </w:r>
      <w:proofErr w:type="spellStart"/>
      <w:r w:rsidRPr="00DD7E82">
        <w:rPr>
          <w:lang w:val="nl-BE"/>
        </w:rPr>
        <w:t>N</w:t>
      </w:r>
      <w:r w:rsidRPr="00DD7E82">
        <w:rPr>
          <w:smallCaps/>
          <w:lang w:val="nl-BE"/>
        </w:rPr>
        <w:t>ys</w:t>
      </w:r>
      <w:proofErr w:type="spellEnd"/>
      <w:r w:rsidRPr="00DD7E82">
        <w:rPr>
          <w:lang w:val="nl-BE"/>
        </w:rPr>
        <w:t xml:space="preserve">, “Euthanasie bij kinderen naar Belgisch recht”, </w:t>
      </w:r>
      <w:r w:rsidRPr="00DD7E82">
        <w:rPr>
          <w:i/>
          <w:lang w:val="nl-BE"/>
        </w:rPr>
        <w:t>TJK</w:t>
      </w:r>
      <w:r w:rsidRPr="00DD7E82">
        <w:rPr>
          <w:lang w:val="nl-BE"/>
        </w:rPr>
        <w:t xml:space="preserve"> 2009, afl. 4, 280</w:t>
      </w:r>
      <w:r>
        <w:rPr>
          <w:lang w:val="nl-BE"/>
        </w:rPr>
        <w:t>-281</w:t>
      </w:r>
      <w:r w:rsidRPr="00DD7E82">
        <w:rPr>
          <w:lang w:val="nl-BE"/>
        </w:rPr>
        <w:t>.</w:t>
      </w:r>
      <w:r>
        <w:rPr>
          <w:lang w:val="nl-BE"/>
        </w:rPr>
        <w:t xml:space="preserve"> </w:t>
      </w:r>
    </w:p>
  </w:footnote>
  <w:footnote w:id="119">
    <w:p w:rsidR="001A0466" w:rsidRPr="006A5068" w:rsidRDefault="001A0466" w:rsidP="00E66F22">
      <w:pPr>
        <w:pStyle w:val="Voetnoottekst"/>
        <w:jc w:val="both"/>
        <w:rPr>
          <w:lang w:val="nl-BE"/>
        </w:rPr>
      </w:pPr>
      <w:r>
        <w:rPr>
          <w:rStyle w:val="Voetnootmarkering"/>
        </w:rPr>
        <w:footnoteRef/>
      </w:r>
      <w:r>
        <w:t xml:space="preserve"> </w:t>
      </w:r>
      <w:r w:rsidRPr="006A5068">
        <w:rPr>
          <w:lang w:val="nl-BE"/>
        </w:rPr>
        <w:t>Een niet-bindend advies blijft vereist.</w:t>
      </w:r>
    </w:p>
  </w:footnote>
  <w:footnote w:id="120">
    <w:p w:rsidR="001A0466" w:rsidRPr="0036723C" w:rsidRDefault="001A0466" w:rsidP="00E66F22">
      <w:pPr>
        <w:pStyle w:val="Voetnoottekst"/>
        <w:jc w:val="both"/>
        <w:rPr>
          <w:lang w:val="nl-BE"/>
        </w:rPr>
      </w:pPr>
      <w:r>
        <w:rPr>
          <w:rStyle w:val="Voetnootmarkering"/>
        </w:rPr>
        <w:footnoteRef/>
      </w:r>
      <w:r>
        <w:t xml:space="preserve"> </w:t>
      </w:r>
      <w:r w:rsidRPr="0036723C">
        <w:rPr>
          <w:lang w:val="nl-BE"/>
        </w:rPr>
        <w:t>Euthanasie staat e</w:t>
      </w:r>
      <w:r>
        <w:rPr>
          <w:lang w:val="nl-BE"/>
        </w:rPr>
        <w:t>r wel slechts open voor kinderen</w:t>
      </w:r>
      <w:r w:rsidRPr="0036723C">
        <w:rPr>
          <w:lang w:val="nl-BE"/>
        </w:rPr>
        <w:t xml:space="preserve"> die de leeftijd van 15 jaar bereikten.</w:t>
      </w:r>
    </w:p>
  </w:footnote>
  <w:footnote w:id="121">
    <w:p w:rsidR="001A0466" w:rsidRPr="004C3222" w:rsidRDefault="001A0466" w:rsidP="00E66F22">
      <w:pPr>
        <w:pStyle w:val="Voetnoottekst"/>
        <w:jc w:val="both"/>
      </w:pPr>
      <w:r>
        <w:rPr>
          <w:rStyle w:val="Voetnootmarkering"/>
        </w:rPr>
        <w:footnoteRef/>
      </w:r>
      <w:r>
        <w:t xml:space="preserve"> Voorstel </w:t>
      </w:r>
      <w:proofErr w:type="spellStart"/>
      <w:r>
        <w:t>Vanlerberghe</w:t>
      </w:r>
      <w:proofErr w:type="spellEnd"/>
      <w:r>
        <w:t>.</w:t>
      </w:r>
    </w:p>
  </w:footnote>
  <w:footnote w:id="122">
    <w:p w:rsidR="001A0466" w:rsidRPr="004C3222" w:rsidRDefault="001A0466" w:rsidP="00E66F22">
      <w:pPr>
        <w:pStyle w:val="Voetnoottekst"/>
        <w:jc w:val="both"/>
      </w:pPr>
      <w:r>
        <w:rPr>
          <w:rStyle w:val="Voetnootmarkering"/>
        </w:rPr>
        <w:footnoteRef/>
      </w:r>
      <w:r>
        <w:t xml:space="preserve"> Voorstel </w:t>
      </w:r>
      <w:proofErr w:type="spellStart"/>
      <w:r>
        <w:t>Defraigne</w:t>
      </w:r>
      <w:proofErr w:type="spellEnd"/>
      <w:r>
        <w:t>.</w:t>
      </w:r>
    </w:p>
  </w:footnote>
  <w:footnote w:id="123">
    <w:p w:rsidR="001A0466" w:rsidRPr="0044190A" w:rsidRDefault="001A0466" w:rsidP="00E66F22">
      <w:pPr>
        <w:pStyle w:val="Voetnoottekst"/>
        <w:jc w:val="both"/>
        <w:rPr>
          <w:lang w:val="nl-BE"/>
        </w:rPr>
      </w:pPr>
      <w:r>
        <w:rPr>
          <w:rStyle w:val="Voetnootmarkering"/>
        </w:rPr>
        <w:footnoteRef/>
      </w:r>
      <w:r>
        <w:t xml:space="preserve"> </w:t>
      </w:r>
      <w:r w:rsidRPr="0044190A">
        <w:rPr>
          <w:lang w:val="nl-BE"/>
        </w:rPr>
        <w:t xml:space="preserve">Zie ook </w:t>
      </w:r>
      <w:r w:rsidRPr="00DD7E82">
        <w:rPr>
          <w:lang w:val="nl-BE"/>
        </w:rPr>
        <w:t xml:space="preserve">H. </w:t>
      </w:r>
      <w:proofErr w:type="spellStart"/>
      <w:r w:rsidRPr="00DD7E82">
        <w:rPr>
          <w:lang w:val="nl-BE"/>
        </w:rPr>
        <w:t>N</w:t>
      </w:r>
      <w:r w:rsidRPr="00DD7E82">
        <w:rPr>
          <w:smallCaps/>
          <w:lang w:val="nl-BE"/>
        </w:rPr>
        <w:t>ys</w:t>
      </w:r>
      <w:proofErr w:type="spellEnd"/>
      <w:r w:rsidRPr="00DD7E82">
        <w:rPr>
          <w:lang w:val="nl-BE"/>
        </w:rPr>
        <w:t xml:space="preserve">, “Euthanasie bij kinderen naar Belgisch recht”, </w:t>
      </w:r>
      <w:r w:rsidRPr="00DD7E82">
        <w:rPr>
          <w:i/>
          <w:lang w:val="nl-BE"/>
        </w:rPr>
        <w:t>TJK</w:t>
      </w:r>
      <w:r>
        <w:rPr>
          <w:lang w:val="nl-BE"/>
        </w:rPr>
        <w:t xml:space="preserve"> 2009, afl. 4, 280-281. In Nederland staat zowel het actuele als het voorafgaande verzoek open voor de minderjarige.</w:t>
      </w:r>
    </w:p>
  </w:footnote>
  <w:footnote w:id="124">
    <w:p w:rsidR="001A0466" w:rsidRPr="00237BAE" w:rsidRDefault="001A0466" w:rsidP="00E66F22">
      <w:pPr>
        <w:pStyle w:val="Voetnoottekst"/>
        <w:jc w:val="both"/>
        <w:rPr>
          <w:lang w:val="fr-BE"/>
        </w:rPr>
      </w:pPr>
      <w:r>
        <w:rPr>
          <w:rStyle w:val="Voetnootmarkering"/>
        </w:rPr>
        <w:footnoteRef/>
      </w:r>
      <w:r>
        <w:rPr>
          <w:lang w:val="fr-BE"/>
        </w:rPr>
        <w:t xml:space="preserve"> </w:t>
      </w:r>
      <w:proofErr w:type="spellStart"/>
      <w:r>
        <w:rPr>
          <w:lang w:val="fr-BE"/>
        </w:rPr>
        <w:t>Artikel</w:t>
      </w:r>
      <w:proofErr w:type="spellEnd"/>
      <w:r w:rsidRPr="00237BAE">
        <w:rPr>
          <w:lang w:val="fr-BE"/>
        </w:rPr>
        <w:t xml:space="preserve"> 78 G.W.</w:t>
      </w:r>
    </w:p>
  </w:footnote>
  <w:footnote w:id="125">
    <w:p w:rsidR="001A0466" w:rsidRPr="00B34215" w:rsidRDefault="001A0466" w:rsidP="00E66F22">
      <w:pPr>
        <w:pStyle w:val="Geenafstand"/>
        <w:jc w:val="both"/>
        <w:rPr>
          <w:sz w:val="20"/>
          <w:szCs w:val="20"/>
          <w:lang w:val="fr-BE"/>
        </w:rPr>
      </w:pPr>
      <w:r w:rsidRPr="00881F2B">
        <w:rPr>
          <w:rStyle w:val="Voetnootmarkering"/>
          <w:sz w:val="20"/>
          <w:szCs w:val="20"/>
        </w:rPr>
        <w:footnoteRef/>
      </w:r>
      <w:r w:rsidRPr="00B34215">
        <w:rPr>
          <w:sz w:val="20"/>
          <w:szCs w:val="20"/>
          <w:lang w:val="fr-BE"/>
        </w:rPr>
        <w:t xml:space="preserve"> </w:t>
      </w:r>
      <w:r w:rsidRPr="00B34215">
        <w:rPr>
          <w:sz w:val="20"/>
          <w:szCs w:val="20"/>
          <w:lang w:val="fr-BE" w:eastAsia="ja-JP"/>
        </w:rPr>
        <w:t xml:space="preserve">Art. 2 § 1, 1) Loi du 16 mars 2009 sur l’euthanasie et l’assistance au suicide, </w:t>
      </w:r>
      <w:r w:rsidRPr="00B34215">
        <w:rPr>
          <w:i/>
          <w:iCs/>
          <w:sz w:val="20"/>
          <w:szCs w:val="20"/>
          <w:lang w:val="fr-BE" w:eastAsia="ja-JP"/>
        </w:rPr>
        <w:t>Mémorial</w:t>
      </w:r>
      <w:r w:rsidRPr="00B34215">
        <w:rPr>
          <w:sz w:val="20"/>
          <w:szCs w:val="20"/>
          <w:lang w:val="fr-BE" w:eastAsia="ja-JP"/>
        </w:rPr>
        <w:t xml:space="preserve">, 16 mars 2009 ; </w:t>
      </w:r>
      <w:r w:rsidRPr="00B34215">
        <w:rPr>
          <w:sz w:val="20"/>
          <w:szCs w:val="20"/>
          <w:lang w:val="fr-BE"/>
        </w:rPr>
        <w:t>H. N</w:t>
      </w:r>
      <w:r w:rsidRPr="00B34215">
        <w:rPr>
          <w:smallCaps/>
          <w:sz w:val="20"/>
          <w:szCs w:val="20"/>
          <w:lang w:val="fr-BE"/>
        </w:rPr>
        <w:t>ys</w:t>
      </w:r>
      <w:r w:rsidRPr="00B34215">
        <w:rPr>
          <w:sz w:val="20"/>
          <w:szCs w:val="20"/>
          <w:lang w:val="fr-BE"/>
        </w:rPr>
        <w:t xml:space="preserve">, “Euthanasie </w:t>
      </w:r>
      <w:proofErr w:type="spellStart"/>
      <w:r w:rsidRPr="00B34215">
        <w:rPr>
          <w:sz w:val="20"/>
          <w:szCs w:val="20"/>
          <w:lang w:val="fr-BE"/>
        </w:rPr>
        <w:t>bij</w:t>
      </w:r>
      <w:proofErr w:type="spellEnd"/>
      <w:r w:rsidRPr="00B34215">
        <w:rPr>
          <w:sz w:val="20"/>
          <w:szCs w:val="20"/>
          <w:lang w:val="fr-BE"/>
        </w:rPr>
        <w:t xml:space="preserve"> </w:t>
      </w:r>
      <w:proofErr w:type="spellStart"/>
      <w:r w:rsidRPr="00B34215">
        <w:rPr>
          <w:sz w:val="20"/>
          <w:szCs w:val="20"/>
          <w:lang w:val="fr-BE"/>
        </w:rPr>
        <w:t>kinderen</w:t>
      </w:r>
      <w:proofErr w:type="spellEnd"/>
      <w:r w:rsidRPr="00B34215">
        <w:rPr>
          <w:sz w:val="20"/>
          <w:szCs w:val="20"/>
          <w:lang w:val="fr-BE"/>
        </w:rPr>
        <w:t xml:space="preserve"> </w:t>
      </w:r>
      <w:proofErr w:type="spellStart"/>
      <w:r w:rsidRPr="00B34215">
        <w:rPr>
          <w:sz w:val="20"/>
          <w:szCs w:val="20"/>
          <w:lang w:val="fr-BE"/>
        </w:rPr>
        <w:t>naar</w:t>
      </w:r>
      <w:proofErr w:type="spellEnd"/>
      <w:r w:rsidRPr="00B34215">
        <w:rPr>
          <w:sz w:val="20"/>
          <w:szCs w:val="20"/>
          <w:lang w:val="fr-BE"/>
        </w:rPr>
        <w:t xml:space="preserve"> </w:t>
      </w:r>
      <w:proofErr w:type="spellStart"/>
      <w:r w:rsidRPr="00B34215">
        <w:rPr>
          <w:sz w:val="20"/>
          <w:szCs w:val="20"/>
          <w:lang w:val="fr-BE"/>
        </w:rPr>
        <w:t>Belgisch</w:t>
      </w:r>
      <w:proofErr w:type="spellEnd"/>
      <w:r w:rsidRPr="00B34215">
        <w:rPr>
          <w:sz w:val="20"/>
          <w:szCs w:val="20"/>
          <w:lang w:val="fr-BE"/>
        </w:rPr>
        <w:t xml:space="preserve"> </w:t>
      </w:r>
      <w:proofErr w:type="spellStart"/>
      <w:r w:rsidRPr="00B34215">
        <w:rPr>
          <w:sz w:val="20"/>
          <w:szCs w:val="20"/>
          <w:lang w:val="fr-BE"/>
        </w:rPr>
        <w:t>recht</w:t>
      </w:r>
      <w:proofErr w:type="spellEnd"/>
      <w:r w:rsidRPr="00B34215">
        <w:rPr>
          <w:sz w:val="20"/>
          <w:szCs w:val="20"/>
          <w:lang w:val="fr-BE"/>
        </w:rPr>
        <w:t xml:space="preserve">”, </w:t>
      </w:r>
      <w:r w:rsidRPr="00B34215">
        <w:rPr>
          <w:i/>
          <w:sz w:val="20"/>
          <w:szCs w:val="20"/>
          <w:lang w:val="fr-BE"/>
        </w:rPr>
        <w:t>TJK</w:t>
      </w:r>
      <w:r w:rsidRPr="00B34215">
        <w:rPr>
          <w:sz w:val="20"/>
          <w:szCs w:val="20"/>
          <w:lang w:val="fr-BE"/>
        </w:rPr>
        <w:t xml:space="preserve"> 2009, </w:t>
      </w:r>
      <w:proofErr w:type="spellStart"/>
      <w:r w:rsidRPr="00B34215">
        <w:rPr>
          <w:sz w:val="20"/>
          <w:szCs w:val="20"/>
          <w:lang w:val="fr-BE"/>
        </w:rPr>
        <w:t>afl</w:t>
      </w:r>
      <w:proofErr w:type="spellEnd"/>
      <w:r w:rsidRPr="00B34215">
        <w:rPr>
          <w:sz w:val="20"/>
          <w:szCs w:val="20"/>
          <w:lang w:val="fr-BE"/>
        </w:rPr>
        <w:t>. 4, 279.</w:t>
      </w:r>
    </w:p>
  </w:footnote>
  <w:footnote w:id="126">
    <w:p w:rsidR="001A0466" w:rsidRPr="009105AC" w:rsidRDefault="001A0466" w:rsidP="00E66F22">
      <w:pPr>
        <w:pStyle w:val="Voetnoottekst"/>
        <w:jc w:val="both"/>
      </w:pPr>
      <w:r>
        <w:rPr>
          <w:rStyle w:val="Voetnootmarkering"/>
        </w:rPr>
        <w:footnoteRef/>
      </w:r>
      <w:r>
        <w:t xml:space="preserve"> </w:t>
      </w:r>
      <w:r w:rsidRPr="00DD7E82">
        <w:rPr>
          <w:lang w:val="nl-BE"/>
        </w:rPr>
        <w:t xml:space="preserve">H. </w:t>
      </w:r>
      <w:proofErr w:type="spellStart"/>
      <w:r w:rsidRPr="00DD7E82">
        <w:rPr>
          <w:lang w:val="nl-BE"/>
        </w:rPr>
        <w:t>N</w:t>
      </w:r>
      <w:r w:rsidRPr="00DD7E82">
        <w:rPr>
          <w:smallCaps/>
          <w:lang w:val="nl-BE"/>
        </w:rPr>
        <w:t>ys</w:t>
      </w:r>
      <w:proofErr w:type="spellEnd"/>
      <w:r w:rsidRPr="00DD7E82">
        <w:rPr>
          <w:lang w:val="nl-BE"/>
        </w:rPr>
        <w:t xml:space="preserve">, “Euthanasie bij kinderen naar Belgisch recht”, </w:t>
      </w:r>
      <w:r w:rsidRPr="00DD7E82">
        <w:rPr>
          <w:i/>
          <w:lang w:val="nl-BE"/>
        </w:rPr>
        <w:t>TJK</w:t>
      </w:r>
      <w:r>
        <w:rPr>
          <w:lang w:val="nl-BE"/>
        </w:rPr>
        <w:t xml:space="preserve"> 2009, afl. 4, 280.</w:t>
      </w:r>
    </w:p>
  </w:footnote>
  <w:footnote w:id="127">
    <w:p w:rsidR="001A0466" w:rsidRPr="00F722C0" w:rsidRDefault="001A0466" w:rsidP="00E66F22">
      <w:pPr>
        <w:pStyle w:val="Voetnoottekst"/>
        <w:jc w:val="both"/>
      </w:pPr>
      <w:r>
        <w:rPr>
          <w:rStyle w:val="Voetnootmarkering"/>
        </w:rPr>
        <w:footnoteRef/>
      </w:r>
      <w:r>
        <w:t xml:space="preserve"> De euthanasiewet sluit aan bij de in Nederland geldende ‘Wet op de Geneeskundige Behandelingsovereenkomst’ (WGBO), zie </w:t>
      </w:r>
      <w:r w:rsidRPr="00D1382A">
        <w:t xml:space="preserve">M. </w:t>
      </w:r>
      <w:r w:rsidRPr="00D1382A">
        <w:rPr>
          <w:smallCaps/>
          <w:lang w:val="nl-BE"/>
        </w:rPr>
        <w:t>Adams</w:t>
      </w:r>
      <w:r w:rsidRPr="00D1382A">
        <w:rPr>
          <w:lang w:val="nl-BE"/>
        </w:rPr>
        <w:t xml:space="preserve"> en H. </w:t>
      </w:r>
      <w:proofErr w:type="spellStart"/>
      <w:r w:rsidRPr="00D1382A">
        <w:rPr>
          <w:smallCaps/>
          <w:lang w:val="nl-BE"/>
        </w:rPr>
        <w:t>Nys</w:t>
      </w:r>
      <w:proofErr w:type="spellEnd"/>
      <w:r w:rsidRPr="00D1382A">
        <w:rPr>
          <w:smallCaps/>
          <w:lang w:val="nl-BE"/>
        </w:rPr>
        <w:t>,</w:t>
      </w:r>
      <w:r w:rsidRPr="00D1382A">
        <w:rPr>
          <w:lang w:val="nl-BE"/>
        </w:rPr>
        <w:t xml:space="preserve"> “De Belgische euthanasiewet in rechtsvergelijkend perspectief” in M. </w:t>
      </w:r>
      <w:r w:rsidRPr="00D1382A">
        <w:rPr>
          <w:smallCaps/>
          <w:lang w:val="nl-BE"/>
        </w:rPr>
        <w:t xml:space="preserve">Adams, J. </w:t>
      </w:r>
      <w:proofErr w:type="spellStart"/>
      <w:r w:rsidRPr="00D1382A">
        <w:rPr>
          <w:smallCaps/>
          <w:lang w:val="nl-BE"/>
        </w:rPr>
        <w:t>Grifiths</w:t>
      </w:r>
      <w:proofErr w:type="spellEnd"/>
      <w:r w:rsidRPr="00D1382A">
        <w:rPr>
          <w:lang w:val="nl-BE"/>
        </w:rPr>
        <w:t xml:space="preserve"> en G. D</w:t>
      </w:r>
      <w:r w:rsidRPr="00D1382A">
        <w:rPr>
          <w:smallCaps/>
          <w:lang w:val="nl-BE"/>
        </w:rPr>
        <w:t xml:space="preserve">en </w:t>
      </w:r>
      <w:proofErr w:type="spellStart"/>
      <w:r w:rsidRPr="00D1382A">
        <w:rPr>
          <w:smallCaps/>
          <w:lang w:val="nl-BE"/>
        </w:rPr>
        <w:t>Hartogh</w:t>
      </w:r>
      <w:proofErr w:type="spellEnd"/>
      <w:r w:rsidRPr="00D1382A">
        <w:rPr>
          <w:smallCaps/>
          <w:lang w:val="nl-BE"/>
        </w:rPr>
        <w:t xml:space="preserve"> </w:t>
      </w:r>
      <w:r w:rsidRPr="00D1382A">
        <w:rPr>
          <w:lang w:val="nl-BE"/>
        </w:rPr>
        <w:t>(</w:t>
      </w:r>
      <w:proofErr w:type="spellStart"/>
      <w:r w:rsidRPr="00D1382A">
        <w:rPr>
          <w:lang w:val="nl-BE"/>
        </w:rPr>
        <w:t>eds</w:t>
      </w:r>
      <w:proofErr w:type="spellEnd"/>
      <w:r w:rsidRPr="00D1382A">
        <w:rPr>
          <w:lang w:val="nl-BE"/>
        </w:rPr>
        <w:t xml:space="preserve">.), </w:t>
      </w:r>
      <w:r w:rsidRPr="00D1382A">
        <w:rPr>
          <w:i/>
          <w:lang w:val="nl-BE"/>
        </w:rPr>
        <w:t>Euthanasie. Nieuwe knelpunten in een voortgezette discussie</w:t>
      </w:r>
      <w:r w:rsidRPr="00D1382A">
        <w:rPr>
          <w:lang w:val="nl-BE"/>
        </w:rPr>
        <w:t>, Kampen, Kok, 2003, 45</w:t>
      </w:r>
      <w:r>
        <w:rPr>
          <w:lang w:val="nl-BE"/>
        </w:rPr>
        <w:t xml:space="preserve">; </w:t>
      </w:r>
      <w:r w:rsidRPr="009D74E1">
        <w:rPr>
          <w:lang w:val="nl-BE"/>
        </w:rPr>
        <w:t xml:space="preserve">F. </w:t>
      </w:r>
      <w:r w:rsidRPr="009D74E1">
        <w:rPr>
          <w:smallCaps/>
          <w:lang w:val="nl-BE"/>
        </w:rPr>
        <w:t>Mortier</w:t>
      </w:r>
      <w:r w:rsidRPr="009D74E1">
        <w:rPr>
          <w:lang w:val="nl-BE"/>
        </w:rPr>
        <w:t xml:space="preserve">, “Euthanasie bij minderjarigen” in M. </w:t>
      </w:r>
      <w:r w:rsidRPr="009D74E1">
        <w:rPr>
          <w:smallCaps/>
          <w:lang w:val="nl-BE"/>
        </w:rPr>
        <w:t xml:space="preserve">Adams, J. </w:t>
      </w:r>
      <w:proofErr w:type="spellStart"/>
      <w:r w:rsidRPr="009D74E1">
        <w:rPr>
          <w:smallCaps/>
          <w:lang w:val="nl-BE"/>
        </w:rPr>
        <w:t>Grifiths</w:t>
      </w:r>
      <w:proofErr w:type="spellEnd"/>
      <w:r w:rsidRPr="009D74E1">
        <w:rPr>
          <w:lang w:val="nl-BE"/>
        </w:rPr>
        <w:t xml:space="preserve"> en G. </w:t>
      </w:r>
      <w:r w:rsidRPr="009D74E1">
        <w:rPr>
          <w:smallCaps/>
          <w:lang w:val="nl-BE"/>
        </w:rPr>
        <w:t xml:space="preserve">Den </w:t>
      </w:r>
      <w:proofErr w:type="spellStart"/>
      <w:r w:rsidRPr="009D74E1">
        <w:rPr>
          <w:smallCaps/>
          <w:lang w:val="nl-BE"/>
        </w:rPr>
        <w:t>Hartogh</w:t>
      </w:r>
      <w:proofErr w:type="spellEnd"/>
      <w:r w:rsidRPr="009D74E1">
        <w:rPr>
          <w:smallCaps/>
          <w:lang w:val="nl-BE"/>
        </w:rPr>
        <w:t xml:space="preserve"> </w:t>
      </w:r>
      <w:r w:rsidRPr="009D74E1">
        <w:rPr>
          <w:lang w:val="nl-BE"/>
        </w:rPr>
        <w:t>(</w:t>
      </w:r>
      <w:proofErr w:type="spellStart"/>
      <w:r w:rsidRPr="009D74E1">
        <w:rPr>
          <w:lang w:val="nl-BE"/>
        </w:rPr>
        <w:t>eds</w:t>
      </w:r>
      <w:proofErr w:type="spellEnd"/>
      <w:r w:rsidRPr="009D74E1">
        <w:rPr>
          <w:lang w:val="nl-BE"/>
        </w:rPr>
        <w:t xml:space="preserve">.), </w:t>
      </w:r>
      <w:r w:rsidRPr="009D74E1">
        <w:rPr>
          <w:i/>
          <w:lang w:val="nl-BE"/>
        </w:rPr>
        <w:t>Euthanasie. Nieuwe knelpunten in een voortgezette discussie</w:t>
      </w:r>
      <w:r w:rsidRPr="009D74E1">
        <w:rPr>
          <w:lang w:val="nl-BE"/>
        </w:rPr>
        <w:t>, Kampen, Kok, 2003, 199</w:t>
      </w:r>
      <w:r>
        <w:rPr>
          <w:lang w:val="nl-BE"/>
        </w:rPr>
        <w:t>.</w:t>
      </w:r>
      <w:r w:rsidRPr="00F722C0">
        <w:rPr>
          <w:lang w:val="nl-BE"/>
        </w:rPr>
        <w:t xml:space="preserve"> </w:t>
      </w:r>
      <w:r>
        <w:rPr>
          <w:lang w:val="nl-BE"/>
        </w:rPr>
        <w:t xml:space="preserve">Dit in tegenstelling tot België. Bij ons werd ervoor gekozen om euthanasie voor minderjarigen te behandelen op een andere wijze dan de rechten in verband met andere medische beslissingen omtrent het levenseinde en geldt euthanasie als een uitzonderingsregeling op artikel 12 §2 Wet Patiëntenrechten. Zie </w:t>
      </w:r>
      <w:r w:rsidRPr="00D1382A">
        <w:t xml:space="preserve">M. </w:t>
      </w:r>
      <w:r w:rsidRPr="00D1382A">
        <w:rPr>
          <w:smallCaps/>
          <w:lang w:val="nl-BE"/>
        </w:rPr>
        <w:t>Adams</w:t>
      </w:r>
      <w:r w:rsidRPr="00D1382A">
        <w:rPr>
          <w:lang w:val="nl-BE"/>
        </w:rPr>
        <w:t xml:space="preserve"> en H. </w:t>
      </w:r>
      <w:proofErr w:type="spellStart"/>
      <w:r w:rsidRPr="00D1382A">
        <w:rPr>
          <w:smallCaps/>
          <w:lang w:val="nl-BE"/>
        </w:rPr>
        <w:t>Nys</w:t>
      </w:r>
      <w:proofErr w:type="spellEnd"/>
      <w:r w:rsidRPr="00D1382A">
        <w:rPr>
          <w:smallCaps/>
          <w:lang w:val="nl-BE"/>
        </w:rPr>
        <w:t>,</w:t>
      </w:r>
      <w:r w:rsidRPr="00D1382A">
        <w:rPr>
          <w:lang w:val="nl-BE"/>
        </w:rPr>
        <w:t xml:space="preserve"> “De Belgische euthanasiewet in rechtsvergelijkend perspectief” in M. </w:t>
      </w:r>
      <w:r w:rsidRPr="00D1382A">
        <w:rPr>
          <w:smallCaps/>
          <w:lang w:val="nl-BE"/>
        </w:rPr>
        <w:t xml:space="preserve">Adams, J. </w:t>
      </w:r>
      <w:proofErr w:type="spellStart"/>
      <w:r w:rsidRPr="00D1382A">
        <w:rPr>
          <w:smallCaps/>
          <w:lang w:val="nl-BE"/>
        </w:rPr>
        <w:t>Grifiths</w:t>
      </w:r>
      <w:proofErr w:type="spellEnd"/>
      <w:r w:rsidRPr="00D1382A">
        <w:rPr>
          <w:lang w:val="nl-BE"/>
        </w:rPr>
        <w:t xml:space="preserve"> en G. D</w:t>
      </w:r>
      <w:r w:rsidRPr="00D1382A">
        <w:rPr>
          <w:smallCaps/>
          <w:lang w:val="nl-BE"/>
        </w:rPr>
        <w:t xml:space="preserve">en </w:t>
      </w:r>
      <w:proofErr w:type="spellStart"/>
      <w:r w:rsidRPr="00D1382A">
        <w:rPr>
          <w:smallCaps/>
          <w:lang w:val="nl-BE"/>
        </w:rPr>
        <w:t>Hartogh</w:t>
      </w:r>
      <w:proofErr w:type="spellEnd"/>
      <w:r w:rsidRPr="00D1382A">
        <w:rPr>
          <w:smallCaps/>
          <w:lang w:val="nl-BE"/>
        </w:rPr>
        <w:t xml:space="preserve"> </w:t>
      </w:r>
      <w:r w:rsidRPr="00D1382A">
        <w:rPr>
          <w:lang w:val="nl-BE"/>
        </w:rPr>
        <w:t>(</w:t>
      </w:r>
      <w:proofErr w:type="spellStart"/>
      <w:r w:rsidRPr="00D1382A">
        <w:rPr>
          <w:lang w:val="nl-BE"/>
        </w:rPr>
        <w:t>eds</w:t>
      </w:r>
      <w:proofErr w:type="spellEnd"/>
      <w:r w:rsidRPr="00D1382A">
        <w:rPr>
          <w:lang w:val="nl-BE"/>
        </w:rPr>
        <w:t xml:space="preserve">.), </w:t>
      </w:r>
      <w:r w:rsidRPr="00D1382A">
        <w:rPr>
          <w:i/>
          <w:lang w:val="nl-BE"/>
        </w:rPr>
        <w:t>Euthanasie. Nieuwe knelpunten in een voortgezette discussie</w:t>
      </w:r>
      <w:r w:rsidRPr="00D1382A">
        <w:rPr>
          <w:lang w:val="nl-BE"/>
        </w:rPr>
        <w:t>, Kampen, Kok, 2003, 45</w:t>
      </w:r>
      <w:r>
        <w:rPr>
          <w:lang w:val="nl-BE"/>
        </w:rPr>
        <w:t xml:space="preserve">; </w:t>
      </w:r>
      <w:r w:rsidRPr="009D74E1">
        <w:rPr>
          <w:lang w:val="nl-BE"/>
        </w:rPr>
        <w:t xml:space="preserve">F. </w:t>
      </w:r>
      <w:r w:rsidRPr="009D74E1">
        <w:rPr>
          <w:smallCaps/>
          <w:lang w:val="nl-BE"/>
        </w:rPr>
        <w:t>Mortier</w:t>
      </w:r>
      <w:r w:rsidRPr="009D74E1">
        <w:rPr>
          <w:lang w:val="nl-BE"/>
        </w:rPr>
        <w:t xml:space="preserve">, “Euthanasie bij minderjarigen” in M. </w:t>
      </w:r>
      <w:r w:rsidRPr="009D74E1">
        <w:rPr>
          <w:smallCaps/>
          <w:lang w:val="nl-BE"/>
        </w:rPr>
        <w:t xml:space="preserve">Adams, J. </w:t>
      </w:r>
      <w:proofErr w:type="spellStart"/>
      <w:r w:rsidRPr="009D74E1">
        <w:rPr>
          <w:smallCaps/>
          <w:lang w:val="nl-BE"/>
        </w:rPr>
        <w:t>Grifiths</w:t>
      </w:r>
      <w:proofErr w:type="spellEnd"/>
      <w:r w:rsidRPr="009D74E1">
        <w:rPr>
          <w:lang w:val="nl-BE"/>
        </w:rPr>
        <w:t xml:space="preserve"> en G. </w:t>
      </w:r>
      <w:r w:rsidRPr="009D74E1">
        <w:rPr>
          <w:smallCaps/>
          <w:lang w:val="nl-BE"/>
        </w:rPr>
        <w:t xml:space="preserve">Den </w:t>
      </w:r>
      <w:proofErr w:type="spellStart"/>
      <w:r w:rsidRPr="009D74E1">
        <w:rPr>
          <w:smallCaps/>
          <w:lang w:val="nl-BE"/>
        </w:rPr>
        <w:t>Hartogh</w:t>
      </w:r>
      <w:proofErr w:type="spellEnd"/>
      <w:r w:rsidRPr="009D74E1">
        <w:rPr>
          <w:smallCaps/>
          <w:lang w:val="nl-BE"/>
        </w:rPr>
        <w:t xml:space="preserve"> </w:t>
      </w:r>
      <w:r w:rsidRPr="009D74E1">
        <w:rPr>
          <w:lang w:val="nl-BE"/>
        </w:rPr>
        <w:t>(</w:t>
      </w:r>
      <w:proofErr w:type="spellStart"/>
      <w:r w:rsidRPr="009D74E1">
        <w:rPr>
          <w:lang w:val="nl-BE"/>
        </w:rPr>
        <w:t>eds</w:t>
      </w:r>
      <w:proofErr w:type="spellEnd"/>
      <w:r w:rsidRPr="009D74E1">
        <w:rPr>
          <w:lang w:val="nl-BE"/>
        </w:rPr>
        <w:t xml:space="preserve">.), </w:t>
      </w:r>
      <w:r w:rsidRPr="009D74E1">
        <w:rPr>
          <w:i/>
          <w:lang w:val="nl-BE"/>
        </w:rPr>
        <w:t>Euthanasie. Nieuwe knelpunten in een voortgezette discussie</w:t>
      </w:r>
      <w:r w:rsidRPr="009D74E1">
        <w:rPr>
          <w:lang w:val="nl-BE"/>
        </w:rPr>
        <w:t>, Kampen, Kok, 2003, 199</w:t>
      </w:r>
      <w:r>
        <w:rPr>
          <w:lang w:val="nl-BE"/>
        </w:rPr>
        <w:t>.</w:t>
      </w:r>
    </w:p>
  </w:footnote>
  <w:footnote w:id="128">
    <w:p w:rsidR="001A0466" w:rsidRPr="00835753" w:rsidRDefault="001A0466" w:rsidP="00E66F22">
      <w:pPr>
        <w:pStyle w:val="Voetnoottekst"/>
        <w:jc w:val="both"/>
      </w:pPr>
      <w:r>
        <w:rPr>
          <w:rStyle w:val="Voetnootmarkering"/>
        </w:rPr>
        <w:footnoteRef/>
      </w:r>
      <w:r>
        <w:t xml:space="preserve"> </w:t>
      </w:r>
      <w:r w:rsidRPr="009D74E1">
        <w:rPr>
          <w:lang w:val="nl-BE"/>
        </w:rPr>
        <w:t xml:space="preserve">F. </w:t>
      </w:r>
      <w:r w:rsidRPr="009D74E1">
        <w:rPr>
          <w:smallCaps/>
          <w:lang w:val="nl-BE"/>
        </w:rPr>
        <w:t>Mortier</w:t>
      </w:r>
      <w:r w:rsidRPr="009D74E1">
        <w:rPr>
          <w:lang w:val="nl-BE"/>
        </w:rPr>
        <w:t xml:space="preserve">, “Euthanasie bij minderjarigen” in M. </w:t>
      </w:r>
      <w:r w:rsidRPr="009D74E1">
        <w:rPr>
          <w:smallCaps/>
          <w:lang w:val="nl-BE"/>
        </w:rPr>
        <w:t xml:space="preserve">Adams, J. </w:t>
      </w:r>
      <w:proofErr w:type="spellStart"/>
      <w:r w:rsidRPr="009D74E1">
        <w:rPr>
          <w:smallCaps/>
          <w:lang w:val="nl-BE"/>
        </w:rPr>
        <w:t>Grifiths</w:t>
      </w:r>
      <w:proofErr w:type="spellEnd"/>
      <w:r w:rsidRPr="009D74E1">
        <w:rPr>
          <w:lang w:val="nl-BE"/>
        </w:rPr>
        <w:t xml:space="preserve"> en G. </w:t>
      </w:r>
      <w:r w:rsidRPr="009D74E1">
        <w:rPr>
          <w:smallCaps/>
          <w:lang w:val="nl-BE"/>
        </w:rPr>
        <w:t xml:space="preserve">Den </w:t>
      </w:r>
      <w:proofErr w:type="spellStart"/>
      <w:r w:rsidRPr="009D74E1">
        <w:rPr>
          <w:smallCaps/>
          <w:lang w:val="nl-BE"/>
        </w:rPr>
        <w:t>Hartogh</w:t>
      </w:r>
      <w:proofErr w:type="spellEnd"/>
      <w:r w:rsidRPr="009D74E1">
        <w:rPr>
          <w:smallCaps/>
          <w:lang w:val="nl-BE"/>
        </w:rPr>
        <w:t xml:space="preserve"> </w:t>
      </w:r>
      <w:r w:rsidRPr="009D74E1">
        <w:rPr>
          <w:lang w:val="nl-BE"/>
        </w:rPr>
        <w:t>(</w:t>
      </w:r>
      <w:proofErr w:type="spellStart"/>
      <w:r w:rsidRPr="009D74E1">
        <w:rPr>
          <w:lang w:val="nl-BE"/>
        </w:rPr>
        <w:t>eds</w:t>
      </w:r>
      <w:proofErr w:type="spellEnd"/>
      <w:r w:rsidRPr="009D74E1">
        <w:rPr>
          <w:lang w:val="nl-BE"/>
        </w:rPr>
        <w:t xml:space="preserve">.), </w:t>
      </w:r>
      <w:r w:rsidRPr="009D74E1">
        <w:rPr>
          <w:i/>
          <w:lang w:val="nl-BE"/>
        </w:rPr>
        <w:t>Euthanasie. Nieuwe knelpunten in een voortgezette discussie</w:t>
      </w:r>
      <w:r w:rsidRPr="009D74E1">
        <w:rPr>
          <w:lang w:val="nl-BE"/>
        </w:rPr>
        <w:t xml:space="preserve">, Kampen, Kok, 2003, </w:t>
      </w:r>
      <w:r>
        <w:rPr>
          <w:lang w:val="nl-BE"/>
        </w:rPr>
        <w:t>200.</w:t>
      </w:r>
    </w:p>
  </w:footnote>
  <w:footnote w:id="129">
    <w:p w:rsidR="001A0466" w:rsidRPr="009D74E1" w:rsidRDefault="001A0466" w:rsidP="00E66F22">
      <w:pPr>
        <w:autoSpaceDE w:val="0"/>
        <w:autoSpaceDN w:val="0"/>
        <w:adjustRightInd w:val="0"/>
        <w:jc w:val="both"/>
        <w:rPr>
          <w:sz w:val="20"/>
          <w:szCs w:val="20"/>
          <w:lang w:val="nl-BE" w:eastAsia="ja-JP"/>
        </w:rPr>
      </w:pPr>
      <w:r w:rsidRPr="006A5FB9">
        <w:rPr>
          <w:rStyle w:val="Voetnootmarkering"/>
          <w:sz w:val="20"/>
          <w:szCs w:val="20"/>
        </w:rPr>
        <w:footnoteRef/>
      </w:r>
      <w:r w:rsidRPr="006A5FB9">
        <w:rPr>
          <w:sz w:val="20"/>
          <w:szCs w:val="20"/>
          <w:lang w:val="nl-BE" w:eastAsia="ja-JP"/>
        </w:rPr>
        <w:t xml:space="preserve"> Wet 12 april 2001 houdende toetsing van levensbeëindiging op verzoek en hulp bij zelfdoding en wijziging van het Wetboek van Strafrecht en van de Wet Lijkbezorging, </w:t>
      </w:r>
      <w:r w:rsidRPr="006A5FB9">
        <w:rPr>
          <w:i/>
          <w:iCs/>
          <w:sz w:val="20"/>
          <w:szCs w:val="20"/>
          <w:lang w:val="nl-BE" w:eastAsia="ja-JP"/>
        </w:rPr>
        <w:t xml:space="preserve">BS(NL) </w:t>
      </w:r>
      <w:r w:rsidRPr="006A5FB9">
        <w:rPr>
          <w:sz w:val="20"/>
          <w:szCs w:val="20"/>
          <w:lang w:val="nl-BE" w:eastAsia="ja-JP"/>
        </w:rPr>
        <w:t>2001, 194.</w:t>
      </w:r>
      <w:r>
        <w:rPr>
          <w:sz w:val="20"/>
          <w:szCs w:val="20"/>
          <w:lang w:val="nl-BE" w:eastAsia="ja-JP"/>
        </w:rPr>
        <w:t xml:space="preserve"> Hierna ‘WTL’.</w:t>
      </w:r>
    </w:p>
  </w:footnote>
  <w:footnote w:id="130">
    <w:p w:rsidR="001A0466" w:rsidRPr="00E76ECC" w:rsidRDefault="001A0466" w:rsidP="00E66F22">
      <w:pPr>
        <w:jc w:val="both"/>
        <w:rPr>
          <w:sz w:val="20"/>
          <w:szCs w:val="20"/>
          <w:lang w:val="nl-BE"/>
        </w:rPr>
      </w:pPr>
      <w:r w:rsidRPr="00E76ECC">
        <w:rPr>
          <w:rStyle w:val="Voetnootmarkering"/>
          <w:sz w:val="20"/>
          <w:szCs w:val="20"/>
        </w:rPr>
        <w:footnoteRef/>
      </w:r>
      <w:r w:rsidRPr="00E76ECC">
        <w:rPr>
          <w:sz w:val="20"/>
          <w:szCs w:val="20"/>
        </w:rPr>
        <w:t xml:space="preserve"> Artikel 2§3 WTL;</w:t>
      </w:r>
      <w:r w:rsidRPr="00E76ECC">
        <w:rPr>
          <w:sz w:val="20"/>
          <w:szCs w:val="20"/>
          <w:lang w:val="nl-BE"/>
        </w:rPr>
        <w:t xml:space="preserve"> </w:t>
      </w:r>
      <w:r w:rsidRPr="00E76ECC">
        <w:rPr>
          <w:sz w:val="20"/>
          <w:szCs w:val="20"/>
        </w:rPr>
        <w:t xml:space="preserve">M. </w:t>
      </w:r>
      <w:r w:rsidRPr="00E76ECC">
        <w:rPr>
          <w:smallCaps/>
          <w:sz w:val="20"/>
          <w:szCs w:val="20"/>
          <w:lang w:val="nl-BE"/>
        </w:rPr>
        <w:t>Adams</w:t>
      </w:r>
      <w:r w:rsidRPr="00E76ECC">
        <w:rPr>
          <w:sz w:val="20"/>
          <w:szCs w:val="20"/>
          <w:lang w:val="nl-BE"/>
        </w:rPr>
        <w:t xml:space="preserve"> en H. </w:t>
      </w:r>
      <w:proofErr w:type="spellStart"/>
      <w:r w:rsidRPr="00E76ECC">
        <w:rPr>
          <w:smallCaps/>
          <w:sz w:val="20"/>
          <w:szCs w:val="20"/>
          <w:lang w:val="nl-BE"/>
        </w:rPr>
        <w:t>Nys</w:t>
      </w:r>
      <w:proofErr w:type="spellEnd"/>
      <w:r w:rsidRPr="00E76ECC">
        <w:rPr>
          <w:smallCaps/>
          <w:sz w:val="20"/>
          <w:szCs w:val="20"/>
          <w:lang w:val="nl-BE"/>
        </w:rPr>
        <w:t>,</w:t>
      </w:r>
      <w:r w:rsidRPr="00E76ECC">
        <w:rPr>
          <w:sz w:val="20"/>
          <w:szCs w:val="20"/>
          <w:lang w:val="nl-BE"/>
        </w:rPr>
        <w:t xml:space="preserve"> “De Belgische euthanasiewet in rechtsvergelijkend perspectief” in M. </w:t>
      </w:r>
      <w:r w:rsidRPr="00E76ECC">
        <w:rPr>
          <w:smallCaps/>
          <w:sz w:val="20"/>
          <w:szCs w:val="20"/>
          <w:lang w:val="nl-BE"/>
        </w:rPr>
        <w:t xml:space="preserve">Adams, J. </w:t>
      </w:r>
      <w:proofErr w:type="spellStart"/>
      <w:r w:rsidRPr="00E76ECC">
        <w:rPr>
          <w:smallCaps/>
          <w:sz w:val="20"/>
          <w:szCs w:val="20"/>
          <w:lang w:val="nl-BE"/>
        </w:rPr>
        <w:t>Grifiths</w:t>
      </w:r>
      <w:proofErr w:type="spellEnd"/>
      <w:r w:rsidRPr="00E76ECC">
        <w:rPr>
          <w:sz w:val="20"/>
          <w:szCs w:val="20"/>
          <w:lang w:val="nl-BE"/>
        </w:rPr>
        <w:t xml:space="preserve"> en G. D</w:t>
      </w:r>
      <w:r w:rsidRPr="00E76ECC">
        <w:rPr>
          <w:smallCaps/>
          <w:sz w:val="20"/>
          <w:szCs w:val="20"/>
          <w:lang w:val="nl-BE"/>
        </w:rPr>
        <w:t xml:space="preserve">en </w:t>
      </w:r>
      <w:proofErr w:type="spellStart"/>
      <w:r w:rsidRPr="00E76ECC">
        <w:rPr>
          <w:smallCaps/>
          <w:sz w:val="20"/>
          <w:szCs w:val="20"/>
          <w:lang w:val="nl-BE"/>
        </w:rPr>
        <w:t>Hartogh</w:t>
      </w:r>
      <w:proofErr w:type="spellEnd"/>
      <w:r w:rsidRPr="00E76ECC">
        <w:rPr>
          <w:smallCaps/>
          <w:sz w:val="20"/>
          <w:szCs w:val="20"/>
          <w:lang w:val="nl-BE"/>
        </w:rPr>
        <w:t xml:space="preserve"> </w:t>
      </w:r>
      <w:r w:rsidRPr="00E76ECC">
        <w:rPr>
          <w:sz w:val="20"/>
          <w:szCs w:val="20"/>
          <w:lang w:val="nl-BE"/>
        </w:rPr>
        <w:t>(</w:t>
      </w:r>
      <w:proofErr w:type="spellStart"/>
      <w:r w:rsidRPr="00E76ECC">
        <w:rPr>
          <w:sz w:val="20"/>
          <w:szCs w:val="20"/>
          <w:lang w:val="nl-BE"/>
        </w:rPr>
        <w:t>eds</w:t>
      </w:r>
      <w:proofErr w:type="spellEnd"/>
      <w:r w:rsidRPr="00E76ECC">
        <w:rPr>
          <w:sz w:val="20"/>
          <w:szCs w:val="20"/>
          <w:lang w:val="nl-BE"/>
        </w:rPr>
        <w:t xml:space="preserve">.), </w:t>
      </w:r>
      <w:r w:rsidRPr="00E76ECC">
        <w:rPr>
          <w:i/>
          <w:sz w:val="20"/>
          <w:szCs w:val="20"/>
          <w:lang w:val="nl-BE"/>
        </w:rPr>
        <w:t>Euthanasie. Nieuwe knelpunten in een voortgezette discussie</w:t>
      </w:r>
      <w:r w:rsidRPr="00E76ECC">
        <w:rPr>
          <w:sz w:val="20"/>
          <w:szCs w:val="20"/>
          <w:lang w:val="nl-BE"/>
        </w:rPr>
        <w:t xml:space="preserve">, Kampen, Kok, 2003, 45; J. </w:t>
      </w:r>
      <w:proofErr w:type="spellStart"/>
      <w:r w:rsidRPr="00E76ECC">
        <w:rPr>
          <w:smallCaps/>
          <w:sz w:val="20"/>
          <w:szCs w:val="20"/>
          <w:lang w:val="nl-BE"/>
        </w:rPr>
        <w:t>Legemaate</w:t>
      </w:r>
      <w:proofErr w:type="spellEnd"/>
      <w:r w:rsidRPr="00E76ECC">
        <w:rPr>
          <w:sz w:val="20"/>
          <w:szCs w:val="20"/>
          <w:lang w:val="nl-BE"/>
        </w:rPr>
        <w:t xml:space="preserve">, </w:t>
      </w:r>
      <w:r w:rsidRPr="00E76ECC">
        <w:rPr>
          <w:i/>
          <w:sz w:val="20"/>
          <w:szCs w:val="20"/>
          <w:lang w:val="nl-BE"/>
        </w:rPr>
        <w:t>Medisch handelen rond het levenseinde, gezondheidswetgeving in de praktijk,</w:t>
      </w:r>
      <w:r w:rsidRPr="00E76ECC">
        <w:rPr>
          <w:sz w:val="20"/>
          <w:szCs w:val="20"/>
          <w:lang w:val="nl-BE"/>
        </w:rPr>
        <w:t xml:space="preserve"> </w:t>
      </w:r>
      <w:proofErr w:type="spellStart"/>
      <w:r w:rsidRPr="00E76ECC">
        <w:rPr>
          <w:sz w:val="20"/>
          <w:szCs w:val="20"/>
          <w:lang w:val="nl-BE"/>
        </w:rPr>
        <w:t>Bohn</w:t>
      </w:r>
      <w:proofErr w:type="spellEnd"/>
      <w:r w:rsidRPr="00E76ECC">
        <w:rPr>
          <w:sz w:val="20"/>
          <w:szCs w:val="20"/>
          <w:lang w:val="nl-BE"/>
        </w:rPr>
        <w:t xml:space="preserve"> </w:t>
      </w:r>
      <w:proofErr w:type="spellStart"/>
      <w:r w:rsidRPr="00E76ECC">
        <w:rPr>
          <w:sz w:val="20"/>
          <w:szCs w:val="20"/>
          <w:lang w:val="nl-BE"/>
        </w:rPr>
        <w:t>Stafleu</w:t>
      </w:r>
      <w:proofErr w:type="spellEnd"/>
      <w:r w:rsidRPr="00E76ECC">
        <w:rPr>
          <w:sz w:val="20"/>
          <w:szCs w:val="20"/>
          <w:lang w:val="nl-BE"/>
        </w:rPr>
        <w:t xml:space="preserve"> van </w:t>
      </w:r>
      <w:proofErr w:type="spellStart"/>
      <w:r w:rsidRPr="00E76ECC">
        <w:rPr>
          <w:sz w:val="20"/>
          <w:szCs w:val="20"/>
          <w:lang w:val="nl-BE"/>
        </w:rPr>
        <w:t>Loghum</w:t>
      </w:r>
      <w:proofErr w:type="spellEnd"/>
      <w:r w:rsidRPr="00E76ECC">
        <w:rPr>
          <w:sz w:val="20"/>
          <w:szCs w:val="20"/>
          <w:lang w:val="nl-BE"/>
        </w:rPr>
        <w:t xml:space="preserve">, Houten, 2006, 32; F. </w:t>
      </w:r>
      <w:r w:rsidRPr="00E76ECC">
        <w:rPr>
          <w:smallCaps/>
          <w:sz w:val="20"/>
          <w:szCs w:val="20"/>
          <w:lang w:val="nl-BE"/>
        </w:rPr>
        <w:t>Mortier</w:t>
      </w:r>
      <w:r w:rsidRPr="00E76ECC">
        <w:rPr>
          <w:sz w:val="20"/>
          <w:szCs w:val="20"/>
          <w:lang w:val="nl-BE"/>
        </w:rPr>
        <w:t xml:space="preserve">, “Euthanasie bij minderjarigen” in M. </w:t>
      </w:r>
      <w:r w:rsidRPr="00E76ECC">
        <w:rPr>
          <w:smallCaps/>
          <w:sz w:val="20"/>
          <w:szCs w:val="20"/>
          <w:lang w:val="nl-BE"/>
        </w:rPr>
        <w:t xml:space="preserve">Adams, J. </w:t>
      </w:r>
      <w:proofErr w:type="spellStart"/>
      <w:r w:rsidRPr="00E76ECC">
        <w:rPr>
          <w:smallCaps/>
          <w:sz w:val="20"/>
          <w:szCs w:val="20"/>
          <w:lang w:val="nl-BE"/>
        </w:rPr>
        <w:t>Grifiths</w:t>
      </w:r>
      <w:proofErr w:type="spellEnd"/>
      <w:r w:rsidRPr="00E76ECC">
        <w:rPr>
          <w:sz w:val="20"/>
          <w:szCs w:val="20"/>
          <w:lang w:val="nl-BE"/>
        </w:rPr>
        <w:t xml:space="preserve"> en G. </w:t>
      </w:r>
      <w:r w:rsidRPr="00E76ECC">
        <w:rPr>
          <w:smallCaps/>
          <w:sz w:val="20"/>
          <w:szCs w:val="20"/>
          <w:lang w:val="nl-BE"/>
        </w:rPr>
        <w:t xml:space="preserve">Den </w:t>
      </w:r>
      <w:proofErr w:type="spellStart"/>
      <w:r w:rsidRPr="00E76ECC">
        <w:rPr>
          <w:smallCaps/>
          <w:sz w:val="20"/>
          <w:szCs w:val="20"/>
          <w:lang w:val="nl-BE"/>
        </w:rPr>
        <w:t>Hartogh</w:t>
      </w:r>
      <w:proofErr w:type="spellEnd"/>
      <w:r w:rsidRPr="00E76ECC">
        <w:rPr>
          <w:smallCaps/>
          <w:sz w:val="20"/>
          <w:szCs w:val="20"/>
          <w:lang w:val="nl-BE"/>
        </w:rPr>
        <w:t xml:space="preserve"> </w:t>
      </w:r>
      <w:r w:rsidRPr="00E76ECC">
        <w:rPr>
          <w:sz w:val="20"/>
          <w:szCs w:val="20"/>
          <w:lang w:val="nl-BE"/>
        </w:rPr>
        <w:t>(</w:t>
      </w:r>
      <w:proofErr w:type="spellStart"/>
      <w:r w:rsidRPr="00E76ECC">
        <w:rPr>
          <w:sz w:val="20"/>
          <w:szCs w:val="20"/>
          <w:lang w:val="nl-BE"/>
        </w:rPr>
        <w:t>eds</w:t>
      </w:r>
      <w:proofErr w:type="spellEnd"/>
      <w:r w:rsidRPr="00E76ECC">
        <w:rPr>
          <w:sz w:val="20"/>
          <w:szCs w:val="20"/>
          <w:lang w:val="nl-BE"/>
        </w:rPr>
        <w:t xml:space="preserve">.), </w:t>
      </w:r>
      <w:r w:rsidRPr="00E76ECC">
        <w:rPr>
          <w:i/>
          <w:sz w:val="20"/>
          <w:szCs w:val="20"/>
          <w:lang w:val="nl-BE"/>
        </w:rPr>
        <w:t>Euthanasie. Nieuwe knelpunten in een voortgezette discussie</w:t>
      </w:r>
      <w:r w:rsidRPr="00E76ECC">
        <w:rPr>
          <w:sz w:val="20"/>
          <w:szCs w:val="20"/>
          <w:lang w:val="nl-BE"/>
        </w:rPr>
        <w:t xml:space="preserve">, Kampen, Kok, 2003, 199; H. </w:t>
      </w:r>
      <w:proofErr w:type="spellStart"/>
      <w:r w:rsidRPr="00E76ECC">
        <w:rPr>
          <w:sz w:val="20"/>
          <w:szCs w:val="20"/>
          <w:lang w:val="nl-BE"/>
        </w:rPr>
        <w:t>N</w:t>
      </w:r>
      <w:r w:rsidRPr="00E76ECC">
        <w:rPr>
          <w:smallCaps/>
          <w:sz w:val="20"/>
          <w:szCs w:val="20"/>
          <w:lang w:val="nl-BE"/>
        </w:rPr>
        <w:t>ys</w:t>
      </w:r>
      <w:proofErr w:type="spellEnd"/>
      <w:r w:rsidRPr="00E76ECC">
        <w:rPr>
          <w:sz w:val="20"/>
          <w:szCs w:val="20"/>
          <w:lang w:val="nl-BE"/>
        </w:rPr>
        <w:t xml:space="preserve">, “Euthanasie bij kinderen naar Belgisch recht”, </w:t>
      </w:r>
      <w:r w:rsidRPr="00E76ECC">
        <w:rPr>
          <w:i/>
          <w:sz w:val="20"/>
          <w:szCs w:val="20"/>
          <w:lang w:val="nl-BE"/>
        </w:rPr>
        <w:t>TJK</w:t>
      </w:r>
      <w:r w:rsidRPr="00E76ECC">
        <w:rPr>
          <w:sz w:val="20"/>
          <w:szCs w:val="20"/>
          <w:lang w:val="nl-BE"/>
        </w:rPr>
        <w:t xml:space="preserve"> 2009, afl. 4, 279.</w:t>
      </w:r>
    </w:p>
  </w:footnote>
  <w:footnote w:id="131">
    <w:p w:rsidR="001A0466" w:rsidRPr="00E76ECC" w:rsidRDefault="001A0466" w:rsidP="00E66F22">
      <w:pPr>
        <w:jc w:val="both"/>
        <w:rPr>
          <w:sz w:val="20"/>
          <w:szCs w:val="20"/>
          <w:lang w:val="nl-BE"/>
        </w:rPr>
      </w:pPr>
      <w:r w:rsidRPr="00E76ECC">
        <w:rPr>
          <w:rStyle w:val="Voetnootmarkering"/>
          <w:sz w:val="20"/>
          <w:szCs w:val="20"/>
        </w:rPr>
        <w:footnoteRef/>
      </w:r>
      <w:r w:rsidRPr="00E76ECC">
        <w:rPr>
          <w:sz w:val="20"/>
          <w:szCs w:val="20"/>
        </w:rPr>
        <w:t xml:space="preserve"> Artikel 2 §4 WTL;</w:t>
      </w:r>
      <w:r w:rsidRPr="00E76ECC">
        <w:rPr>
          <w:sz w:val="20"/>
          <w:szCs w:val="20"/>
          <w:lang w:val="nl-BE"/>
        </w:rPr>
        <w:t xml:space="preserve"> </w:t>
      </w:r>
      <w:r w:rsidRPr="00E76ECC">
        <w:rPr>
          <w:rStyle w:val="Voetnootmarkering"/>
          <w:sz w:val="20"/>
          <w:szCs w:val="20"/>
        </w:rPr>
        <w:footnoteRef/>
      </w:r>
      <w:r w:rsidRPr="00E76ECC">
        <w:rPr>
          <w:sz w:val="20"/>
          <w:szCs w:val="20"/>
        </w:rPr>
        <w:t xml:space="preserve"> M. </w:t>
      </w:r>
      <w:r w:rsidRPr="00E76ECC">
        <w:rPr>
          <w:smallCaps/>
          <w:sz w:val="20"/>
          <w:szCs w:val="20"/>
          <w:lang w:val="nl-BE"/>
        </w:rPr>
        <w:t>Adams</w:t>
      </w:r>
      <w:r w:rsidRPr="00E76ECC">
        <w:rPr>
          <w:sz w:val="20"/>
          <w:szCs w:val="20"/>
          <w:lang w:val="nl-BE"/>
        </w:rPr>
        <w:t xml:space="preserve"> en H. </w:t>
      </w:r>
      <w:proofErr w:type="spellStart"/>
      <w:r w:rsidRPr="00E76ECC">
        <w:rPr>
          <w:smallCaps/>
          <w:sz w:val="20"/>
          <w:szCs w:val="20"/>
          <w:lang w:val="nl-BE"/>
        </w:rPr>
        <w:t>Nys</w:t>
      </w:r>
      <w:proofErr w:type="spellEnd"/>
      <w:r w:rsidRPr="00E76ECC">
        <w:rPr>
          <w:smallCaps/>
          <w:sz w:val="20"/>
          <w:szCs w:val="20"/>
          <w:lang w:val="nl-BE"/>
        </w:rPr>
        <w:t>,</w:t>
      </w:r>
      <w:r w:rsidRPr="00E76ECC">
        <w:rPr>
          <w:sz w:val="20"/>
          <w:szCs w:val="20"/>
          <w:lang w:val="nl-BE"/>
        </w:rPr>
        <w:t xml:space="preserve"> “De Belgische euthanasiewet in rechtsvergelijkend perspectief” in M. </w:t>
      </w:r>
      <w:r w:rsidRPr="00E76ECC">
        <w:rPr>
          <w:smallCaps/>
          <w:sz w:val="20"/>
          <w:szCs w:val="20"/>
          <w:lang w:val="nl-BE"/>
        </w:rPr>
        <w:t xml:space="preserve">Adams, J. </w:t>
      </w:r>
      <w:proofErr w:type="spellStart"/>
      <w:r w:rsidRPr="00E76ECC">
        <w:rPr>
          <w:smallCaps/>
          <w:sz w:val="20"/>
          <w:szCs w:val="20"/>
          <w:lang w:val="nl-BE"/>
        </w:rPr>
        <w:t>Grifiths</w:t>
      </w:r>
      <w:proofErr w:type="spellEnd"/>
      <w:r w:rsidRPr="00E76ECC">
        <w:rPr>
          <w:sz w:val="20"/>
          <w:szCs w:val="20"/>
          <w:lang w:val="nl-BE"/>
        </w:rPr>
        <w:t xml:space="preserve"> en G. D</w:t>
      </w:r>
      <w:r w:rsidRPr="00E76ECC">
        <w:rPr>
          <w:smallCaps/>
          <w:sz w:val="20"/>
          <w:szCs w:val="20"/>
          <w:lang w:val="nl-BE"/>
        </w:rPr>
        <w:t xml:space="preserve">en </w:t>
      </w:r>
      <w:proofErr w:type="spellStart"/>
      <w:r w:rsidRPr="00E76ECC">
        <w:rPr>
          <w:smallCaps/>
          <w:sz w:val="20"/>
          <w:szCs w:val="20"/>
          <w:lang w:val="nl-BE"/>
        </w:rPr>
        <w:t>Hartogh</w:t>
      </w:r>
      <w:proofErr w:type="spellEnd"/>
      <w:r w:rsidRPr="00E76ECC">
        <w:rPr>
          <w:smallCaps/>
          <w:sz w:val="20"/>
          <w:szCs w:val="20"/>
          <w:lang w:val="nl-BE"/>
        </w:rPr>
        <w:t xml:space="preserve"> </w:t>
      </w:r>
      <w:r w:rsidRPr="00E76ECC">
        <w:rPr>
          <w:sz w:val="20"/>
          <w:szCs w:val="20"/>
          <w:lang w:val="nl-BE"/>
        </w:rPr>
        <w:t>(</w:t>
      </w:r>
      <w:proofErr w:type="spellStart"/>
      <w:r w:rsidRPr="00E76ECC">
        <w:rPr>
          <w:sz w:val="20"/>
          <w:szCs w:val="20"/>
          <w:lang w:val="nl-BE"/>
        </w:rPr>
        <w:t>eds</w:t>
      </w:r>
      <w:proofErr w:type="spellEnd"/>
      <w:r w:rsidRPr="00E76ECC">
        <w:rPr>
          <w:sz w:val="20"/>
          <w:szCs w:val="20"/>
          <w:lang w:val="nl-BE"/>
        </w:rPr>
        <w:t xml:space="preserve">.), </w:t>
      </w:r>
      <w:r w:rsidRPr="00E76ECC">
        <w:rPr>
          <w:i/>
          <w:sz w:val="20"/>
          <w:szCs w:val="20"/>
          <w:lang w:val="nl-BE"/>
        </w:rPr>
        <w:t>Euthanasie. Nieuwe knelpunten in een voortgezette discussie</w:t>
      </w:r>
      <w:r w:rsidRPr="00E76ECC">
        <w:rPr>
          <w:sz w:val="20"/>
          <w:szCs w:val="20"/>
          <w:lang w:val="nl-BE"/>
        </w:rPr>
        <w:t xml:space="preserve">, Kampen, Kok, 2003, 45; J. </w:t>
      </w:r>
      <w:proofErr w:type="spellStart"/>
      <w:r w:rsidRPr="00E76ECC">
        <w:rPr>
          <w:smallCaps/>
          <w:sz w:val="20"/>
          <w:szCs w:val="20"/>
          <w:lang w:val="nl-BE"/>
        </w:rPr>
        <w:t>Legemaate</w:t>
      </w:r>
      <w:proofErr w:type="spellEnd"/>
      <w:r w:rsidRPr="00E76ECC">
        <w:rPr>
          <w:sz w:val="20"/>
          <w:szCs w:val="20"/>
          <w:lang w:val="nl-BE"/>
        </w:rPr>
        <w:t xml:space="preserve">, </w:t>
      </w:r>
      <w:r w:rsidRPr="00E76ECC">
        <w:rPr>
          <w:i/>
          <w:sz w:val="20"/>
          <w:szCs w:val="20"/>
          <w:lang w:val="nl-BE"/>
        </w:rPr>
        <w:t>Medisch handelen rond het levenseinde, gezondheidswetgeving in de praktijk,</w:t>
      </w:r>
      <w:r w:rsidRPr="00E76ECC">
        <w:rPr>
          <w:sz w:val="20"/>
          <w:szCs w:val="20"/>
          <w:lang w:val="nl-BE"/>
        </w:rPr>
        <w:t xml:space="preserve"> </w:t>
      </w:r>
      <w:proofErr w:type="spellStart"/>
      <w:r w:rsidRPr="00E76ECC">
        <w:rPr>
          <w:sz w:val="20"/>
          <w:szCs w:val="20"/>
          <w:lang w:val="nl-BE"/>
        </w:rPr>
        <w:t>Bohn</w:t>
      </w:r>
      <w:proofErr w:type="spellEnd"/>
      <w:r w:rsidRPr="00E76ECC">
        <w:rPr>
          <w:sz w:val="20"/>
          <w:szCs w:val="20"/>
          <w:lang w:val="nl-BE"/>
        </w:rPr>
        <w:t xml:space="preserve"> </w:t>
      </w:r>
      <w:proofErr w:type="spellStart"/>
      <w:r w:rsidRPr="00E76ECC">
        <w:rPr>
          <w:sz w:val="20"/>
          <w:szCs w:val="20"/>
          <w:lang w:val="nl-BE"/>
        </w:rPr>
        <w:t>Stafleu</w:t>
      </w:r>
      <w:proofErr w:type="spellEnd"/>
      <w:r w:rsidRPr="00E76ECC">
        <w:rPr>
          <w:sz w:val="20"/>
          <w:szCs w:val="20"/>
          <w:lang w:val="nl-BE"/>
        </w:rPr>
        <w:t xml:space="preserve"> van </w:t>
      </w:r>
      <w:proofErr w:type="spellStart"/>
      <w:r w:rsidRPr="00E76ECC">
        <w:rPr>
          <w:sz w:val="20"/>
          <w:szCs w:val="20"/>
          <w:lang w:val="nl-BE"/>
        </w:rPr>
        <w:t>Loghum</w:t>
      </w:r>
      <w:proofErr w:type="spellEnd"/>
      <w:r w:rsidRPr="00E76ECC">
        <w:rPr>
          <w:sz w:val="20"/>
          <w:szCs w:val="20"/>
          <w:lang w:val="nl-BE"/>
        </w:rPr>
        <w:t xml:space="preserve">, Houten, 2006, 32; F. </w:t>
      </w:r>
      <w:r w:rsidRPr="00E76ECC">
        <w:rPr>
          <w:smallCaps/>
          <w:sz w:val="20"/>
          <w:szCs w:val="20"/>
          <w:lang w:val="nl-BE"/>
        </w:rPr>
        <w:t>Mortier</w:t>
      </w:r>
      <w:r w:rsidRPr="00E76ECC">
        <w:rPr>
          <w:sz w:val="20"/>
          <w:szCs w:val="20"/>
          <w:lang w:val="nl-BE"/>
        </w:rPr>
        <w:t xml:space="preserve">, “Euthanasie bij minderjarigen” in M. </w:t>
      </w:r>
      <w:r w:rsidRPr="00E76ECC">
        <w:rPr>
          <w:smallCaps/>
          <w:sz w:val="20"/>
          <w:szCs w:val="20"/>
          <w:lang w:val="nl-BE"/>
        </w:rPr>
        <w:t xml:space="preserve">Adams, J. </w:t>
      </w:r>
      <w:proofErr w:type="spellStart"/>
      <w:r w:rsidRPr="00E76ECC">
        <w:rPr>
          <w:smallCaps/>
          <w:sz w:val="20"/>
          <w:szCs w:val="20"/>
          <w:lang w:val="nl-BE"/>
        </w:rPr>
        <w:t>Grifiths</w:t>
      </w:r>
      <w:proofErr w:type="spellEnd"/>
      <w:r w:rsidRPr="00E76ECC">
        <w:rPr>
          <w:sz w:val="20"/>
          <w:szCs w:val="20"/>
          <w:lang w:val="nl-BE"/>
        </w:rPr>
        <w:t xml:space="preserve"> en G. </w:t>
      </w:r>
      <w:r w:rsidRPr="00E76ECC">
        <w:rPr>
          <w:smallCaps/>
          <w:sz w:val="20"/>
          <w:szCs w:val="20"/>
          <w:lang w:val="nl-BE"/>
        </w:rPr>
        <w:t xml:space="preserve">Den </w:t>
      </w:r>
      <w:proofErr w:type="spellStart"/>
      <w:r w:rsidRPr="00E76ECC">
        <w:rPr>
          <w:smallCaps/>
          <w:sz w:val="20"/>
          <w:szCs w:val="20"/>
          <w:lang w:val="nl-BE"/>
        </w:rPr>
        <w:t>Hartogh</w:t>
      </w:r>
      <w:proofErr w:type="spellEnd"/>
      <w:r w:rsidRPr="00E76ECC">
        <w:rPr>
          <w:smallCaps/>
          <w:sz w:val="20"/>
          <w:szCs w:val="20"/>
          <w:lang w:val="nl-BE"/>
        </w:rPr>
        <w:t xml:space="preserve"> </w:t>
      </w:r>
      <w:r w:rsidRPr="00E76ECC">
        <w:rPr>
          <w:sz w:val="20"/>
          <w:szCs w:val="20"/>
          <w:lang w:val="nl-BE"/>
        </w:rPr>
        <w:t>(</w:t>
      </w:r>
      <w:proofErr w:type="spellStart"/>
      <w:r w:rsidRPr="00E76ECC">
        <w:rPr>
          <w:sz w:val="20"/>
          <w:szCs w:val="20"/>
          <w:lang w:val="nl-BE"/>
        </w:rPr>
        <w:t>eds</w:t>
      </w:r>
      <w:proofErr w:type="spellEnd"/>
      <w:r w:rsidRPr="00E76ECC">
        <w:rPr>
          <w:sz w:val="20"/>
          <w:szCs w:val="20"/>
          <w:lang w:val="nl-BE"/>
        </w:rPr>
        <w:t xml:space="preserve">.), </w:t>
      </w:r>
      <w:r w:rsidRPr="00E76ECC">
        <w:rPr>
          <w:i/>
          <w:sz w:val="20"/>
          <w:szCs w:val="20"/>
          <w:lang w:val="nl-BE"/>
        </w:rPr>
        <w:t>Euthanasie. Nieuwe knelpunten in een voortgezette discussie</w:t>
      </w:r>
      <w:r w:rsidRPr="00E76ECC">
        <w:rPr>
          <w:sz w:val="20"/>
          <w:szCs w:val="20"/>
          <w:lang w:val="nl-BE"/>
        </w:rPr>
        <w:t xml:space="preserve">, Kampen, Kok, 2003, 199; H. </w:t>
      </w:r>
      <w:proofErr w:type="spellStart"/>
      <w:r w:rsidRPr="00E76ECC">
        <w:rPr>
          <w:sz w:val="20"/>
          <w:szCs w:val="20"/>
          <w:lang w:val="nl-BE"/>
        </w:rPr>
        <w:t>N</w:t>
      </w:r>
      <w:r w:rsidRPr="00E76ECC">
        <w:rPr>
          <w:smallCaps/>
          <w:sz w:val="20"/>
          <w:szCs w:val="20"/>
          <w:lang w:val="nl-BE"/>
        </w:rPr>
        <w:t>ys</w:t>
      </w:r>
      <w:proofErr w:type="spellEnd"/>
      <w:r w:rsidRPr="00E76ECC">
        <w:rPr>
          <w:sz w:val="20"/>
          <w:szCs w:val="20"/>
          <w:lang w:val="nl-BE"/>
        </w:rPr>
        <w:t xml:space="preserve">, “Euthanasie bij kinderen naar Belgisch recht”, </w:t>
      </w:r>
      <w:r w:rsidRPr="00E76ECC">
        <w:rPr>
          <w:i/>
          <w:sz w:val="20"/>
          <w:szCs w:val="20"/>
          <w:lang w:val="nl-BE"/>
        </w:rPr>
        <w:t>TJK</w:t>
      </w:r>
      <w:r w:rsidRPr="00E76ECC">
        <w:rPr>
          <w:sz w:val="20"/>
          <w:szCs w:val="20"/>
          <w:lang w:val="nl-BE"/>
        </w:rPr>
        <w:t xml:space="preserve"> 2009, afl. 4, 279.</w:t>
      </w:r>
    </w:p>
  </w:footnote>
  <w:footnote w:id="132">
    <w:p w:rsidR="001A0466" w:rsidRPr="00E76ECC" w:rsidRDefault="001A0466" w:rsidP="00E66F22">
      <w:pPr>
        <w:jc w:val="both"/>
        <w:rPr>
          <w:sz w:val="20"/>
          <w:szCs w:val="20"/>
          <w:lang w:val="nl-BE"/>
        </w:rPr>
      </w:pPr>
      <w:r w:rsidRPr="00E76ECC">
        <w:rPr>
          <w:rStyle w:val="Voetnootmarkering"/>
          <w:sz w:val="20"/>
          <w:szCs w:val="20"/>
        </w:rPr>
        <w:footnoteRef/>
      </w:r>
      <w:r w:rsidRPr="00E76ECC">
        <w:rPr>
          <w:sz w:val="20"/>
          <w:szCs w:val="20"/>
        </w:rPr>
        <w:t xml:space="preserve"> </w:t>
      </w:r>
      <w:r w:rsidRPr="00E76ECC">
        <w:rPr>
          <w:sz w:val="20"/>
          <w:szCs w:val="20"/>
          <w:lang w:val="nl-BE"/>
        </w:rPr>
        <w:t xml:space="preserve">J. </w:t>
      </w:r>
      <w:proofErr w:type="spellStart"/>
      <w:r w:rsidRPr="00E76ECC">
        <w:rPr>
          <w:smallCaps/>
          <w:sz w:val="20"/>
          <w:szCs w:val="20"/>
          <w:lang w:val="nl-BE"/>
        </w:rPr>
        <w:t>Legemaate</w:t>
      </w:r>
      <w:proofErr w:type="spellEnd"/>
      <w:r w:rsidRPr="00E76ECC">
        <w:rPr>
          <w:sz w:val="20"/>
          <w:szCs w:val="20"/>
          <w:lang w:val="nl-BE"/>
        </w:rPr>
        <w:t xml:space="preserve">, </w:t>
      </w:r>
      <w:r w:rsidRPr="00E76ECC">
        <w:rPr>
          <w:i/>
          <w:sz w:val="20"/>
          <w:szCs w:val="20"/>
          <w:lang w:val="nl-BE"/>
        </w:rPr>
        <w:t>Medisch handelen rond het levenseinde, gezondheidswetgeving in de praktijk,</w:t>
      </w:r>
      <w:r w:rsidRPr="00E76ECC">
        <w:rPr>
          <w:sz w:val="20"/>
          <w:szCs w:val="20"/>
          <w:lang w:val="nl-BE"/>
        </w:rPr>
        <w:t xml:space="preserve"> </w:t>
      </w:r>
      <w:proofErr w:type="spellStart"/>
      <w:r w:rsidRPr="00E76ECC">
        <w:rPr>
          <w:sz w:val="20"/>
          <w:szCs w:val="20"/>
          <w:lang w:val="nl-BE"/>
        </w:rPr>
        <w:t>Bohn</w:t>
      </w:r>
      <w:proofErr w:type="spellEnd"/>
      <w:r w:rsidRPr="00E76ECC">
        <w:rPr>
          <w:sz w:val="20"/>
          <w:szCs w:val="20"/>
          <w:lang w:val="nl-BE"/>
        </w:rPr>
        <w:t xml:space="preserve"> </w:t>
      </w:r>
      <w:proofErr w:type="spellStart"/>
      <w:r w:rsidRPr="00E76ECC">
        <w:rPr>
          <w:sz w:val="20"/>
          <w:szCs w:val="20"/>
          <w:lang w:val="nl-BE"/>
        </w:rPr>
        <w:t>Stafleu</w:t>
      </w:r>
      <w:proofErr w:type="spellEnd"/>
      <w:r w:rsidRPr="00E76ECC">
        <w:rPr>
          <w:sz w:val="20"/>
          <w:szCs w:val="20"/>
          <w:lang w:val="nl-BE"/>
        </w:rPr>
        <w:t xml:space="preserve"> van </w:t>
      </w:r>
      <w:proofErr w:type="spellStart"/>
      <w:r w:rsidRPr="00E76ECC">
        <w:rPr>
          <w:sz w:val="20"/>
          <w:szCs w:val="20"/>
          <w:lang w:val="nl-BE"/>
        </w:rPr>
        <w:t>Loghum</w:t>
      </w:r>
      <w:proofErr w:type="spellEnd"/>
      <w:r w:rsidRPr="00E76ECC">
        <w:rPr>
          <w:sz w:val="20"/>
          <w:szCs w:val="20"/>
          <w:lang w:val="nl-BE"/>
        </w:rPr>
        <w:t xml:space="preserve">, Houten, 2006, 32. Men gaat er van uit dat een arts zich ook in België voor de invoering van de euthanasiewet op de noodtoestand kon beroepen. Precedenten waren er echter niet. Zie </w:t>
      </w:r>
      <w:r w:rsidRPr="00E76ECC">
        <w:rPr>
          <w:sz w:val="20"/>
          <w:szCs w:val="20"/>
        </w:rPr>
        <w:t xml:space="preserve">M. </w:t>
      </w:r>
      <w:r w:rsidRPr="00E76ECC">
        <w:rPr>
          <w:smallCaps/>
          <w:sz w:val="20"/>
          <w:szCs w:val="20"/>
          <w:lang w:val="nl-BE"/>
        </w:rPr>
        <w:t>Adams</w:t>
      </w:r>
      <w:r w:rsidRPr="00E76ECC">
        <w:rPr>
          <w:sz w:val="20"/>
          <w:szCs w:val="20"/>
          <w:lang w:val="nl-BE"/>
        </w:rPr>
        <w:t xml:space="preserve"> en H. </w:t>
      </w:r>
      <w:proofErr w:type="spellStart"/>
      <w:r w:rsidRPr="00E76ECC">
        <w:rPr>
          <w:smallCaps/>
          <w:sz w:val="20"/>
          <w:szCs w:val="20"/>
          <w:lang w:val="nl-BE"/>
        </w:rPr>
        <w:t>Nys</w:t>
      </w:r>
      <w:proofErr w:type="spellEnd"/>
      <w:r w:rsidRPr="00E76ECC">
        <w:rPr>
          <w:smallCaps/>
          <w:sz w:val="20"/>
          <w:szCs w:val="20"/>
          <w:lang w:val="nl-BE"/>
        </w:rPr>
        <w:t>,</w:t>
      </w:r>
      <w:r w:rsidRPr="00E76ECC">
        <w:rPr>
          <w:sz w:val="20"/>
          <w:szCs w:val="20"/>
          <w:lang w:val="nl-BE"/>
        </w:rPr>
        <w:t xml:space="preserve"> “De Belgische euthanasiewet in rechtsvergelijkend perspectief” in M. </w:t>
      </w:r>
      <w:r w:rsidRPr="00E76ECC">
        <w:rPr>
          <w:smallCaps/>
          <w:sz w:val="20"/>
          <w:szCs w:val="20"/>
          <w:lang w:val="nl-BE"/>
        </w:rPr>
        <w:t xml:space="preserve">Adams, J. </w:t>
      </w:r>
      <w:proofErr w:type="spellStart"/>
      <w:r w:rsidRPr="00E76ECC">
        <w:rPr>
          <w:smallCaps/>
          <w:sz w:val="20"/>
          <w:szCs w:val="20"/>
          <w:lang w:val="nl-BE"/>
        </w:rPr>
        <w:t>Grifiths</w:t>
      </w:r>
      <w:proofErr w:type="spellEnd"/>
      <w:r w:rsidRPr="00E76ECC">
        <w:rPr>
          <w:sz w:val="20"/>
          <w:szCs w:val="20"/>
          <w:lang w:val="nl-BE"/>
        </w:rPr>
        <w:t xml:space="preserve"> en G. D</w:t>
      </w:r>
      <w:r w:rsidRPr="00E76ECC">
        <w:rPr>
          <w:smallCaps/>
          <w:sz w:val="20"/>
          <w:szCs w:val="20"/>
          <w:lang w:val="nl-BE"/>
        </w:rPr>
        <w:t xml:space="preserve">en </w:t>
      </w:r>
      <w:proofErr w:type="spellStart"/>
      <w:r w:rsidRPr="00E76ECC">
        <w:rPr>
          <w:smallCaps/>
          <w:sz w:val="20"/>
          <w:szCs w:val="20"/>
          <w:lang w:val="nl-BE"/>
        </w:rPr>
        <w:t>Hartogh</w:t>
      </w:r>
      <w:proofErr w:type="spellEnd"/>
      <w:r w:rsidRPr="00E76ECC">
        <w:rPr>
          <w:smallCaps/>
          <w:sz w:val="20"/>
          <w:szCs w:val="20"/>
          <w:lang w:val="nl-BE"/>
        </w:rPr>
        <w:t xml:space="preserve"> </w:t>
      </w:r>
      <w:r w:rsidRPr="00E76ECC">
        <w:rPr>
          <w:sz w:val="20"/>
          <w:szCs w:val="20"/>
          <w:lang w:val="nl-BE"/>
        </w:rPr>
        <w:t>(</w:t>
      </w:r>
      <w:proofErr w:type="spellStart"/>
      <w:r w:rsidRPr="00E76ECC">
        <w:rPr>
          <w:sz w:val="20"/>
          <w:szCs w:val="20"/>
          <w:lang w:val="nl-BE"/>
        </w:rPr>
        <w:t>eds</w:t>
      </w:r>
      <w:proofErr w:type="spellEnd"/>
      <w:r w:rsidRPr="00E76ECC">
        <w:rPr>
          <w:sz w:val="20"/>
          <w:szCs w:val="20"/>
          <w:lang w:val="nl-BE"/>
        </w:rPr>
        <w:t xml:space="preserve">.), </w:t>
      </w:r>
      <w:r w:rsidRPr="00E76ECC">
        <w:rPr>
          <w:i/>
          <w:sz w:val="20"/>
          <w:szCs w:val="20"/>
          <w:lang w:val="nl-BE"/>
        </w:rPr>
        <w:t>Euthanasie. Nieuwe knelpunten in een voortgezette discussie</w:t>
      </w:r>
      <w:r w:rsidRPr="00E76ECC">
        <w:rPr>
          <w:sz w:val="20"/>
          <w:szCs w:val="20"/>
          <w:lang w:val="nl-BE"/>
        </w:rPr>
        <w:t>, Kampen, Kok, 2003, 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316"/>
    <w:multiLevelType w:val="hybridMultilevel"/>
    <w:tmpl w:val="4824FE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45B1535C"/>
    <w:multiLevelType w:val="hybridMultilevel"/>
    <w:tmpl w:val="46C66CF8"/>
    <w:lvl w:ilvl="0" w:tplc="ACC20CBE">
      <w:start w:val="1"/>
      <w:numFmt w:val="decimal"/>
      <w:lvlText w:val="%1."/>
      <w:lvlJc w:val="left"/>
      <w:pPr>
        <w:ind w:left="720" w:hanging="360"/>
      </w:pPr>
      <w:rPr>
        <w:rFonts w:ascii="Times New Roman" w:hAnsi="Times New Roman" w:cs="Times New Roman" w:hint="default"/>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608515E8"/>
    <w:multiLevelType w:val="multilevel"/>
    <w:tmpl w:val="481246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noPunctuationKerning/>
  <w:characterSpacingControl w:val="doNotCompress"/>
  <w:hdrShapeDefaults>
    <o:shapedefaults v:ext="edit" spidmax="39938"/>
  </w:hdrShapeDefaults>
  <w:footnotePr>
    <w:footnote w:id="-1"/>
    <w:footnote w:id="0"/>
  </w:footnotePr>
  <w:endnotePr>
    <w:endnote w:id="-1"/>
    <w:endnote w:id="0"/>
  </w:endnotePr>
  <w:compat>
    <w:useFELayout/>
  </w:compat>
  <w:rsids>
    <w:rsidRoot w:val="00FD3FA2"/>
    <w:rsid w:val="00002AEC"/>
    <w:rsid w:val="00013600"/>
    <w:rsid w:val="00025B03"/>
    <w:rsid w:val="00042013"/>
    <w:rsid w:val="00045EC3"/>
    <w:rsid w:val="00047800"/>
    <w:rsid w:val="00047DF8"/>
    <w:rsid w:val="00057DDC"/>
    <w:rsid w:val="00075D46"/>
    <w:rsid w:val="00095F59"/>
    <w:rsid w:val="000B16D4"/>
    <w:rsid w:val="000B2E2D"/>
    <w:rsid w:val="000C41EC"/>
    <w:rsid w:val="000D6019"/>
    <w:rsid w:val="000D7B2A"/>
    <w:rsid w:val="000F39CC"/>
    <w:rsid w:val="000F4EC1"/>
    <w:rsid w:val="000F5A74"/>
    <w:rsid w:val="001012BB"/>
    <w:rsid w:val="00114F32"/>
    <w:rsid w:val="00123EF6"/>
    <w:rsid w:val="00123FD2"/>
    <w:rsid w:val="00136F5A"/>
    <w:rsid w:val="0014288E"/>
    <w:rsid w:val="00151077"/>
    <w:rsid w:val="001523AD"/>
    <w:rsid w:val="001606A0"/>
    <w:rsid w:val="00160873"/>
    <w:rsid w:val="00165BF1"/>
    <w:rsid w:val="001710F2"/>
    <w:rsid w:val="001735BC"/>
    <w:rsid w:val="001A0466"/>
    <w:rsid w:val="001B0156"/>
    <w:rsid w:val="001B3805"/>
    <w:rsid w:val="001C2E8B"/>
    <w:rsid w:val="001C4926"/>
    <w:rsid w:val="001D2FF4"/>
    <w:rsid w:val="001D462F"/>
    <w:rsid w:val="001E4BBA"/>
    <w:rsid w:val="00237ABC"/>
    <w:rsid w:val="00237BAE"/>
    <w:rsid w:val="002426EE"/>
    <w:rsid w:val="002557EE"/>
    <w:rsid w:val="0027709B"/>
    <w:rsid w:val="0029029E"/>
    <w:rsid w:val="002B2429"/>
    <w:rsid w:val="002B310E"/>
    <w:rsid w:val="002C59DD"/>
    <w:rsid w:val="002C6DC2"/>
    <w:rsid w:val="002D7F03"/>
    <w:rsid w:val="002F4F55"/>
    <w:rsid w:val="002F52F1"/>
    <w:rsid w:val="003010EC"/>
    <w:rsid w:val="003244A9"/>
    <w:rsid w:val="003309FD"/>
    <w:rsid w:val="003365B4"/>
    <w:rsid w:val="00345C94"/>
    <w:rsid w:val="0036723C"/>
    <w:rsid w:val="00367C2E"/>
    <w:rsid w:val="0037284B"/>
    <w:rsid w:val="00375610"/>
    <w:rsid w:val="00382966"/>
    <w:rsid w:val="00393F3C"/>
    <w:rsid w:val="0039652F"/>
    <w:rsid w:val="003B5A27"/>
    <w:rsid w:val="003C20FB"/>
    <w:rsid w:val="003D4BEC"/>
    <w:rsid w:val="003D5067"/>
    <w:rsid w:val="003E0B58"/>
    <w:rsid w:val="003E1A61"/>
    <w:rsid w:val="00402E2D"/>
    <w:rsid w:val="0044190A"/>
    <w:rsid w:val="0045288E"/>
    <w:rsid w:val="0046467E"/>
    <w:rsid w:val="00464F0A"/>
    <w:rsid w:val="004667F9"/>
    <w:rsid w:val="00470955"/>
    <w:rsid w:val="0047236C"/>
    <w:rsid w:val="004731A3"/>
    <w:rsid w:val="00473DF1"/>
    <w:rsid w:val="004917DC"/>
    <w:rsid w:val="00492FD5"/>
    <w:rsid w:val="004A1019"/>
    <w:rsid w:val="004C3222"/>
    <w:rsid w:val="004D710F"/>
    <w:rsid w:val="004F4133"/>
    <w:rsid w:val="004F4303"/>
    <w:rsid w:val="00510BA0"/>
    <w:rsid w:val="005134AD"/>
    <w:rsid w:val="00521E3F"/>
    <w:rsid w:val="00536FD6"/>
    <w:rsid w:val="005433FE"/>
    <w:rsid w:val="00545010"/>
    <w:rsid w:val="005469DA"/>
    <w:rsid w:val="00553F40"/>
    <w:rsid w:val="00556ADB"/>
    <w:rsid w:val="00565FA0"/>
    <w:rsid w:val="005751B1"/>
    <w:rsid w:val="00577BC8"/>
    <w:rsid w:val="00582BA3"/>
    <w:rsid w:val="005866E8"/>
    <w:rsid w:val="0059339D"/>
    <w:rsid w:val="005B672B"/>
    <w:rsid w:val="005D06D0"/>
    <w:rsid w:val="005E2768"/>
    <w:rsid w:val="005E584E"/>
    <w:rsid w:val="00607C50"/>
    <w:rsid w:val="00647FE3"/>
    <w:rsid w:val="00653718"/>
    <w:rsid w:val="00673FEC"/>
    <w:rsid w:val="00682681"/>
    <w:rsid w:val="00684548"/>
    <w:rsid w:val="00685CC8"/>
    <w:rsid w:val="006A5068"/>
    <w:rsid w:val="006A5FB9"/>
    <w:rsid w:val="006B61E0"/>
    <w:rsid w:val="006B7C16"/>
    <w:rsid w:val="006D35B1"/>
    <w:rsid w:val="006E1806"/>
    <w:rsid w:val="006E7662"/>
    <w:rsid w:val="006E78AD"/>
    <w:rsid w:val="006F019C"/>
    <w:rsid w:val="006F665A"/>
    <w:rsid w:val="00711B80"/>
    <w:rsid w:val="0075725B"/>
    <w:rsid w:val="00770CC6"/>
    <w:rsid w:val="0077141D"/>
    <w:rsid w:val="00781AE6"/>
    <w:rsid w:val="0079282A"/>
    <w:rsid w:val="00793673"/>
    <w:rsid w:val="00795377"/>
    <w:rsid w:val="007A2BFE"/>
    <w:rsid w:val="007A2E27"/>
    <w:rsid w:val="007C6E1E"/>
    <w:rsid w:val="007F086E"/>
    <w:rsid w:val="007F41E7"/>
    <w:rsid w:val="007F609F"/>
    <w:rsid w:val="007F6EA6"/>
    <w:rsid w:val="00807D66"/>
    <w:rsid w:val="008242B2"/>
    <w:rsid w:val="00830086"/>
    <w:rsid w:val="00835753"/>
    <w:rsid w:val="008533CA"/>
    <w:rsid w:val="008762BB"/>
    <w:rsid w:val="00876692"/>
    <w:rsid w:val="00881691"/>
    <w:rsid w:val="00881F2B"/>
    <w:rsid w:val="00882D07"/>
    <w:rsid w:val="008903DE"/>
    <w:rsid w:val="0089233E"/>
    <w:rsid w:val="008A1FDD"/>
    <w:rsid w:val="008B07A9"/>
    <w:rsid w:val="008B6027"/>
    <w:rsid w:val="008C6F21"/>
    <w:rsid w:val="008E02C9"/>
    <w:rsid w:val="008E3EA6"/>
    <w:rsid w:val="008F01DE"/>
    <w:rsid w:val="00901FBB"/>
    <w:rsid w:val="00904396"/>
    <w:rsid w:val="00906F1F"/>
    <w:rsid w:val="009105AC"/>
    <w:rsid w:val="00914C0F"/>
    <w:rsid w:val="00916F44"/>
    <w:rsid w:val="009215AA"/>
    <w:rsid w:val="00921AE2"/>
    <w:rsid w:val="00924C26"/>
    <w:rsid w:val="00970E43"/>
    <w:rsid w:val="00980CB3"/>
    <w:rsid w:val="009A19D5"/>
    <w:rsid w:val="009B10B3"/>
    <w:rsid w:val="009C42EC"/>
    <w:rsid w:val="009D1032"/>
    <w:rsid w:val="009D32B8"/>
    <w:rsid w:val="009D529D"/>
    <w:rsid w:val="009D74E1"/>
    <w:rsid w:val="009E77F3"/>
    <w:rsid w:val="009F02B3"/>
    <w:rsid w:val="009F707A"/>
    <w:rsid w:val="00A013A2"/>
    <w:rsid w:val="00A0491E"/>
    <w:rsid w:val="00A17047"/>
    <w:rsid w:val="00A3599F"/>
    <w:rsid w:val="00A44C75"/>
    <w:rsid w:val="00A54546"/>
    <w:rsid w:val="00A678FE"/>
    <w:rsid w:val="00A724F7"/>
    <w:rsid w:val="00A85BE0"/>
    <w:rsid w:val="00A8671E"/>
    <w:rsid w:val="00A9257B"/>
    <w:rsid w:val="00AE0F83"/>
    <w:rsid w:val="00AE3ACD"/>
    <w:rsid w:val="00AE7481"/>
    <w:rsid w:val="00B24F29"/>
    <w:rsid w:val="00B34215"/>
    <w:rsid w:val="00B431F2"/>
    <w:rsid w:val="00B808EC"/>
    <w:rsid w:val="00B82702"/>
    <w:rsid w:val="00B8518E"/>
    <w:rsid w:val="00BA0C74"/>
    <w:rsid w:val="00BA5C45"/>
    <w:rsid w:val="00BB31DC"/>
    <w:rsid w:val="00BB47EC"/>
    <w:rsid w:val="00BC74D4"/>
    <w:rsid w:val="00BD1AD7"/>
    <w:rsid w:val="00BD65D0"/>
    <w:rsid w:val="00BF59B9"/>
    <w:rsid w:val="00C06C4F"/>
    <w:rsid w:val="00C33603"/>
    <w:rsid w:val="00C55BB6"/>
    <w:rsid w:val="00C66A96"/>
    <w:rsid w:val="00CA17AC"/>
    <w:rsid w:val="00CB2FE6"/>
    <w:rsid w:val="00CB575B"/>
    <w:rsid w:val="00CB7CDA"/>
    <w:rsid w:val="00CC254C"/>
    <w:rsid w:val="00CC3A6F"/>
    <w:rsid w:val="00CC5B66"/>
    <w:rsid w:val="00CC66D1"/>
    <w:rsid w:val="00CE18F2"/>
    <w:rsid w:val="00CE4F2A"/>
    <w:rsid w:val="00CE61B2"/>
    <w:rsid w:val="00CE668A"/>
    <w:rsid w:val="00D01085"/>
    <w:rsid w:val="00D1382A"/>
    <w:rsid w:val="00D2697C"/>
    <w:rsid w:val="00D41B5C"/>
    <w:rsid w:val="00D45322"/>
    <w:rsid w:val="00D4625C"/>
    <w:rsid w:val="00D51576"/>
    <w:rsid w:val="00D636D4"/>
    <w:rsid w:val="00D67553"/>
    <w:rsid w:val="00D831AE"/>
    <w:rsid w:val="00D942D1"/>
    <w:rsid w:val="00DA2321"/>
    <w:rsid w:val="00DA5498"/>
    <w:rsid w:val="00DB57A3"/>
    <w:rsid w:val="00DB67F7"/>
    <w:rsid w:val="00DC5F02"/>
    <w:rsid w:val="00DD7E82"/>
    <w:rsid w:val="00DE107A"/>
    <w:rsid w:val="00DE797E"/>
    <w:rsid w:val="00DF1AD1"/>
    <w:rsid w:val="00DF5910"/>
    <w:rsid w:val="00E02245"/>
    <w:rsid w:val="00E1444A"/>
    <w:rsid w:val="00E15DC4"/>
    <w:rsid w:val="00E375B5"/>
    <w:rsid w:val="00E419E9"/>
    <w:rsid w:val="00E66508"/>
    <w:rsid w:val="00E66F22"/>
    <w:rsid w:val="00E76ECC"/>
    <w:rsid w:val="00E8595C"/>
    <w:rsid w:val="00E92EBC"/>
    <w:rsid w:val="00EC161C"/>
    <w:rsid w:val="00EC3BED"/>
    <w:rsid w:val="00EC52BB"/>
    <w:rsid w:val="00EC7F8D"/>
    <w:rsid w:val="00ED1A87"/>
    <w:rsid w:val="00EF5931"/>
    <w:rsid w:val="00F0167E"/>
    <w:rsid w:val="00F23506"/>
    <w:rsid w:val="00F24E1F"/>
    <w:rsid w:val="00F251CD"/>
    <w:rsid w:val="00F34258"/>
    <w:rsid w:val="00F51113"/>
    <w:rsid w:val="00F53137"/>
    <w:rsid w:val="00F641D8"/>
    <w:rsid w:val="00F722C0"/>
    <w:rsid w:val="00F744CE"/>
    <w:rsid w:val="00F76F4D"/>
    <w:rsid w:val="00F879EF"/>
    <w:rsid w:val="00FA3550"/>
    <w:rsid w:val="00FB31BC"/>
    <w:rsid w:val="00FD3B17"/>
    <w:rsid w:val="00FD3FA2"/>
    <w:rsid w:val="00FE2335"/>
    <w:rsid w:val="00FE4C6A"/>
    <w:rsid w:val="00FF366A"/>
    <w:rsid w:val="00FF545A"/>
  </w:rsids>
  <m:mathPr>
    <m:mathFont m:val="Cambria Math"/>
    <m:brkBin m:val="before"/>
    <m:brkBinSub m:val="--"/>
    <m:smallFrac m:val="off"/>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nl-B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3FA2"/>
    <w:rPr>
      <w:sz w:val="24"/>
      <w:szCs w:val="24"/>
      <w:lang w:val="nl-NL" w:eastAsia="nl-NL"/>
    </w:rPr>
  </w:style>
  <w:style w:type="paragraph" w:styleId="Kop1">
    <w:name w:val="heading 1"/>
    <w:basedOn w:val="Standaard"/>
    <w:next w:val="Standaard"/>
    <w:link w:val="Kop1Char"/>
    <w:uiPriority w:val="9"/>
    <w:qFormat/>
    <w:rsid w:val="004D710F"/>
    <w:pPr>
      <w:spacing w:line="360" w:lineRule="auto"/>
      <w:jc w:val="both"/>
      <w:outlineLvl w:val="0"/>
    </w:pPr>
    <w:rPr>
      <w:lang w:val="nl-BE"/>
    </w:rPr>
  </w:style>
  <w:style w:type="paragraph" w:styleId="Kop2">
    <w:name w:val="heading 2"/>
    <w:basedOn w:val="Standaard"/>
    <w:next w:val="Standaard"/>
    <w:link w:val="Kop2Char"/>
    <w:uiPriority w:val="9"/>
    <w:unhideWhenUsed/>
    <w:qFormat/>
    <w:rsid w:val="004D710F"/>
    <w:pPr>
      <w:spacing w:line="360" w:lineRule="auto"/>
      <w:jc w:val="both"/>
      <w:outlineLvl w:val="1"/>
    </w:pPr>
    <w:rPr>
      <w:lang w:val="nl-BE"/>
    </w:rPr>
  </w:style>
  <w:style w:type="paragraph" w:styleId="Kop3">
    <w:name w:val="heading 3"/>
    <w:basedOn w:val="Standaard"/>
    <w:link w:val="Kop3Char"/>
    <w:uiPriority w:val="9"/>
    <w:qFormat/>
    <w:rsid w:val="004D710F"/>
    <w:pPr>
      <w:spacing w:line="360" w:lineRule="auto"/>
      <w:jc w:val="both"/>
      <w:outlineLvl w:val="2"/>
    </w:pPr>
    <w:rPr>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D3FA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FD3FA2"/>
    <w:rPr>
      <w:rFonts w:ascii="Tahoma" w:hAnsi="Tahoma" w:cs="Tahoma"/>
      <w:sz w:val="16"/>
      <w:szCs w:val="16"/>
    </w:rPr>
  </w:style>
  <w:style w:type="character" w:customStyle="1" w:styleId="BallontekstChar">
    <w:name w:val="Ballontekst Char"/>
    <w:basedOn w:val="Standaardalinea-lettertype"/>
    <w:link w:val="Ballontekst"/>
    <w:uiPriority w:val="99"/>
    <w:semiHidden/>
    <w:rsid w:val="00FD3FA2"/>
    <w:rPr>
      <w:rFonts w:ascii="Tahoma" w:hAnsi="Tahoma" w:cs="Tahoma"/>
      <w:sz w:val="16"/>
      <w:szCs w:val="16"/>
      <w:lang w:val="nl-NL" w:eastAsia="nl-NL"/>
    </w:rPr>
  </w:style>
  <w:style w:type="character" w:customStyle="1" w:styleId="Kop3Char">
    <w:name w:val="Kop 3 Char"/>
    <w:basedOn w:val="Standaardalinea-lettertype"/>
    <w:link w:val="Kop3"/>
    <w:uiPriority w:val="9"/>
    <w:rsid w:val="004D710F"/>
    <w:rPr>
      <w:sz w:val="24"/>
      <w:szCs w:val="24"/>
      <w:lang w:eastAsia="nl-NL"/>
    </w:rPr>
  </w:style>
  <w:style w:type="character" w:styleId="Hyperlink">
    <w:name w:val="Hyperlink"/>
    <w:basedOn w:val="Standaardalinea-lettertype"/>
    <w:uiPriority w:val="99"/>
    <w:unhideWhenUsed/>
    <w:rsid w:val="00FD3FA2"/>
    <w:rPr>
      <w:color w:val="0000FF" w:themeColor="hyperlink"/>
      <w:u w:val="single"/>
    </w:rPr>
  </w:style>
  <w:style w:type="paragraph" w:styleId="Voetnoottekst">
    <w:name w:val="footnote text"/>
    <w:basedOn w:val="Standaard"/>
    <w:link w:val="VoetnoottekstChar"/>
    <w:uiPriority w:val="99"/>
    <w:unhideWhenUsed/>
    <w:rsid w:val="00EC7F8D"/>
    <w:rPr>
      <w:sz w:val="20"/>
      <w:szCs w:val="20"/>
    </w:rPr>
  </w:style>
  <w:style w:type="character" w:customStyle="1" w:styleId="VoetnoottekstChar">
    <w:name w:val="Voetnoottekst Char"/>
    <w:basedOn w:val="Standaardalinea-lettertype"/>
    <w:link w:val="Voetnoottekst"/>
    <w:uiPriority w:val="99"/>
    <w:rsid w:val="00EC7F8D"/>
    <w:rPr>
      <w:lang w:val="nl-NL" w:eastAsia="nl-NL"/>
    </w:rPr>
  </w:style>
  <w:style w:type="character" w:styleId="Voetnootmarkering">
    <w:name w:val="footnote reference"/>
    <w:basedOn w:val="Standaardalinea-lettertype"/>
    <w:uiPriority w:val="99"/>
    <w:semiHidden/>
    <w:unhideWhenUsed/>
    <w:rsid w:val="00EC7F8D"/>
    <w:rPr>
      <w:vertAlign w:val="superscript"/>
    </w:rPr>
  </w:style>
  <w:style w:type="paragraph" w:styleId="Normaalweb">
    <w:name w:val="Normal (Web)"/>
    <w:basedOn w:val="Standaard"/>
    <w:uiPriority w:val="99"/>
    <w:semiHidden/>
    <w:unhideWhenUsed/>
    <w:rsid w:val="00793673"/>
    <w:pPr>
      <w:spacing w:before="100" w:beforeAutospacing="1" w:after="100" w:afterAutospacing="1"/>
    </w:pPr>
    <w:rPr>
      <w:rFonts w:eastAsia="Times New Roman"/>
      <w:lang w:val="nl-BE" w:eastAsia="ja-JP"/>
    </w:rPr>
  </w:style>
  <w:style w:type="paragraph" w:styleId="Geenafstand">
    <w:name w:val="No Spacing"/>
    <w:uiPriority w:val="1"/>
    <w:qFormat/>
    <w:rsid w:val="0014288E"/>
    <w:rPr>
      <w:sz w:val="24"/>
      <w:szCs w:val="24"/>
      <w:lang w:val="nl-NL" w:eastAsia="nl-NL"/>
    </w:rPr>
  </w:style>
  <w:style w:type="character" w:styleId="GevolgdeHyperlink">
    <w:name w:val="FollowedHyperlink"/>
    <w:basedOn w:val="Standaardalinea-lettertype"/>
    <w:uiPriority w:val="99"/>
    <w:semiHidden/>
    <w:unhideWhenUsed/>
    <w:rsid w:val="00556ADB"/>
    <w:rPr>
      <w:color w:val="800080" w:themeColor="followedHyperlink"/>
      <w:u w:val="single"/>
    </w:rPr>
  </w:style>
  <w:style w:type="paragraph" w:styleId="Koptekst">
    <w:name w:val="header"/>
    <w:basedOn w:val="Standaard"/>
    <w:link w:val="KoptekstChar"/>
    <w:uiPriority w:val="99"/>
    <w:semiHidden/>
    <w:unhideWhenUsed/>
    <w:rsid w:val="004D710F"/>
    <w:pPr>
      <w:tabs>
        <w:tab w:val="center" w:pos="4536"/>
        <w:tab w:val="right" w:pos="9072"/>
      </w:tabs>
    </w:pPr>
  </w:style>
  <w:style w:type="character" w:customStyle="1" w:styleId="KoptekstChar">
    <w:name w:val="Koptekst Char"/>
    <w:basedOn w:val="Standaardalinea-lettertype"/>
    <w:link w:val="Koptekst"/>
    <w:uiPriority w:val="99"/>
    <w:semiHidden/>
    <w:rsid w:val="004D710F"/>
    <w:rPr>
      <w:sz w:val="24"/>
      <w:szCs w:val="24"/>
      <w:lang w:val="nl-NL" w:eastAsia="nl-NL"/>
    </w:rPr>
  </w:style>
  <w:style w:type="paragraph" w:styleId="Voettekst">
    <w:name w:val="footer"/>
    <w:basedOn w:val="Standaard"/>
    <w:link w:val="VoettekstChar"/>
    <w:uiPriority w:val="99"/>
    <w:unhideWhenUsed/>
    <w:rsid w:val="004D710F"/>
    <w:pPr>
      <w:tabs>
        <w:tab w:val="center" w:pos="4536"/>
        <w:tab w:val="right" w:pos="9072"/>
      </w:tabs>
    </w:pPr>
  </w:style>
  <w:style w:type="character" w:customStyle="1" w:styleId="VoettekstChar">
    <w:name w:val="Voettekst Char"/>
    <w:basedOn w:val="Standaardalinea-lettertype"/>
    <w:link w:val="Voettekst"/>
    <w:uiPriority w:val="99"/>
    <w:rsid w:val="004D710F"/>
    <w:rPr>
      <w:sz w:val="24"/>
      <w:szCs w:val="24"/>
      <w:lang w:val="nl-NL" w:eastAsia="nl-NL"/>
    </w:rPr>
  </w:style>
  <w:style w:type="character" w:customStyle="1" w:styleId="Kop1Char">
    <w:name w:val="Kop 1 Char"/>
    <w:basedOn w:val="Standaardalinea-lettertype"/>
    <w:link w:val="Kop1"/>
    <w:uiPriority w:val="9"/>
    <w:rsid w:val="004D710F"/>
    <w:rPr>
      <w:sz w:val="24"/>
      <w:szCs w:val="24"/>
      <w:lang w:eastAsia="nl-NL"/>
    </w:rPr>
  </w:style>
  <w:style w:type="paragraph" w:styleId="Kopvaninhoudsopgave">
    <w:name w:val="TOC Heading"/>
    <w:basedOn w:val="Kop1"/>
    <w:next w:val="Standaard"/>
    <w:uiPriority w:val="39"/>
    <w:semiHidden/>
    <w:unhideWhenUsed/>
    <w:qFormat/>
    <w:rsid w:val="004D710F"/>
    <w:pPr>
      <w:spacing w:line="276" w:lineRule="auto"/>
      <w:outlineLvl w:val="9"/>
    </w:pPr>
    <w:rPr>
      <w:lang w:eastAsia="en-US"/>
    </w:rPr>
  </w:style>
  <w:style w:type="paragraph" w:styleId="Inhopg3">
    <w:name w:val="toc 3"/>
    <w:basedOn w:val="Standaard"/>
    <w:next w:val="Standaard"/>
    <w:autoRedefine/>
    <w:uiPriority w:val="39"/>
    <w:unhideWhenUsed/>
    <w:rsid w:val="004D710F"/>
    <w:pPr>
      <w:spacing w:after="100"/>
      <w:ind w:left="480"/>
    </w:pPr>
  </w:style>
  <w:style w:type="character" w:customStyle="1" w:styleId="Kop2Char">
    <w:name w:val="Kop 2 Char"/>
    <w:basedOn w:val="Standaardalinea-lettertype"/>
    <w:link w:val="Kop2"/>
    <w:uiPriority w:val="9"/>
    <w:rsid w:val="004D710F"/>
    <w:rPr>
      <w:sz w:val="24"/>
      <w:szCs w:val="24"/>
      <w:lang w:eastAsia="nl-NL"/>
    </w:rPr>
  </w:style>
  <w:style w:type="paragraph" w:styleId="Inhopg1">
    <w:name w:val="toc 1"/>
    <w:basedOn w:val="Standaard"/>
    <w:next w:val="Standaard"/>
    <w:autoRedefine/>
    <w:uiPriority w:val="39"/>
    <w:unhideWhenUsed/>
    <w:rsid w:val="004D710F"/>
    <w:pPr>
      <w:spacing w:after="100"/>
    </w:pPr>
  </w:style>
  <w:style w:type="paragraph" w:styleId="Inhopg2">
    <w:name w:val="toc 2"/>
    <w:basedOn w:val="Standaard"/>
    <w:next w:val="Standaard"/>
    <w:autoRedefine/>
    <w:uiPriority w:val="39"/>
    <w:unhideWhenUsed/>
    <w:rsid w:val="004D710F"/>
    <w:pPr>
      <w:spacing w:after="100"/>
      <w:ind w:left="2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nate.be/www/Webdriver?MIval=/showSenator&amp;ID=4452&amp;LANG=nl" TargetMode="External"/><Relationship Id="rId18" Type="http://schemas.openxmlformats.org/officeDocument/2006/relationships/hyperlink" Target="http://www.senaat.be/www/Webdriver?MIval=/showSenator&amp;ID=4294&amp;LANG=nl" TargetMode="External"/><Relationship Id="rId26" Type="http://schemas.openxmlformats.org/officeDocument/2006/relationships/hyperlink" Target="http://www.dekamer.be/kvvcr/showpage.cfm?section=/depute&amp;language=nl&amp;cfm=cvview.cfm?key=01067&amp;lactivity=53" TargetMode="External"/><Relationship Id="rId3" Type="http://schemas.openxmlformats.org/officeDocument/2006/relationships/styles" Target="styles.xml"/><Relationship Id="rId21" Type="http://schemas.openxmlformats.org/officeDocument/2006/relationships/hyperlink" Target="http://www.senate.be/www/Webdriver?MIval=/showSenator&amp;ID=4452&amp;LANG=nl" TargetMode="External"/><Relationship Id="rId7" Type="http://schemas.openxmlformats.org/officeDocument/2006/relationships/endnotes" Target="endnotes.xml"/><Relationship Id="rId12" Type="http://schemas.openxmlformats.org/officeDocument/2006/relationships/hyperlink" Target="http://www.senate.be/www/Webdriver?MIval=/showSenator&amp;ID=4402&amp;LANG=nl" TargetMode="External"/><Relationship Id="rId17" Type="http://schemas.openxmlformats.org/officeDocument/2006/relationships/hyperlink" Target="http://www.dekamer.be/kvvcr/showpage.cfm?section=/depute&amp;language=nl&amp;cfm=cvview.cfm?key=01067&amp;lactivity=53" TargetMode="External"/><Relationship Id="rId25" Type="http://schemas.openxmlformats.org/officeDocument/2006/relationships/hyperlink" Target="http://www.senaat.be/www/Webdriver?MIval=/showSenator&amp;ID=4294&amp;LANG=nl" TargetMode="External"/><Relationship Id="rId2" Type="http://schemas.openxmlformats.org/officeDocument/2006/relationships/numbering" Target="numbering.xml"/><Relationship Id="rId16" Type="http://schemas.openxmlformats.org/officeDocument/2006/relationships/hyperlink" Target="http://www.senate.be/www/Webdriver?MIval=/showSenator&amp;ID=4151&amp;LANG=nl" TargetMode="External"/><Relationship Id="rId20" Type="http://schemas.openxmlformats.org/officeDocument/2006/relationships/hyperlink" Target="http://www.senate.be/www/Webdriver?MIval=/showSenator&amp;ID=4402&amp;LANG=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te.be/www/Webdriver?MIval=/showSenator&amp;ID=3983&amp;LANG=nl" TargetMode="External"/><Relationship Id="rId24" Type="http://schemas.openxmlformats.org/officeDocument/2006/relationships/hyperlink" Target="http://www.senate.be/www/Webdriver?MIval=/showSenator&amp;ID=4151&amp;LANG=nl" TargetMode="External"/><Relationship Id="rId5" Type="http://schemas.openxmlformats.org/officeDocument/2006/relationships/webSettings" Target="webSettings.xml"/><Relationship Id="rId15" Type="http://schemas.openxmlformats.org/officeDocument/2006/relationships/hyperlink" Target="http://www.senate.be/www/Webdriver?MIval=/showSenator&amp;ID=4120&amp;LANG=nl" TargetMode="External"/><Relationship Id="rId23" Type="http://schemas.openxmlformats.org/officeDocument/2006/relationships/hyperlink" Target="http://www.senate.be/www/Webdriver?MIval=/showSenator&amp;ID=4120&amp;LANG=nl"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www.senate.be/www/Webdriver?MIval=/showSenator&amp;ID=3983&amp;LANG=n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enate.be/www/Webdriver?MIval=/showSenator&amp;ID=4212&amp;LANG=nl" TargetMode="External"/><Relationship Id="rId22" Type="http://schemas.openxmlformats.org/officeDocument/2006/relationships/hyperlink" Target="http://www.senate.be/www/Webdriver?MIval=/showSenator&amp;ID=4212&amp;LANG=nl" TargetMode="Externa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dekamer.be/kvvcr/showpage.cfm?section=/depute&amp;language=nl&amp;cfm=cvview.cfm?key=01067&amp;lactivity=53" TargetMode="External"/><Relationship Id="rId3" Type="http://schemas.openxmlformats.org/officeDocument/2006/relationships/hyperlink" Target="http://www.senate.be/www/Webdriver?MIval=/showSenator&amp;ID=4402&amp;LANG=nl" TargetMode="External"/><Relationship Id="rId7" Type="http://schemas.openxmlformats.org/officeDocument/2006/relationships/hyperlink" Target="http://www.senate.be/www/Webdriver?MIval=/showSenator&amp;ID=4151&amp;LANG=nl" TargetMode="External"/><Relationship Id="rId2" Type="http://schemas.openxmlformats.org/officeDocument/2006/relationships/hyperlink" Target="http://www.senate.be/www/Webdriver?MIval=/showSenator&amp;ID=3983&amp;LANG=nl" TargetMode="External"/><Relationship Id="rId1" Type="http://schemas.openxmlformats.org/officeDocument/2006/relationships/hyperlink" Target="http://www.kinderrechten.be/IUSR/adviezen//Adviezen_pdf/2001_2002/2001-2002_8_Euthanasie_en_minderjarigen_pdf.pdf" TargetMode="External"/><Relationship Id="rId6" Type="http://schemas.openxmlformats.org/officeDocument/2006/relationships/hyperlink" Target="http://www.senate.be/www/Webdriver?MIval=/showSenator&amp;ID=4120&amp;LANG=nl" TargetMode="External"/><Relationship Id="rId5" Type="http://schemas.openxmlformats.org/officeDocument/2006/relationships/hyperlink" Target="http://www.senate.be/www/Webdriver?MIval=/showSenator&amp;ID=4212&amp;LANG=nl" TargetMode="External"/><Relationship Id="rId4" Type="http://schemas.openxmlformats.org/officeDocument/2006/relationships/hyperlink" Target="http://www.senate.be/www/Webdriver?MIval=/showSenator&amp;ID=4452&amp;LANG=nl" TargetMode="External"/><Relationship Id="rId9" Type="http://schemas.openxmlformats.org/officeDocument/2006/relationships/hyperlink" Target="http://www.senaat.be/www/Webdriver?MIval=/showSenator&amp;ID=4294&amp;LANG=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ED0D9-3EAE-4288-AAC3-891306C0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6787</Words>
  <Characters>38351</Characters>
  <Application>Microsoft Office Word</Application>
  <DocSecurity>0</DocSecurity>
  <Lines>581</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kesley</dc:creator>
  <cp:lastModifiedBy>kesley</cp:lastModifiedBy>
  <cp:revision>2</cp:revision>
  <cp:lastPrinted>2011-04-18T19:53:00Z</cp:lastPrinted>
  <dcterms:created xsi:type="dcterms:W3CDTF">2011-09-07T09:50:00Z</dcterms:created>
  <dcterms:modified xsi:type="dcterms:W3CDTF">2011-09-07T09:50:00Z</dcterms:modified>
</cp:coreProperties>
</file>