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70" w:rsidRPr="00124524" w:rsidRDefault="00124524">
      <w:pPr>
        <w:rPr>
          <w:rFonts w:ascii="Times New Roman" w:hAnsi="Times New Roman" w:cs="Times New Roman"/>
          <w:b/>
          <w:sz w:val="32"/>
          <w:u w:val="single"/>
        </w:rPr>
      </w:pPr>
      <w:r w:rsidRPr="00124524">
        <w:rPr>
          <w:rFonts w:ascii="Times New Roman" w:hAnsi="Times New Roman" w:cs="Times New Roman"/>
          <w:b/>
          <w:sz w:val="32"/>
          <w:u w:val="single"/>
        </w:rPr>
        <w:t>Vrouwendiscriminatie in de bedrijfswereld, taboe of realiteit?</w:t>
      </w:r>
    </w:p>
    <w:p w:rsidR="00830FF8" w:rsidRDefault="00124524" w:rsidP="00FA7182">
      <w:pPr>
        <w:spacing w:line="360" w:lineRule="auto"/>
        <w:jc w:val="both"/>
        <w:rPr>
          <w:rFonts w:ascii="Times New Roman" w:hAnsi="Times New Roman" w:cs="Times New Roman"/>
          <w:sz w:val="24"/>
          <w:szCs w:val="24"/>
        </w:rPr>
      </w:pPr>
      <w:r w:rsidRPr="00124524">
        <w:rPr>
          <w:rFonts w:ascii="Times New Roman" w:hAnsi="Times New Roman" w:cs="Times New Roman"/>
          <w:sz w:val="24"/>
          <w:szCs w:val="24"/>
          <w:lang w:val="en-GB"/>
        </w:rPr>
        <w:t>Margaret Thatcher, Angela Merkel, Hillary Clinton</w:t>
      </w:r>
      <w:r>
        <w:rPr>
          <w:rFonts w:ascii="Times New Roman" w:hAnsi="Times New Roman" w:cs="Times New Roman"/>
          <w:sz w:val="24"/>
          <w:szCs w:val="24"/>
          <w:lang w:val="en-GB"/>
        </w:rPr>
        <w:t xml:space="preserve">, </w:t>
      </w:r>
      <w:r w:rsidR="00565603">
        <w:rPr>
          <w:rFonts w:ascii="Times New Roman" w:hAnsi="Times New Roman" w:cs="Times New Roman"/>
          <w:sz w:val="24"/>
          <w:szCs w:val="24"/>
          <w:lang w:val="en-GB"/>
        </w:rPr>
        <w:t xml:space="preserve">Melinda Gates, … </w:t>
      </w:r>
      <w:r w:rsidR="00565603" w:rsidRPr="00565603">
        <w:rPr>
          <w:rFonts w:ascii="Times New Roman" w:hAnsi="Times New Roman" w:cs="Times New Roman"/>
          <w:sz w:val="24"/>
          <w:szCs w:val="24"/>
        </w:rPr>
        <w:t>Doorheen de geschiedenis kunnen tal van</w:t>
      </w:r>
      <w:r w:rsidR="00FA7182">
        <w:rPr>
          <w:rFonts w:ascii="Times New Roman" w:hAnsi="Times New Roman" w:cs="Times New Roman"/>
          <w:sz w:val="24"/>
          <w:szCs w:val="24"/>
        </w:rPr>
        <w:t xml:space="preserve"> machtige</w:t>
      </w:r>
      <w:r w:rsidR="00565603" w:rsidRPr="00565603">
        <w:rPr>
          <w:rFonts w:ascii="Times New Roman" w:hAnsi="Times New Roman" w:cs="Times New Roman"/>
          <w:sz w:val="24"/>
          <w:szCs w:val="24"/>
        </w:rPr>
        <w:t xml:space="preserve"> </w:t>
      </w:r>
      <w:r w:rsidR="00565603">
        <w:rPr>
          <w:rFonts w:ascii="Times New Roman" w:hAnsi="Times New Roman" w:cs="Times New Roman"/>
          <w:sz w:val="24"/>
          <w:szCs w:val="24"/>
        </w:rPr>
        <w:t>vrouwen opgenoemd worden waar zowel de leide</w:t>
      </w:r>
      <w:r w:rsidR="00FA7182">
        <w:rPr>
          <w:rFonts w:ascii="Times New Roman" w:hAnsi="Times New Roman" w:cs="Times New Roman"/>
          <w:sz w:val="24"/>
          <w:szCs w:val="24"/>
        </w:rPr>
        <w:t xml:space="preserve">rscapaciteiten als het sterke charisma terug te vinden zijn. Het is bijgevolg onbetwistbaar dat het klassieke beeld waar enkel de man kiest voor de carrièreladder door de jaren heen is getransformeerd naar een beeld waar beide geslachten kostwinnaars zijn. Maar hoewel gelijkheid tussen man en vrouw in de huidige maatschappij wordt uitgestraald, </w:t>
      </w:r>
      <w:r w:rsidR="00830FF8">
        <w:rPr>
          <w:rFonts w:ascii="Times New Roman" w:hAnsi="Times New Roman" w:cs="Times New Roman"/>
          <w:sz w:val="24"/>
          <w:szCs w:val="24"/>
        </w:rPr>
        <w:t>zijn er nog steeds cijfers in de bedrijfswereld die duidelijk bevestigen dat er nog een bepaalde kloof aanwezig is. Blijkt vrouwendiscriminatie aanwezig? En indien ja, kan deze discriminatie gerechtvaardigd worden?</w:t>
      </w:r>
      <w:r w:rsidR="00513817">
        <w:rPr>
          <w:rFonts w:ascii="Times New Roman" w:hAnsi="Times New Roman" w:cs="Times New Roman"/>
          <w:sz w:val="24"/>
          <w:szCs w:val="24"/>
        </w:rPr>
        <w:t xml:space="preserve"> Met andere woorden, zijn vrouwen in staat dezelfde prestaties te leveren als mannen?</w:t>
      </w:r>
    </w:p>
    <w:p w:rsidR="00901C72" w:rsidRDefault="00D80A48" w:rsidP="00FA71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lezer wordt aangeraden zich zeker geen illusie voor te stellen waar man en vrouw </w:t>
      </w:r>
      <w:r w:rsidR="00901C72">
        <w:rPr>
          <w:rFonts w:ascii="Times New Roman" w:hAnsi="Times New Roman" w:cs="Times New Roman"/>
          <w:sz w:val="24"/>
          <w:szCs w:val="24"/>
        </w:rPr>
        <w:t xml:space="preserve">hedendaags </w:t>
      </w:r>
      <w:r>
        <w:rPr>
          <w:rFonts w:ascii="Times New Roman" w:hAnsi="Times New Roman" w:cs="Times New Roman"/>
          <w:sz w:val="24"/>
          <w:szCs w:val="24"/>
        </w:rPr>
        <w:t xml:space="preserve">met gelijke hand regeren. De ouderwetse </w:t>
      </w:r>
      <w:r w:rsidR="00901C72">
        <w:rPr>
          <w:rFonts w:ascii="Times New Roman" w:hAnsi="Times New Roman" w:cs="Times New Roman"/>
          <w:sz w:val="24"/>
          <w:szCs w:val="24"/>
        </w:rPr>
        <w:t xml:space="preserve">scheiding tussen ‘mannenwerk’ en ‘vrouwenwerk’ is nog steeds terug te vinden in de bedrijfswereld. Een verschijnsel van toepassing hierbij wordt het </w:t>
      </w:r>
      <w:r w:rsidR="00901C72">
        <w:rPr>
          <w:rFonts w:ascii="Times New Roman" w:hAnsi="Times New Roman" w:cs="Times New Roman"/>
          <w:i/>
          <w:sz w:val="24"/>
          <w:szCs w:val="24"/>
        </w:rPr>
        <w:t>glazen plafond</w:t>
      </w:r>
      <w:r w:rsidR="00901C72">
        <w:rPr>
          <w:rFonts w:ascii="Times New Roman" w:hAnsi="Times New Roman" w:cs="Times New Roman"/>
          <w:sz w:val="24"/>
          <w:szCs w:val="24"/>
        </w:rPr>
        <w:t xml:space="preserve"> genoemd. Het glazen plafond vormt als het ware een barrière en verhindert daarmee voor vrouwen het uitoefenen van bepaalde topfuncties in bedrijven. </w:t>
      </w:r>
      <w:r w:rsidR="00830FF8">
        <w:rPr>
          <w:rFonts w:ascii="Times New Roman" w:hAnsi="Times New Roman" w:cs="Times New Roman"/>
          <w:sz w:val="24"/>
          <w:szCs w:val="24"/>
        </w:rPr>
        <w:t xml:space="preserve">Laat het </w:t>
      </w:r>
      <w:r w:rsidR="00901C72">
        <w:rPr>
          <w:rFonts w:ascii="Times New Roman" w:hAnsi="Times New Roman" w:cs="Times New Roman"/>
          <w:sz w:val="24"/>
          <w:szCs w:val="24"/>
        </w:rPr>
        <w:t xml:space="preserve">met andere woorden </w:t>
      </w:r>
      <w:r w:rsidR="00830FF8">
        <w:rPr>
          <w:rFonts w:ascii="Times New Roman" w:hAnsi="Times New Roman" w:cs="Times New Roman"/>
          <w:sz w:val="24"/>
          <w:szCs w:val="24"/>
        </w:rPr>
        <w:t>duidelijk zijn dat mannen nog steeds de meerderheid vo</w:t>
      </w:r>
      <w:r>
        <w:rPr>
          <w:rFonts w:ascii="Times New Roman" w:hAnsi="Times New Roman" w:cs="Times New Roman"/>
          <w:sz w:val="24"/>
          <w:szCs w:val="24"/>
        </w:rPr>
        <w:t xml:space="preserve">rmen aan de top van bedrijven. </w:t>
      </w:r>
      <w:r w:rsidR="000262E8">
        <w:rPr>
          <w:rFonts w:ascii="Times New Roman" w:hAnsi="Times New Roman" w:cs="Times New Roman"/>
          <w:sz w:val="24"/>
          <w:szCs w:val="24"/>
        </w:rPr>
        <w:t xml:space="preserve">Onderstaande figuur toont cijfers van het jaar 2012 voor de verschillende landen. </w:t>
      </w:r>
      <w:r w:rsidR="00157177">
        <w:rPr>
          <w:rFonts w:ascii="Times New Roman" w:hAnsi="Times New Roman" w:cs="Times New Roman"/>
          <w:sz w:val="24"/>
          <w:szCs w:val="24"/>
        </w:rPr>
        <w:t xml:space="preserve">Geringe progressies </w:t>
      </w:r>
      <w:r w:rsidR="000262E8">
        <w:rPr>
          <w:rFonts w:ascii="Times New Roman" w:hAnsi="Times New Roman" w:cs="Times New Roman"/>
          <w:sz w:val="24"/>
          <w:szCs w:val="24"/>
        </w:rPr>
        <w:t>gedurende de periode na het jaar 2012 zorgen jammer</w:t>
      </w:r>
      <w:r w:rsidR="00157177">
        <w:rPr>
          <w:rFonts w:ascii="Times New Roman" w:hAnsi="Times New Roman" w:cs="Times New Roman"/>
          <w:sz w:val="24"/>
          <w:szCs w:val="24"/>
        </w:rPr>
        <w:t xml:space="preserve"> genoeg voor te kleine wijzigingen met betrekking tot de percentages in besli</w:t>
      </w:r>
      <w:r w:rsidR="000262E8">
        <w:rPr>
          <w:rFonts w:ascii="Times New Roman" w:hAnsi="Times New Roman" w:cs="Times New Roman"/>
          <w:sz w:val="24"/>
          <w:szCs w:val="24"/>
        </w:rPr>
        <w:t xml:space="preserve">ssingsstructuren van bedrijven, inclusief </w:t>
      </w:r>
      <w:r w:rsidR="00901C72">
        <w:rPr>
          <w:rFonts w:ascii="Times New Roman" w:hAnsi="Times New Roman" w:cs="Times New Roman"/>
          <w:sz w:val="24"/>
          <w:szCs w:val="24"/>
        </w:rPr>
        <w:t>België en buurlanden</w:t>
      </w:r>
      <w:r>
        <w:rPr>
          <w:rFonts w:ascii="Times New Roman" w:hAnsi="Times New Roman" w:cs="Times New Roman"/>
          <w:sz w:val="24"/>
          <w:szCs w:val="24"/>
        </w:rPr>
        <w:t xml:space="preserve">. </w:t>
      </w:r>
    </w:p>
    <w:p w:rsidR="00157177" w:rsidRPr="00157177" w:rsidRDefault="00157177" w:rsidP="00157177">
      <w:pPr>
        <w:keepNext/>
        <w:spacing w:line="360" w:lineRule="auto"/>
        <w:jc w:val="both"/>
        <w:rPr>
          <w:rFonts w:ascii="Times New Roman" w:hAnsi="Times New Roman" w:cs="Times New Roman"/>
          <w:sz w:val="20"/>
          <w:szCs w:val="20"/>
        </w:rPr>
      </w:pPr>
      <w:r>
        <w:rPr>
          <w:noProof/>
          <w:lang w:eastAsia="nl-BE"/>
        </w:rPr>
        <w:lastRenderedPageBreak/>
        <mc:AlternateContent>
          <mc:Choice Requires="wps">
            <w:drawing>
              <wp:anchor distT="0" distB="0" distL="114300" distR="114300" simplePos="0" relativeHeight="251660288" behindDoc="0" locked="0" layoutInCell="1" allowOverlap="1" wp14:anchorId="41530BF2" wp14:editId="29FE2526">
                <wp:simplePos x="0" y="0"/>
                <wp:positionH relativeFrom="column">
                  <wp:posOffset>567055</wp:posOffset>
                </wp:positionH>
                <wp:positionV relativeFrom="paragraph">
                  <wp:posOffset>595630</wp:posOffset>
                </wp:positionV>
                <wp:extent cx="1714500" cy="2190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1714500"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 o:spid="_x0000_s1026" style="position:absolute;margin-left:44.65pt;margin-top:46.9pt;width:13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" fillcolor="window" strokecolor="window" strokeweight="2pt"/>
            </w:pict>
          </mc:Fallback>
        </mc:AlternateContent>
      </w:r>
      <w:r>
        <w:rPr>
          <w:noProof/>
          <w:lang w:eastAsia="nl-BE"/>
        </w:rPr>
        <w:drawing>
          <wp:inline distT="0" distB="0" distL="0" distR="0" wp14:anchorId="15E3DB4E" wp14:editId="6160F129">
            <wp:extent cx="5648325" cy="4543425"/>
            <wp:effectExtent l="19050" t="19050" r="28575" b="28575"/>
            <wp:docPr id="2" name="Afbeelding 2" descr="http://europa.eu/rapid/exploit/2012/11/IP/NL/i12_1205.nli/Pictures/1000000000000251000001DD640E5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rapid/exploit/2012/11/IP/NL/i12_1205.nli/Pictures/1000000000000251000001DD640E5E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4543425"/>
                    </a:xfrm>
                    <a:prstGeom prst="rect">
                      <a:avLst/>
                    </a:prstGeom>
                    <a:noFill/>
                    <a:ln>
                      <a:solidFill>
                        <a:schemeClr val="tx1"/>
                      </a:solidFill>
                    </a:ln>
                  </pic:spPr>
                </pic:pic>
              </a:graphicData>
            </a:graphic>
          </wp:inline>
        </w:drawing>
      </w:r>
      <w:r w:rsidRPr="00157177">
        <w:rPr>
          <w:rFonts w:ascii="Times New Roman" w:hAnsi="Times New Roman" w:cs="Times New Roman"/>
          <w:i/>
          <w:sz w:val="20"/>
          <w:szCs w:val="20"/>
        </w:rPr>
        <w:t xml:space="preserve">Figuur </w:t>
      </w:r>
      <w:r w:rsidRPr="00157177">
        <w:rPr>
          <w:rFonts w:ascii="Times New Roman" w:hAnsi="Times New Roman" w:cs="Times New Roman"/>
          <w:i/>
          <w:sz w:val="20"/>
          <w:szCs w:val="20"/>
        </w:rPr>
        <w:fldChar w:fldCharType="begin"/>
      </w:r>
      <w:r w:rsidRPr="00157177">
        <w:rPr>
          <w:rFonts w:ascii="Times New Roman" w:hAnsi="Times New Roman" w:cs="Times New Roman"/>
          <w:i/>
          <w:sz w:val="20"/>
          <w:szCs w:val="20"/>
        </w:rPr>
        <w:instrText xml:space="preserve"> SEQ Figuur \* ARABIC </w:instrText>
      </w:r>
      <w:r w:rsidRPr="00157177">
        <w:rPr>
          <w:rFonts w:ascii="Times New Roman" w:hAnsi="Times New Roman" w:cs="Times New Roman"/>
          <w:i/>
          <w:sz w:val="20"/>
          <w:szCs w:val="20"/>
        </w:rPr>
        <w:fldChar w:fldCharType="separate"/>
      </w:r>
      <w:r w:rsidRPr="00157177">
        <w:rPr>
          <w:rFonts w:ascii="Times New Roman" w:hAnsi="Times New Roman" w:cs="Times New Roman"/>
          <w:i/>
          <w:noProof/>
          <w:sz w:val="20"/>
          <w:szCs w:val="20"/>
        </w:rPr>
        <w:t>1</w:t>
      </w:r>
      <w:r w:rsidRPr="00157177">
        <w:rPr>
          <w:rFonts w:ascii="Times New Roman" w:hAnsi="Times New Roman" w:cs="Times New Roman"/>
          <w:i/>
          <w:sz w:val="20"/>
          <w:szCs w:val="20"/>
        </w:rPr>
        <w:fldChar w:fldCharType="end"/>
      </w:r>
      <w:r w:rsidRPr="00157177">
        <w:rPr>
          <w:rFonts w:ascii="Times New Roman" w:hAnsi="Times New Roman" w:cs="Times New Roman"/>
          <w:i/>
          <w:sz w:val="20"/>
          <w:szCs w:val="20"/>
        </w:rPr>
        <w:t>.</w:t>
      </w:r>
      <w:r w:rsidRPr="00157177">
        <w:rPr>
          <w:rFonts w:ascii="Times New Roman" w:hAnsi="Times New Roman" w:cs="Times New Roman"/>
          <w:sz w:val="20"/>
          <w:szCs w:val="20"/>
        </w:rPr>
        <w:t xml:space="preserve"> Vrouwen en mannen in de raden van bestuur van de grootste beursgenoteerde on</w:t>
      </w:r>
      <w:r>
        <w:rPr>
          <w:rFonts w:ascii="Times New Roman" w:hAnsi="Times New Roman" w:cs="Times New Roman"/>
          <w:sz w:val="20"/>
          <w:szCs w:val="20"/>
        </w:rPr>
        <w:t>dernemingen, januari</w:t>
      </w:r>
      <w:r>
        <w:rPr>
          <w:rFonts w:ascii="Times New Roman" w:hAnsi="Times New Roman" w:cs="Times New Roman"/>
          <w:sz w:val="20"/>
          <w:szCs w:val="20"/>
        </w:rPr>
        <w:br/>
        <w:t xml:space="preserve">                   </w:t>
      </w:r>
      <w:r w:rsidRPr="00157177">
        <w:rPr>
          <w:rFonts w:ascii="Times New Roman" w:hAnsi="Times New Roman" w:cs="Times New Roman"/>
          <w:sz w:val="20"/>
          <w:szCs w:val="20"/>
        </w:rPr>
        <w:t>2012.</w:t>
      </w:r>
      <w:r>
        <w:rPr>
          <w:rFonts w:ascii="Times New Roman" w:hAnsi="Times New Roman" w:cs="Times New Roman"/>
          <w:sz w:val="20"/>
          <w:szCs w:val="20"/>
        </w:rPr>
        <w:br/>
      </w:r>
    </w:p>
    <w:p w:rsidR="000262E8" w:rsidRDefault="00901C72" w:rsidP="00FA7182">
      <w:pPr>
        <w:spacing w:line="360" w:lineRule="auto"/>
        <w:jc w:val="both"/>
        <w:rPr>
          <w:rFonts w:ascii="Times New Roman" w:hAnsi="Times New Roman" w:cs="Times New Roman"/>
          <w:sz w:val="24"/>
          <w:szCs w:val="24"/>
        </w:rPr>
      </w:pPr>
      <w:r>
        <w:rPr>
          <w:rFonts w:ascii="Times New Roman" w:hAnsi="Times New Roman" w:cs="Times New Roman"/>
          <w:sz w:val="24"/>
          <w:szCs w:val="24"/>
        </w:rPr>
        <w:t>Anderzijds moet worden gezegd dat het nastreven van gelijkheid tussen mannen en vrouwen een recent fenomeen is. Het invoeren van een al dan niet bindende wetgeving met als doel een aantal vrouwen te benoemen in beleidsorganen, is dan ook vanuit een Europese context nog niet tot stand gebracht. Met een bindende wetgeving wordt bedoeld dat bepaalde bedrijven</w:t>
      </w:r>
      <w:r w:rsidR="00384537">
        <w:rPr>
          <w:rFonts w:ascii="Times New Roman" w:hAnsi="Times New Roman" w:cs="Times New Roman"/>
          <w:sz w:val="24"/>
          <w:szCs w:val="24"/>
        </w:rPr>
        <w:t xml:space="preserve"> verplicht worden te voldoen aan een bepaald vrouwenquotum. Weliswaar moet worden opgemerkt dat afzonderlijke lidstaten van Europa er wel degelijk in geslaagd zijn een bepaalde verplichting tot stand te brengen. Zowel België als de buurlanden (met uitzondering van Luxemburg) maken eveneens deel uit van deze groep lidstaten. Het is belangrijk hierbij te vermelden dat het tot stand brengen van een nieuw wettelijk kader verschilt qua tijdstip van land tot land. </w:t>
      </w:r>
      <w:r w:rsidR="007D126B">
        <w:rPr>
          <w:rFonts w:ascii="Times New Roman" w:hAnsi="Times New Roman" w:cs="Times New Roman"/>
          <w:sz w:val="24"/>
          <w:szCs w:val="24"/>
        </w:rPr>
        <w:t xml:space="preserve">Waar de geselecteerde Belgische bedrijven dienden te voldoen aan een bepaald </w:t>
      </w:r>
      <w:r w:rsidR="00675346">
        <w:rPr>
          <w:rFonts w:ascii="Times New Roman" w:hAnsi="Times New Roman" w:cs="Times New Roman"/>
          <w:sz w:val="24"/>
          <w:szCs w:val="24"/>
        </w:rPr>
        <w:t xml:space="preserve">vrouwenaantal </w:t>
      </w:r>
      <w:r w:rsidR="007D126B">
        <w:rPr>
          <w:rFonts w:ascii="Times New Roman" w:hAnsi="Times New Roman" w:cs="Times New Roman"/>
          <w:sz w:val="24"/>
          <w:szCs w:val="24"/>
        </w:rPr>
        <w:t xml:space="preserve">vanaf de aanvang van het jaar 2012, was het jaartal voor de geselecteerde Duitse en Nederlandse bedrijven 2016. Voor de Franse geselecteerde bedrijven werd de </w:t>
      </w:r>
      <w:r w:rsidR="007D126B">
        <w:rPr>
          <w:rFonts w:ascii="Times New Roman" w:hAnsi="Times New Roman" w:cs="Times New Roman"/>
          <w:sz w:val="24"/>
          <w:szCs w:val="24"/>
        </w:rPr>
        <w:lastRenderedPageBreak/>
        <w:t xml:space="preserve">aanvang van het jaar 2014 vooropgesteld. De vooropgestelde jaartallen met de daarbij </w:t>
      </w:r>
      <w:r w:rsidR="000262E8">
        <w:rPr>
          <w:noProof/>
        </w:rPr>
        <mc:AlternateContent>
          <mc:Choice Requires="wps">
            <w:drawing>
              <wp:anchor distT="0" distB="0" distL="114300" distR="114300" simplePos="0" relativeHeight="251663360" behindDoc="0" locked="0" layoutInCell="1" allowOverlap="1" wp14:anchorId="7C7F54B4" wp14:editId="3BE172E1">
                <wp:simplePos x="0" y="0"/>
                <wp:positionH relativeFrom="column">
                  <wp:posOffset>-490220</wp:posOffset>
                </wp:positionH>
                <wp:positionV relativeFrom="paragraph">
                  <wp:posOffset>881380</wp:posOffset>
                </wp:positionV>
                <wp:extent cx="6858635" cy="228600"/>
                <wp:effectExtent l="0" t="0" r="0" b="0"/>
                <wp:wrapTight wrapText="bothSides">
                  <wp:wrapPolygon edited="0">
                    <wp:start x="0" y="0"/>
                    <wp:lineTo x="0" y="19800"/>
                    <wp:lineTo x="21538" y="19800"/>
                    <wp:lineTo x="21538"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6858635" cy="228600"/>
                        </a:xfrm>
                        <a:prstGeom prst="rect">
                          <a:avLst/>
                        </a:prstGeom>
                        <a:solidFill>
                          <a:prstClr val="white"/>
                        </a:solidFill>
                        <a:ln>
                          <a:noFill/>
                        </a:ln>
                        <a:effectLst/>
                      </wps:spPr>
                      <wps:txbx>
                        <w:txbxContent>
                          <w:p w:rsidR="000262E8" w:rsidRPr="000262E8" w:rsidRDefault="000262E8" w:rsidP="000262E8">
                            <w:pPr>
                              <w:pStyle w:val="Bijschrift"/>
                              <w:rPr>
                                <w:rFonts w:ascii="Times New Roman" w:hAnsi="Times New Roman" w:cs="Times New Roman"/>
                                <w:b w:val="0"/>
                                <w:i/>
                                <w:noProof/>
                                <w:color w:val="auto"/>
                                <w:sz w:val="20"/>
                                <w:szCs w:val="20"/>
                              </w:rPr>
                            </w:pPr>
                            <w:r w:rsidRPr="000262E8">
                              <w:rPr>
                                <w:rFonts w:ascii="Times New Roman" w:hAnsi="Times New Roman" w:cs="Times New Roman"/>
                                <w:color w:val="auto"/>
                                <w:sz w:val="20"/>
                                <w:szCs w:val="20"/>
                              </w:rPr>
                              <w:t xml:space="preserve">Tabel </w:t>
                            </w:r>
                            <w:r w:rsidRPr="000262E8">
                              <w:rPr>
                                <w:rFonts w:ascii="Times New Roman" w:hAnsi="Times New Roman" w:cs="Times New Roman"/>
                                <w:color w:val="auto"/>
                                <w:sz w:val="20"/>
                                <w:szCs w:val="20"/>
                              </w:rPr>
                              <w:fldChar w:fldCharType="begin"/>
                            </w:r>
                            <w:r w:rsidRPr="000262E8">
                              <w:rPr>
                                <w:rFonts w:ascii="Times New Roman" w:hAnsi="Times New Roman" w:cs="Times New Roman"/>
                                <w:color w:val="auto"/>
                                <w:sz w:val="20"/>
                                <w:szCs w:val="20"/>
                              </w:rPr>
                              <w:instrText xml:space="preserve"> SEQ Tabel \* ARABIC </w:instrText>
                            </w:r>
                            <w:r w:rsidRPr="000262E8">
                              <w:rPr>
                                <w:rFonts w:ascii="Times New Roman" w:hAnsi="Times New Roman" w:cs="Times New Roman"/>
                                <w:color w:val="auto"/>
                                <w:sz w:val="20"/>
                                <w:szCs w:val="20"/>
                              </w:rPr>
                              <w:fldChar w:fldCharType="separate"/>
                            </w:r>
                            <w:r w:rsidRPr="000262E8">
                              <w:rPr>
                                <w:rFonts w:ascii="Times New Roman" w:hAnsi="Times New Roman" w:cs="Times New Roman"/>
                                <w:noProof/>
                                <w:color w:val="auto"/>
                                <w:sz w:val="20"/>
                                <w:szCs w:val="20"/>
                              </w:rPr>
                              <w:t>1</w:t>
                            </w:r>
                            <w:r w:rsidRPr="000262E8">
                              <w:rPr>
                                <w:rFonts w:ascii="Times New Roman" w:hAnsi="Times New Roman" w:cs="Times New Roman"/>
                                <w:color w:val="auto"/>
                                <w:sz w:val="20"/>
                                <w:szCs w:val="20"/>
                              </w:rPr>
                              <w:fldChar w:fldCharType="end"/>
                            </w:r>
                            <w:r w:rsidRPr="000262E8">
                              <w:rPr>
                                <w:rFonts w:ascii="Times New Roman" w:hAnsi="Times New Roman" w:cs="Times New Roman"/>
                                <w:color w:val="auto"/>
                                <w:sz w:val="20"/>
                                <w:szCs w:val="20"/>
                              </w:rPr>
                              <w:t>.</w:t>
                            </w:r>
                            <w:r w:rsidRPr="000262E8">
                              <w:rPr>
                                <w:rFonts w:ascii="Times New Roman" w:hAnsi="Times New Roman" w:cs="Times New Roman"/>
                                <w:sz w:val="20"/>
                                <w:szCs w:val="20"/>
                              </w:rPr>
                              <w:tab/>
                            </w:r>
                            <w:r w:rsidRPr="000262E8">
                              <w:rPr>
                                <w:rFonts w:ascii="Times New Roman" w:hAnsi="Times New Roman" w:cs="Times New Roman"/>
                                <w:sz w:val="20"/>
                                <w:szCs w:val="20"/>
                              </w:rPr>
                              <w:tab/>
                            </w:r>
                            <w:r>
                              <w:rPr>
                                <w:rFonts w:ascii="Times New Roman" w:hAnsi="Times New Roman" w:cs="Times New Roman"/>
                                <w:i/>
                                <w:color w:val="auto"/>
                                <w:sz w:val="20"/>
                                <w:szCs w:val="20"/>
                              </w:rPr>
                              <w:t>Verschillende kanteltijdstippen en de daarbij horende vrouwenquota voor België en buurlanden</w:t>
                            </w:r>
                          </w:p>
                          <w:tbl>
                            <w:tblPr>
                              <w:tblW w:w="20560" w:type="dxa"/>
                              <w:tblCellMar>
                                <w:left w:w="0" w:type="dxa"/>
                                <w:right w:w="0" w:type="dxa"/>
                              </w:tblCellMar>
                              <w:tblLook w:val="0420" w:firstRow="1" w:lastRow="0" w:firstColumn="0" w:lastColumn="0" w:noHBand="0" w:noVBand="1"/>
                            </w:tblPr>
                            <w:tblGrid>
                              <w:gridCol w:w="6853"/>
                              <w:gridCol w:w="6853"/>
                              <w:gridCol w:w="6854"/>
                            </w:tblGrid>
                            <w:tr w:rsidR="000262E8" w:rsidRPr="000262E8" w:rsidTr="000262E8">
                              <w:trPr>
                                <w:trHeight w:val="584"/>
                              </w:trPr>
                              <w:tc>
                                <w:tcPr>
                                  <w:tcW w:w="6860" w:type="dxa"/>
                                  <w:tcBorders>
                                    <w:top w:val="single" w:sz="8" w:space="0" w:color="000000"/>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Land</w:t>
                                  </w:r>
                                </w:p>
                              </w:tc>
                              <w:tc>
                                <w:tcPr>
                                  <w:tcW w:w="6860" w:type="dxa"/>
                                  <w:tcBorders>
                                    <w:top w:val="single" w:sz="8" w:space="0" w:color="000000"/>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Kanteltijdstip gebaseerd op ingevoerde wet</w:t>
                                  </w:r>
                                </w:p>
                              </w:tc>
                              <w:tc>
                                <w:tcPr>
                                  <w:tcW w:w="6860" w:type="dxa"/>
                                  <w:tcBorders>
                                    <w:top w:val="single" w:sz="8" w:space="0" w:color="000000"/>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Vooropgesteld vrouwenquotum</w:t>
                                  </w:r>
                                </w:p>
                              </w:tc>
                            </w:tr>
                            <w:tr w:rsidR="000262E8" w:rsidRPr="000262E8" w:rsidTr="000262E8">
                              <w:trPr>
                                <w:trHeight w:val="584"/>
                              </w:trPr>
                              <w:tc>
                                <w:tcPr>
                                  <w:tcW w:w="6860" w:type="dxa"/>
                                  <w:tcBorders>
                                    <w:top w:val="single" w:sz="8" w:space="0" w:color="1E64C8"/>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België</w:t>
                                  </w:r>
                                </w:p>
                              </w:tc>
                              <w:tc>
                                <w:tcPr>
                                  <w:tcW w:w="6860" w:type="dxa"/>
                                  <w:tcBorders>
                                    <w:top w:val="single" w:sz="8" w:space="0" w:color="1E64C8"/>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2012</w:t>
                                  </w:r>
                                </w:p>
                              </w:tc>
                              <w:tc>
                                <w:tcPr>
                                  <w:tcW w:w="6860" w:type="dxa"/>
                                  <w:tcBorders>
                                    <w:top w:val="single" w:sz="8" w:space="0" w:color="1E64C8"/>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Één derde</w:t>
                                  </w:r>
                                </w:p>
                              </w:tc>
                            </w:tr>
                            <w:tr w:rsidR="000262E8" w:rsidRPr="000262E8" w:rsidTr="000262E8">
                              <w:trPr>
                                <w:trHeight w:val="584"/>
                              </w:trPr>
                              <w:tc>
                                <w:tcPr>
                                  <w:tcW w:w="686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Duitsland</w:t>
                                  </w:r>
                                </w:p>
                              </w:tc>
                              <w:tc>
                                <w:tcPr>
                                  <w:tcW w:w="686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2016</w:t>
                                  </w:r>
                                </w:p>
                              </w:tc>
                              <w:tc>
                                <w:tcPr>
                                  <w:tcW w:w="686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30 %</w:t>
                                  </w:r>
                                </w:p>
                              </w:tc>
                            </w:tr>
                            <w:tr w:rsidR="000262E8" w:rsidRPr="000262E8" w:rsidTr="000262E8">
                              <w:trPr>
                                <w:trHeight w:val="584"/>
                              </w:trPr>
                              <w:tc>
                                <w:tcPr>
                                  <w:tcW w:w="6860" w:type="dxa"/>
                                  <w:tcBorders>
                                    <w:top w:val="nil"/>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Frankrijk</w:t>
                                  </w:r>
                                </w:p>
                              </w:tc>
                              <w:tc>
                                <w:tcPr>
                                  <w:tcW w:w="6860" w:type="dxa"/>
                                  <w:tcBorders>
                                    <w:top w:val="nil"/>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2014</w:t>
                                  </w:r>
                                </w:p>
                              </w:tc>
                              <w:tc>
                                <w:tcPr>
                                  <w:tcW w:w="6860" w:type="dxa"/>
                                  <w:tcBorders>
                                    <w:top w:val="nil"/>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40 %</w:t>
                                  </w:r>
                                </w:p>
                              </w:tc>
                            </w:tr>
                            <w:tr w:rsidR="000262E8" w:rsidRPr="000262E8" w:rsidTr="000262E8">
                              <w:trPr>
                                <w:trHeight w:val="584"/>
                              </w:trPr>
                              <w:tc>
                                <w:tcPr>
                                  <w:tcW w:w="6860" w:type="dxa"/>
                                  <w:tcBorders>
                                    <w:top w:val="nil"/>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Nederland</w:t>
                                  </w:r>
                                </w:p>
                              </w:tc>
                              <w:tc>
                                <w:tcPr>
                                  <w:tcW w:w="6860" w:type="dxa"/>
                                  <w:tcBorders>
                                    <w:top w:val="nil"/>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2016</w:t>
                                  </w:r>
                                </w:p>
                              </w:tc>
                              <w:tc>
                                <w:tcPr>
                                  <w:tcW w:w="6860" w:type="dxa"/>
                                  <w:tcBorders>
                                    <w:top w:val="nil"/>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30 %</w:t>
                                  </w:r>
                                </w:p>
                              </w:tc>
                            </w:tr>
                          </w:tbl>
                          <w:p w:rsidR="000262E8" w:rsidRPr="000262E8" w:rsidRDefault="000262E8" w:rsidP="000262E8">
                            <w:pPr>
                              <w:pStyle w:val="Bijschrift"/>
                              <w:rPr>
                                <w:rFonts w:ascii="Times New Roman" w:hAnsi="Times New Roman" w:cs="Times New Roman"/>
                                <w:i/>
                                <w:noProof/>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38.6pt;margin-top:69.4pt;width:540.0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" stroked="f">
                <v:textbox inset="0,0,0,0">
                  <w:txbxContent>
                    <w:p w:rsidR="000262E8" w:rsidRPr="000262E8" w:rsidRDefault="000262E8" w:rsidP="000262E8">
                      <w:pPr>
                        <w:pStyle w:val="Bijschrift"/>
                        <w:rPr>
                          <w:rFonts w:ascii="Times New Roman" w:hAnsi="Times New Roman" w:cs="Times New Roman"/>
                          <w:b w:val="0"/>
                          <w:i/>
                          <w:noProof/>
                          <w:color w:val="auto"/>
                          <w:sz w:val="20"/>
                          <w:szCs w:val="20"/>
                        </w:rPr>
                      </w:pPr>
                      <w:r w:rsidRPr="000262E8">
                        <w:rPr>
                          <w:rFonts w:ascii="Times New Roman" w:hAnsi="Times New Roman" w:cs="Times New Roman"/>
                          <w:color w:val="auto"/>
                          <w:sz w:val="20"/>
                          <w:szCs w:val="20"/>
                        </w:rPr>
                        <w:t xml:space="preserve">Tabel </w:t>
                      </w:r>
                      <w:r w:rsidRPr="000262E8">
                        <w:rPr>
                          <w:rFonts w:ascii="Times New Roman" w:hAnsi="Times New Roman" w:cs="Times New Roman"/>
                          <w:color w:val="auto"/>
                          <w:sz w:val="20"/>
                          <w:szCs w:val="20"/>
                        </w:rPr>
                        <w:fldChar w:fldCharType="begin"/>
                      </w:r>
                      <w:r w:rsidRPr="000262E8">
                        <w:rPr>
                          <w:rFonts w:ascii="Times New Roman" w:hAnsi="Times New Roman" w:cs="Times New Roman"/>
                          <w:color w:val="auto"/>
                          <w:sz w:val="20"/>
                          <w:szCs w:val="20"/>
                        </w:rPr>
                        <w:instrText xml:space="preserve"> SEQ Tabel \* ARABIC </w:instrText>
                      </w:r>
                      <w:r w:rsidRPr="000262E8">
                        <w:rPr>
                          <w:rFonts w:ascii="Times New Roman" w:hAnsi="Times New Roman" w:cs="Times New Roman"/>
                          <w:color w:val="auto"/>
                          <w:sz w:val="20"/>
                          <w:szCs w:val="20"/>
                        </w:rPr>
                        <w:fldChar w:fldCharType="separate"/>
                      </w:r>
                      <w:r w:rsidRPr="000262E8">
                        <w:rPr>
                          <w:rFonts w:ascii="Times New Roman" w:hAnsi="Times New Roman" w:cs="Times New Roman"/>
                          <w:noProof/>
                          <w:color w:val="auto"/>
                          <w:sz w:val="20"/>
                          <w:szCs w:val="20"/>
                        </w:rPr>
                        <w:t>1</w:t>
                      </w:r>
                      <w:r w:rsidRPr="000262E8">
                        <w:rPr>
                          <w:rFonts w:ascii="Times New Roman" w:hAnsi="Times New Roman" w:cs="Times New Roman"/>
                          <w:color w:val="auto"/>
                          <w:sz w:val="20"/>
                          <w:szCs w:val="20"/>
                        </w:rPr>
                        <w:fldChar w:fldCharType="end"/>
                      </w:r>
                      <w:r w:rsidRPr="000262E8">
                        <w:rPr>
                          <w:rFonts w:ascii="Times New Roman" w:hAnsi="Times New Roman" w:cs="Times New Roman"/>
                          <w:color w:val="auto"/>
                          <w:sz w:val="20"/>
                          <w:szCs w:val="20"/>
                        </w:rPr>
                        <w:t>.</w:t>
                      </w:r>
                      <w:r w:rsidRPr="000262E8">
                        <w:rPr>
                          <w:rFonts w:ascii="Times New Roman" w:hAnsi="Times New Roman" w:cs="Times New Roman"/>
                          <w:sz w:val="20"/>
                          <w:szCs w:val="20"/>
                        </w:rPr>
                        <w:tab/>
                      </w:r>
                      <w:r w:rsidRPr="000262E8">
                        <w:rPr>
                          <w:rFonts w:ascii="Times New Roman" w:hAnsi="Times New Roman" w:cs="Times New Roman"/>
                          <w:sz w:val="20"/>
                          <w:szCs w:val="20"/>
                        </w:rPr>
                        <w:tab/>
                      </w:r>
                      <w:r>
                        <w:rPr>
                          <w:rFonts w:ascii="Times New Roman" w:hAnsi="Times New Roman" w:cs="Times New Roman"/>
                          <w:i/>
                          <w:color w:val="auto"/>
                          <w:sz w:val="20"/>
                          <w:szCs w:val="20"/>
                        </w:rPr>
                        <w:t>Verschillende kanteltijdstippen en de daarbij horende vrouwenquota voor België en buurlanden</w:t>
                      </w:r>
                    </w:p>
                    <w:tbl>
                      <w:tblPr>
                        <w:tblW w:w="20560" w:type="dxa"/>
                        <w:tblCellMar>
                          <w:left w:w="0" w:type="dxa"/>
                          <w:right w:w="0" w:type="dxa"/>
                        </w:tblCellMar>
                        <w:tblLook w:val="0420" w:firstRow="1" w:lastRow="0" w:firstColumn="0" w:lastColumn="0" w:noHBand="0" w:noVBand="1"/>
                      </w:tblPr>
                      <w:tblGrid>
                        <w:gridCol w:w="6853"/>
                        <w:gridCol w:w="6853"/>
                        <w:gridCol w:w="6854"/>
                      </w:tblGrid>
                      <w:tr w:rsidR="000262E8" w:rsidRPr="000262E8" w:rsidTr="000262E8">
                        <w:trPr>
                          <w:trHeight w:val="584"/>
                        </w:trPr>
                        <w:tc>
                          <w:tcPr>
                            <w:tcW w:w="6860" w:type="dxa"/>
                            <w:tcBorders>
                              <w:top w:val="single" w:sz="8" w:space="0" w:color="000000"/>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Land</w:t>
                            </w:r>
                          </w:p>
                        </w:tc>
                        <w:tc>
                          <w:tcPr>
                            <w:tcW w:w="6860" w:type="dxa"/>
                            <w:tcBorders>
                              <w:top w:val="single" w:sz="8" w:space="0" w:color="000000"/>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Kanteltijdstip gebaseerd op ingevoerde wet</w:t>
                            </w:r>
                          </w:p>
                        </w:tc>
                        <w:tc>
                          <w:tcPr>
                            <w:tcW w:w="6860" w:type="dxa"/>
                            <w:tcBorders>
                              <w:top w:val="single" w:sz="8" w:space="0" w:color="000000"/>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Vooropgesteld vrouwenquotum</w:t>
                            </w:r>
                          </w:p>
                        </w:tc>
                      </w:tr>
                      <w:tr w:rsidR="000262E8" w:rsidRPr="000262E8" w:rsidTr="000262E8">
                        <w:trPr>
                          <w:trHeight w:val="584"/>
                        </w:trPr>
                        <w:tc>
                          <w:tcPr>
                            <w:tcW w:w="6860" w:type="dxa"/>
                            <w:tcBorders>
                              <w:top w:val="single" w:sz="8" w:space="0" w:color="1E64C8"/>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België</w:t>
                            </w:r>
                          </w:p>
                        </w:tc>
                        <w:tc>
                          <w:tcPr>
                            <w:tcW w:w="6860" w:type="dxa"/>
                            <w:tcBorders>
                              <w:top w:val="single" w:sz="8" w:space="0" w:color="1E64C8"/>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2012</w:t>
                            </w:r>
                          </w:p>
                        </w:tc>
                        <w:tc>
                          <w:tcPr>
                            <w:tcW w:w="6860" w:type="dxa"/>
                            <w:tcBorders>
                              <w:top w:val="single" w:sz="8" w:space="0" w:color="1E64C8"/>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Één derde</w:t>
                            </w:r>
                          </w:p>
                        </w:tc>
                      </w:tr>
                      <w:tr w:rsidR="000262E8" w:rsidRPr="000262E8" w:rsidTr="000262E8">
                        <w:trPr>
                          <w:trHeight w:val="584"/>
                        </w:trPr>
                        <w:tc>
                          <w:tcPr>
                            <w:tcW w:w="686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Duitsland</w:t>
                            </w:r>
                          </w:p>
                        </w:tc>
                        <w:tc>
                          <w:tcPr>
                            <w:tcW w:w="686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2016</w:t>
                            </w:r>
                          </w:p>
                        </w:tc>
                        <w:tc>
                          <w:tcPr>
                            <w:tcW w:w="686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30 %</w:t>
                            </w:r>
                          </w:p>
                        </w:tc>
                      </w:tr>
                      <w:tr w:rsidR="000262E8" w:rsidRPr="000262E8" w:rsidTr="000262E8">
                        <w:trPr>
                          <w:trHeight w:val="584"/>
                        </w:trPr>
                        <w:tc>
                          <w:tcPr>
                            <w:tcW w:w="6860" w:type="dxa"/>
                            <w:tcBorders>
                              <w:top w:val="nil"/>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Frankrijk</w:t>
                            </w:r>
                          </w:p>
                        </w:tc>
                        <w:tc>
                          <w:tcPr>
                            <w:tcW w:w="6860" w:type="dxa"/>
                            <w:tcBorders>
                              <w:top w:val="nil"/>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2014</w:t>
                            </w:r>
                          </w:p>
                        </w:tc>
                        <w:tc>
                          <w:tcPr>
                            <w:tcW w:w="6860" w:type="dxa"/>
                            <w:tcBorders>
                              <w:top w:val="nil"/>
                              <w:left w:val="single" w:sz="8" w:space="0" w:color="000000"/>
                              <w:bottom w:val="nil"/>
                              <w:right w:val="single" w:sz="8" w:space="0" w:color="000000"/>
                            </w:tcBorders>
                            <w:shd w:val="clear" w:color="auto" w:fill="E7EAF5"/>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40 %</w:t>
                            </w:r>
                          </w:p>
                        </w:tc>
                      </w:tr>
                      <w:tr w:rsidR="000262E8" w:rsidRPr="000262E8" w:rsidTr="000262E8">
                        <w:trPr>
                          <w:trHeight w:val="584"/>
                        </w:trPr>
                        <w:tc>
                          <w:tcPr>
                            <w:tcW w:w="6860" w:type="dxa"/>
                            <w:tcBorders>
                              <w:top w:val="nil"/>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sz w:val="20"/>
                                <w:szCs w:val="20"/>
                              </w:rPr>
                              <w:t>Nederland</w:t>
                            </w:r>
                          </w:p>
                        </w:tc>
                        <w:tc>
                          <w:tcPr>
                            <w:tcW w:w="6860" w:type="dxa"/>
                            <w:tcBorders>
                              <w:top w:val="nil"/>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2016</w:t>
                            </w:r>
                          </w:p>
                        </w:tc>
                        <w:tc>
                          <w:tcPr>
                            <w:tcW w:w="6860" w:type="dxa"/>
                            <w:tcBorders>
                              <w:top w:val="nil"/>
                              <w:left w:val="single" w:sz="8" w:space="0" w:color="000000"/>
                              <w:bottom w:val="single" w:sz="8" w:space="0" w:color="1E64C8"/>
                              <w:right w:val="single" w:sz="8" w:space="0" w:color="000000"/>
                            </w:tcBorders>
                            <w:shd w:val="clear" w:color="auto" w:fill="auto"/>
                            <w:tcMar>
                              <w:top w:w="72" w:type="dxa"/>
                              <w:left w:w="144" w:type="dxa"/>
                              <w:bottom w:w="72" w:type="dxa"/>
                              <w:right w:w="144" w:type="dxa"/>
                            </w:tcMar>
                            <w:hideMark/>
                          </w:tcPr>
                          <w:p w:rsidR="00000000" w:rsidRPr="000262E8" w:rsidRDefault="000262E8" w:rsidP="000262E8">
                            <w:pPr>
                              <w:pStyle w:val="Bijschrift"/>
                              <w:rPr>
                                <w:rFonts w:ascii="Times New Roman" w:hAnsi="Times New Roman" w:cs="Times New Roman"/>
                                <w:sz w:val="20"/>
                                <w:szCs w:val="20"/>
                              </w:rPr>
                            </w:pPr>
                            <w:r w:rsidRPr="000262E8">
                              <w:rPr>
                                <w:rFonts w:ascii="Times New Roman" w:hAnsi="Times New Roman" w:cs="Times New Roman"/>
                                <w:i/>
                                <w:iCs/>
                                <w:sz w:val="20"/>
                                <w:szCs w:val="20"/>
                              </w:rPr>
                              <w:t>30 %</w:t>
                            </w:r>
                          </w:p>
                        </w:tc>
                      </w:tr>
                    </w:tbl>
                    <w:p w:rsidR="000262E8" w:rsidRPr="000262E8" w:rsidRDefault="000262E8" w:rsidP="000262E8">
                      <w:pPr>
                        <w:pStyle w:val="Bijschrift"/>
                        <w:rPr>
                          <w:rFonts w:ascii="Times New Roman" w:hAnsi="Times New Roman" w:cs="Times New Roman"/>
                          <w:i/>
                          <w:noProof/>
                          <w:color w:val="auto"/>
                          <w:sz w:val="20"/>
                          <w:szCs w:val="20"/>
                        </w:rPr>
                      </w:pPr>
                    </w:p>
                  </w:txbxContent>
                </v:textbox>
                <w10:wrap type="tight"/>
              </v:shape>
            </w:pict>
          </mc:Fallback>
        </mc:AlternateContent>
      </w:r>
      <w:r w:rsidR="007D126B">
        <w:rPr>
          <w:rFonts w:ascii="Times New Roman" w:hAnsi="Times New Roman" w:cs="Times New Roman"/>
          <w:sz w:val="24"/>
          <w:szCs w:val="24"/>
        </w:rPr>
        <w:t>horende vrouwenquota kunnen teruggevonden worden in onderstaande tabel.</w:t>
      </w:r>
    </w:p>
    <w:p w:rsidR="000262E8" w:rsidRDefault="000262E8" w:rsidP="00FA718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nl-BE"/>
        </w:rPr>
        <w:drawing>
          <wp:anchor distT="0" distB="0" distL="114300" distR="114300" simplePos="0" relativeHeight="251661312" behindDoc="1" locked="0" layoutInCell="1" allowOverlap="1" wp14:anchorId="7387907C" wp14:editId="32BEE600">
            <wp:simplePos x="0" y="0"/>
            <wp:positionH relativeFrom="column">
              <wp:posOffset>-490855</wp:posOffset>
            </wp:positionH>
            <wp:positionV relativeFrom="paragraph">
              <wp:posOffset>456565</wp:posOffset>
            </wp:positionV>
            <wp:extent cx="6858635" cy="1177925"/>
            <wp:effectExtent l="0" t="0" r="0" b="3175"/>
            <wp:wrapTight wrapText="bothSides">
              <wp:wrapPolygon edited="0">
                <wp:start x="0" y="0"/>
                <wp:lineTo x="0" y="21309"/>
                <wp:lineTo x="21538" y="21309"/>
                <wp:lineTo x="2153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635" cy="1177925"/>
                    </a:xfrm>
                    <a:prstGeom prst="rect">
                      <a:avLst/>
                    </a:prstGeom>
                    <a:noFill/>
                  </pic:spPr>
                </pic:pic>
              </a:graphicData>
            </a:graphic>
            <wp14:sizeRelH relativeFrom="page">
              <wp14:pctWidth>0</wp14:pctWidth>
            </wp14:sizeRelH>
            <wp14:sizeRelV relativeFrom="page">
              <wp14:pctHeight>0</wp14:pctHeight>
            </wp14:sizeRelV>
          </wp:anchor>
        </w:drawing>
      </w:r>
    </w:p>
    <w:p w:rsidR="000262E8" w:rsidRDefault="000262E8" w:rsidP="00FA7182">
      <w:pPr>
        <w:spacing w:line="360" w:lineRule="auto"/>
        <w:jc w:val="both"/>
        <w:rPr>
          <w:rFonts w:ascii="Times New Roman" w:hAnsi="Times New Roman" w:cs="Times New Roman"/>
          <w:sz w:val="24"/>
          <w:szCs w:val="24"/>
        </w:rPr>
      </w:pPr>
    </w:p>
    <w:p w:rsidR="000262E8" w:rsidRDefault="00513817" w:rsidP="00FA7182">
      <w:pPr>
        <w:spacing w:line="360" w:lineRule="auto"/>
        <w:jc w:val="both"/>
        <w:rPr>
          <w:rFonts w:ascii="Times New Roman" w:hAnsi="Times New Roman" w:cs="Times New Roman"/>
          <w:sz w:val="24"/>
          <w:szCs w:val="24"/>
        </w:rPr>
      </w:pPr>
      <w:r>
        <w:rPr>
          <w:rFonts w:ascii="Times New Roman" w:hAnsi="Times New Roman" w:cs="Times New Roman"/>
          <w:sz w:val="24"/>
          <w:szCs w:val="24"/>
        </w:rPr>
        <w:t>Hoewel reeds codes en richtlijnen aanwezig waren, is h</w:t>
      </w:r>
      <w:r w:rsidR="00A43B32">
        <w:rPr>
          <w:rFonts w:ascii="Times New Roman" w:hAnsi="Times New Roman" w:cs="Times New Roman"/>
          <w:sz w:val="24"/>
          <w:szCs w:val="24"/>
        </w:rPr>
        <w:t xml:space="preserve">et doorvoeren van </w:t>
      </w:r>
      <w:r>
        <w:rPr>
          <w:rFonts w:ascii="Times New Roman" w:hAnsi="Times New Roman" w:cs="Times New Roman"/>
          <w:sz w:val="24"/>
          <w:szCs w:val="24"/>
        </w:rPr>
        <w:t xml:space="preserve">een wettelijk verplicht </w:t>
      </w:r>
      <w:r w:rsidR="00A43B32">
        <w:rPr>
          <w:rFonts w:ascii="Times New Roman" w:hAnsi="Times New Roman" w:cs="Times New Roman"/>
          <w:sz w:val="24"/>
          <w:szCs w:val="24"/>
        </w:rPr>
        <w:t>vrouwenq</w:t>
      </w:r>
      <w:r>
        <w:rPr>
          <w:rFonts w:ascii="Times New Roman" w:hAnsi="Times New Roman" w:cs="Times New Roman"/>
          <w:sz w:val="24"/>
          <w:szCs w:val="24"/>
        </w:rPr>
        <w:t xml:space="preserve">uota voor bepaalde bedrijven </w:t>
      </w:r>
      <w:r w:rsidR="00A43B32">
        <w:rPr>
          <w:rFonts w:ascii="Times New Roman" w:hAnsi="Times New Roman" w:cs="Times New Roman"/>
          <w:sz w:val="24"/>
          <w:szCs w:val="24"/>
        </w:rPr>
        <w:t xml:space="preserve">ongetwijfeld een goede stap in </w:t>
      </w:r>
      <w:r>
        <w:rPr>
          <w:rFonts w:ascii="Times New Roman" w:hAnsi="Times New Roman" w:cs="Times New Roman"/>
          <w:sz w:val="24"/>
          <w:szCs w:val="24"/>
        </w:rPr>
        <w:t>de richting naar gelijkheid tussen mannen en vrouwen</w:t>
      </w:r>
      <w:r w:rsidR="00D3574C">
        <w:rPr>
          <w:rFonts w:ascii="Times New Roman" w:hAnsi="Times New Roman" w:cs="Times New Roman"/>
          <w:sz w:val="24"/>
          <w:szCs w:val="24"/>
        </w:rPr>
        <w:t xml:space="preserve"> aan de top van bedrijven</w:t>
      </w:r>
      <w:bookmarkStart w:id="0" w:name="_GoBack"/>
      <w:bookmarkEnd w:id="0"/>
      <w:r>
        <w:rPr>
          <w:rFonts w:ascii="Times New Roman" w:hAnsi="Times New Roman" w:cs="Times New Roman"/>
          <w:sz w:val="24"/>
          <w:szCs w:val="24"/>
        </w:rPr>
        <w:t xml:space="preserve">. Enerzijds wordt de al dan niet nog bestaande vrouwendiscriminatie tegengewerkt, anderzijds krijgen vrouwen de kans zich te ontplooien tot leiders in het ‘mannenwerk’. Een cruciale en doorslaggevende vraag vormt de basis van het hele onderzoek: zijn vrouwen nu even productief als mannen? </w:t>
      </w:r>
    </w:p>
    <w:p w:rsidR="008E2645" w:rsidRDefault="001F3386" w:rsidP="008E2645">
      <w:pPr>
        <w:spacing w:line="360" w:lineRule="auto"/>
        <w:jc w:val="both"/>
        <w:rPr>
          <w:rFonts w:ascii="Times New Roman" w:hAnsi="Times New Roman" w:cs="Times New Roman"/>
          <w:sz w:val="24"/>
          <w:szCs w:val="24"/>
        </w:rPr>
      </w:pPr>
      <w:r>
        <w:rPr>
          <w:rFonts w:ascii="Times New Roman" w:hAnsi="Times New Roman" w:cs="Times New Roman"/>
          <w:sz w:val="24"/>
          <w:szCs w:val="24"/>
        </w:rPr>
        <w:t>Een antwoord op deze vraag kan gevonden worden door een analyse uit te voeren waarin de bedrijfsprestaties van de geselecteerde bedrijven worden onder de loep genomen. Deze bedrijfsprestaties worden vergeleken met de bedrijfsresultaten voor het kanteltijdstip en op die manier kan het mogelijk zijn bepaalde conclusies te formuleren. Hoewel bij het concept bedrijfsprestatie meteen gedacht wordt aan winst, kunnen ook andere aspecten geanalyseerd worden: opbrengsten, kosten, kasuitgaven, kasinkomsten, schulden… Wanneer opmerkelijke (positieve of negatieve) wijzigingen plaatsvinden, kan het verschil in productiviteit tussen mannen en vrou</w:t>
      </w:r>
      <w:r w:rsidR="00B93827">
        <w:rPr>
          <w:rFonts w:ascii="Times New Roman" w:hAnsi="Times New Roman" w:cs="Times New Roman"/>
          <w:sz w:val="24"/>
          <w:szCs w:val="24"/>
        </w:rPr>
        <w:t xml:space="preserve">wen in vraag gesteld worden. </w:t>
      </w:r>
      <w:r w:rsidR="00C2702B">
        <w:rPr>
          <w:rFonts w:ascii="Times New Roman" w:hAnsi="Times New Roman" w:cs="Times New Roman"/>
          <w:sz w:val="24"/>
          <w:szCs w:val="24"/>
        </w:rPr>
        <w:t>Het blijkt duidelijk dat er in de Belgische context toch enige tegenstrijdigheden terug te vinden zijn. De bedrijven Proximus en de Nationale Loterij blijken minder te presteren na het invoeren van een vrouwenquotum. Bpost en Belgocontrol zijn dan weer voorbeelden van bedrijven waar de bedrijfsprestaties een meer positieve evolutie vertonen. De analyse van de buurlanden maakt het eveneens niet mogelijk om uniforme conclusies te formuleren. Daar waar de Duitse selectie van bedrijven negatiever presteert, vertonen de Franse selectie van bedrijven en de Nederlandse selectie van bedrijven een positieve evolutie met een bepaald aantal vrouwen in de beslissingsstructuren</w:t>
      </w:r>
      <w:r w:rsidR="00493BF9">
        <w:rPr>
          <w:rFonts w:ascii="Times New Roman" w:hAnsi="Times New Roman" w:cs="Times New Roman"/>
          <w:sz w:val="24"/>
          <w:szCs w:val="24"/>
        </w:rPr>
        <w:t>.</w:t>
      </w:r>
    </w:p>
    <w:p w:rsidR="008E2645" w:rsidRDefault="008E2645" w:rsidP="008E26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Andermaal moet hierbij enige nuancering worden toegevoegd. Andere factoren kunnen eveneens een invloed uitoefenen op deze prestaties. De overheid is hiervan een perfect voorbeeld. Het is algemeen geweten dat de overheid op basis van bepaalde praktijken een belangrijke invloed kan hebben op de bedrijfsprestaties. Het toewijzen van bekende (incompetente)</w:t>
      </w:r>
      <w:r>
        <w:rPr>
          <w:rFonts w:ascii="Times New Roman" w:hAnsi="Times New Roman" w:cs="Times New Roman"/>
          <w:sz w:val="24"/>
          <w:szCs w:val="24"/>
        </w:rPr>
        <w:t xml:space="preserve"> politieke figuren</w:t>
      </w:r>
      <w:r>
        <w:rPr>
          <w:rFonts w:ascii="Times New Roman" w:hAnsi="Times New Roman" w:cs="Times New Roman"/>
          <w:sz w:val="24"/>
          <w:szCs w:val="24"/>
        </w:rPr>
        <w:t xml:space="preserve"> in plaats van geschikte en capabele managementpersonen is een bekend fenomeen.</w:t>
      </w:r>
      <w:r>
        <w:rPr>
          <w:rFonts w:ascii="Times New Roman" w:hAnsi="Times New Roman" w:cs="Times New Roman"/>
          <w:sz w:val="24"/>
          <w:szCs w:val="24"/>
        </w:rPr>
        <w:t xml:space="preserve"> In de volksmond ook wel vriendjespolitiek genoemd.</w:t>
      </w:r>
      <w:r>
        <w:rPr>
          <w:rFonts w:ascii="Times New Roman" w:hAnsi="Times New Roman" w:cs="Times New Roman"/>
          <w:sz w:val="24"/>
          <w:szCs w:val="24"/>
        </w:rPr>
        <w:t xml:space="preserve"> Anderzijds kan worden opgemerkt dat het niveau van de algemene economie in een welbepaald land eveneens een invloed heeft op bedrijfsprestaties. Wijzigingen in bedrijfsprestaties op basis van deze aspecten kunnen bijgevolg niet toegewezen worden aan een verschil in productiviteit tussen mannen en vrouwen. </w:t>
      </w:r>
    </w:p>
    <w:p w:rsidR="008E2645" w:rsidRDefault="008E2645" w:rsidP="008E2645">
      <w:pPr>
        <w:spacing w:line="360" w:lineRule="auto"/>
        <w:jc w:val="both"/>
        <w:rPr>
          <w:rFonts w:ascii="Times New Roman" w:hAnsi="Times New Roman" w:cs="Times New Roman"/>
          <w:sz w:val="24"/>
          <w:szCs w:val="24"/>
        </w:rPr>
      </w:pPr>
      <w:r>
        <w:rPr>
          <w:rFonts w:ascii="Times New Roman" w:hAnsi="Times New Roman" w:cs="Times New Roman"/>
          <w:sz w:val="24"/>
          <w:szCs w:val="24"/>
        </w:rPr>
        <w:t>Hoewel al een lange tijd wordt uitgestraald dat er gelijkheid tussen de geslachten aanwezig is, is het fout te concluderen dat deze gelijkheid reeds op alle vlakken is tot s</w:t>
      </w:r>
      <w:r w:rsidR="00353CA5">
        <w:rPr>
          <w:rFonts w:ascii="Times New Roman" w:hAnsi="Times New Roman" w:cs="Times New Roman"/>
          <w:sz w:val="24"/>
          <w:szCs w:val="24"/>
        </w:rPr>
        <w:t xml:space="preserve">tand gebracht. </w:t>
      </w:r>
      <w:r w:rsidR="00675346">
        <w:rPr>
          <w:rFonts w:ascii="Times New Roman" w:hAnsi="Times New Roman" w:cs="Times New Roman"/>
          <w:sz w:val="24"/>
          <w:szCs w:val="24"/>
        </w:rPr>
        <w:t xml:space="preserve">Het feit dat op een wettelijke manier de vrouwelijke aanwezigheid moet worden ‘geforceerd’, bevestigt dat niet iedereen in dezelfde richting kijkt. </w:t>
      </w:r>
      <w:r w:rsidR="00353CA5">
        <w:rPr>
          <w:rFonts w:ascii="Times New Roman" w:hAnsi="Times New Roman" w:cs="Times New Roman"/>
          <w:sz w:val="24"/>
          <w:szCs w:val="24"/>
        </w:rPr>
        <w:t xml:space="preserve">Gelukkig worden verschillende initiatieven ondernomen en wijzigingen doorgevoerd om de gewenste gelijkheid te verkrijgen. Het recente karakter en andere factoren </w:t>
      </w:r>
      <w:r w:rsidR="00675346">
        <w:rPr>
          <w:rFonts w:ascii="Times New Roman" w:hAnsi="Times New Roman" w:cs="Times New Roman"/>
          <w:sz w:val="24"/>
          <w:szCs w:val="24"/>
        </w:rPr>
        <w:t>maken</w:t>
      </w:r>
      <w:r w:rsidR="00353CA5">
        <w:rPr>
          <w:rFonts w:ascii="Times New Roman" w:hAnsi="Times New Roman" w:cs="Times New Roman"/>
          <w:sz w:val="24"/>
          <w:szCs w:val="24"/>
        </w:rPr>
        <w:t xml:space="preserve"> het jammer genoeg moeilijk om nu al uniforme conclusies te trekken met betrekking tot het al dan niet rechtvaardigen van een bepaalde discriminatie. Informatie verkregen in de toekomst </w:t>
      </w:r>
      <w:r w:rsidR="003334B9">
        <w:rPr>
          <w:rFonts w:ascii="Times New Roman" w:hAnsi="Times New Roman" w:cs="Times New Roman"/>
          <w:sz w:val="24"/>
          <w:szCs w:val="24"/>
        </w:rPr>
        <w:t>zou</w:t>
      </w:r>
      <w:r w:rsidR="00353CA5">
        <w:rPr>
          <w:rFonts w:ascii="Times New Roman" w:hAnsi="Times New Roman" w:cs="Times New Roman"/>
          <w:sz w:val="24"/>
          <w:szCs w:val="24"/>
        </w:rPr>
        <w:t xml:space="preserve"> eventueel een specifieker antwoord </w:t>
      </w:r>
      <w:r w:rsidR="003334B9">
        <w:rPr>
          <w:rFonts w:ascii="Times New Roman" w:hAnsi="Times New Roman" w:cs="Times New Roman"/>
          <w:sz w:val="24"/>
          <w:szCs w:val="24"/>
        </w:rPr>
        <w:t>kunnen geven</w:t>
      </w:r>
      <w:r w:rsidR="00353CA5">
        <w:rPr>
          <w:rFonts w:ascii="Times New Roman" w:hAnsi="Times New Roman" w:cs="Times New Roman"/>
          <w:sz w:val="24"/>
          <w:szCs w:val="24"/>
        </w:rPr>
        <w:t xml:space="preserve"> op de bovenstaande vragen. De</w:t>
      </w:r>
      <w:r w:rsidR="003334B9">
        <w:rPr>
          <w:rFonts w:ascii="Times New Roman" w:hAnsi="Times New Roman" w:cs="Times New Roman"/>
          <w:sz w:val="24"/>
          <w:szCs w:val="24"/>
        </w:rPr>
        <w:t xml:space="preserve"> bijkomende vraag hierbij is natuurlijk of deze antwoorden positief of negatief zullen zijn…</w:t>
      </w:r>
      <w:r w:rsidR="00353CA5">
        <w:rPr>
          <w:rFonts w:ascii="Times New Roman" w:hAnsi="Times New Roman" w:cs="Times New Roman"/>
          <w:sz w:val="24"/>
          <w:szCs w:val="24"/>
        </w:rPr>
        <w:t xml:space="preserve"> </w:t>
      </w:r>
    </w:p>
    <w:p w:rsidR="008E2645" w:rsidRDefault="008E2645" w:rsidP="00FA7182">
      <w:pPr>
        <w:spacing w:line="360" w:lineRule="auto"/>
        <w:jc w:val="both"/>
        <w:rPr>
          <w:rFonts w:ascii="Times New Roman" w:hAnsi="Times New Roman" w:cs="Times New Roman"/>
          <w:sz w:val="24"/>
          <w:szCs w:val="24"/>
        </w:rPr>
      </w:pPr>
    </w:p>
    <w:p w:rsidR="00493BF9" w:rsidRDefault="00493BF9" w:rsidP="00FA7182">
      <w:pPr>
        <w:spacing w:line="360" w:lineRule="auto"/>
        <w:jc w:val="both"/>
        <w:rPr>
          <w:rFonts w:ascii="Times New Roman" w:hAnsi="Times New Roman" w:cs="Times New Roman"/>
          <w:sz w:val="24"/>
          <w:szCs w:val="24"/>
        </w:rPr>
      </w:pPr>
    </w:p>
    <w:p w:rsidR="000262E8" w:rsidRDefault="000262E8" w:rsidP="00FA7182">
      <w:pPr>
        <w:spacing w:line="360" w:lineRule="auto"/>
        <w:jc w:val="both"/>
        <w:rPr>
          <w:rFonts w:ascii="Times New Roman" w:hAnsi="Times New Roman" w:cs="Times New Roman"/>
          <w:sz w:val="24"/>
          <w:szCs w:val="24"/>
        </w:rPr>
      </w:pPr>
    </w:p>
    <w:p w:rsidR="000262E8" w:rsidRDefault="000262E8" w:rsidP="00FA7182">
      <w:pPr>
        <w:spacing w:line="360" w:lineRule="auto"/>
        <w:jc w:val="both"/>
        <w:rPr>
          <w:rFonts w:ascii="Times New Roman" w:hAnsi="Times New Roman" w:cs="Times New Roman"/>
          <w:sz w:val="24"/>
          <w:szCs w:val="24"/>
        </w:rPr>
      </w:pPr>
    </w:p>
    <w:p w:rsidR="000262E8" w:rsidRDefault="000262E8" w:rsidP="00FA7182">
      <w:pPr>
        <w:spacing w:line="360" w:lineRule="auto"/>
        <w:jc w:val="both"/>
        <w:rPr>
          <w:rFonts w:ascii="Times New Roman" w:hAnsi="Times New Roman" w:cs="Times New Roman"/>
          <w:sz w:val="24"/>
          <w:szCs w:val="24"/>
        </w:rPr>
      </w:pPr>
    </w:p>
    <w:p w:rsidR="000262E8" w:rsidRDefault="000262E8" w:rsidP="00FA7182">
      <w:pPr>
        <w:spacing w:line="360" w:lineRule="auto"/>
        <w:jc w:val="both"/>
        <w:rPr>
          <w:rFonts w:ascii="Times New Roman" w:hAnsi="Times New Roman" w:cs="Times New Roman"/>
          <w:sz w:val="24"/>
          <w:szCs w:val="24"/>
        </w:rPr>
      </w:pPr>
    </w:p>
    <w:p w:rsidR="000262E8" w:rsidRDefault="000262E8" w:rsidP="00FA7182">
      <w:pPr>
        <w:spacing w:line="360" w:lineRule="auto"/>
        <w:jc w:val="both"/>
        <w:rPr>
          <w:rFonts w:ascii="Times New Roman" w:hAnsi="Times New Roman" w:cs="Times New Roman"/>
          <w:sz w:val="24"/>
          <w:szCs w:val="24"/>
        </w:rPr>
      </w:pPr>
    </w:p>
    <w:sectPr w:rsidR="00026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24"/>
    <w:rsid w:val="000262E8"/>
    <w:rsid w:val="00060373"/>
    <w:rsid w:val="000E4937"/>
    <w:rsid w:val="00124524"/>
    <w:rsid w:val="00157177"/>
    <w:rsid w:val="001F3386"/>
    <w:rsid w:val="003142DA"/>
    <w:rsid w:val="003334B9"/>
    <w:rsid w:val="00353CA5"/>
    <w:rsid w:val="00382A70"/>
    <w:rsid w:val="00384537"/>
    <w:rsid w:val="00493BF9"/>
    <w:rsid w:val="00513817"/>
    <w:rsid w:val="00565603"/>
    <w:rsid w:val="00675346"/>
    <w:rsid w:val="007D126B"/>
    <w:rsid w:val="00830FF8"/>
    <w:rsid w:val="008E2645"/>
    <w:rsid w:val="00901C72"/>
    <w:rsid w:val="00A43B32"/>
    <w:rsid w:val="00B93827"/>
    <w:rsid w:val="00C2702B"/>
    <w:rsid w:val="00D3574C"/>
    <w:rsid w:val="00D80A48"/>
    <w:rsid w:val="00ED1F61"/>
    <w:rsid w:val="00FA7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12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26B"/>
    <w:rPr>
      <w:rFonts w:ascii="Tahoma" w:hAnsi="Tahoma" w:cs="Tahoma"/>
      <w:sz w:val="16"/>
      <w:szCs w:val="16"/>
    </w:rPr>
  </w:style>
  <w:style w:type="paragraph" w:styleId="Bijschrift">
    <w:name w:val="caption"/>
    <w:basedOn w:val="Standaard"/>
    <w:next w:val="Standaard"/>
    <w:uiPriority w:val="35"/>
    <w:unhideWhenUsed/>
    <w:qFormat/>
    <w:rsid w:val="0015717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12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26B"/>
    <w:rPr>
      <w:rFonts w:ascii="Tahoma" w:hAnsi="Tahoma" w:cs="Tahoma"/>
      <w:sz w:val="16"/>
      <w:szCs w:val="16"/>
    </w:rPr>
  </w:style>
  <w:style w:type="paragraph" w:styleId="Bijschrift">
    <w:name w:val="caption"/>
    <w:basedOn w:val="Standaard"/>
    <w:next w:val="Standaard"/>
    <w:uiPriority w:val="35"/>
    <w:unhideWhenUsed/>
    <w:qFormat/>
    <w:rsid w:val="0015717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4917">
      <w:bodyDiv w:val="1"/>
      <w:marLeft w:val="0"/>
      <w:marRight w:val="0"/>
      <w:marTop w:val="0"/>
      <w:marBottom w:val="0"/>
      <w:divBdr>
        <w:top w:val="none" w:sz="0" w:space="0" w:color="auto"/>
        <w:left w:val="none" w:sz="0" w:space="0" w:color="auto"/>
        <w:bottom w:val="none" w:sz="0" w:space="0" w:color="auto"/>
        <w:right w:val="none" w:sz="0" w:space="0" w:color="auto"/>
      </w:divBdr>
    </w:div>
    <w:div w:id="386539921">
      <w:bodyDiv w:val="1"/>
      <w:marLeft w:val="0"/>
      <w:marRight w:val="0"/>
      <w:marTop w:val="0"/>
      <w:marBottom w:val="0"/>
      <w:divBdr>
        <w:top w:val="none" w:sz="0" w:space="0" w:color="auto"/>
        <w:left w:val="none" w:sz="0" w:space="0" w:color="auto"/>
        <w:bottom w:val="none" w:sz="0" w:space="0" w:color="auto"/>
        <w:right w:val="none" w:sz="0" w:space="0" w:color="auto"/>
      </w:divBdr>
    </w:div>
    <w:div w:id="20404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1027</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dc:creator>
  <cp:keywords/>
  <dc:description/>
  <cp:lastModifiedBy>Jorgen</cp:lastModifiedBy>
  <cp:revision>7</cp:revision>
  <dcterms:created xsi:type="dcterms:W3CDTF">2017-09-01T10:25:00Z</dcterms:created>
  <dcterms:modified xsi:type="dcterms:W3CDTF">2017-09-01T13:07:00Z</dcterms:modified>
</cp:coreProperties>
</file>