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7206" w14:textId="158CE249" w:rsidR="00B07AC1" w:rsidRDefault="00B07AC1" w:rsidP="0012072B">
      <w:pPr>
        <w:jc w:val="center"/>
        <w:rPr>
          <w:rFonts w:ascii="Arial" w:hAnsi="Arial" w:cs="Arial"/>
          <w:u w:val="single"/>
        </w:rPr>
      </w:pPr>
      <w:r>
        <w:rPr>
          <w:rFonts w:ascii="Arial" w:hAnsi="Arial" w:cs="Arial"/>
          <w:u w:val="single"/>
        </w:rPr>
        <w:t xml:space="preserve"> HOE LEOPOLD II KONGO-VRIJSTAAT VERWIERF</w:t>
      </w:r>
    </w:p>
    <w:p w14:paraId="2672A5D8" w14:textId="29B9F571" w:rsidR="0012072B" w:rsidRPr="0012072B" w:rsidRDefault="0012072B" w:rsidP="0012072B">
      <w:pPr>
        <w:jc w:val="center"/>
        <w:rPr>
          <w:rFonts w:ascii="Arial" w:hAnsi="Arial" w:cs="Arial"/>
          <w:i/>
          <w:iCs/>
        </w:rPr>
      </w:pPr>
      <w:r w:rsidRPr="0012072B">
        <w:rPr>
          <w:rFonts w:ascii="Arial" w:hAnsi="Arial" w:cs="Arial"/>
          <w:i/>
          <w:iCs/>
        </w:rPr>
        <w:t>Ook het internationaal recht buigt voor de koninklijke lobby</w:t>
      </w:r>
    </w:p>
    <w:p w14:paraId="2DDE0346" w14:textId="2E0830FA" w:rsidR="006A6C2A" w:rsidRDefault="006A6C2A" w:rsidP="002F077F">
      <w:pPr>
        <w:jc w:val="both"/>
        <w:rPr>
          <w:rFonts w:ascii="Arial" w:hAnsi="Arial" w:cs="Arial"/>
          <w:sz w:val="20"/>
          <w:szCs w:val="20"/>
        </w:rPr>
      </w:pPr>
    </w:p>
    <w:p w14:paraId="43E5356A" w14:textId="1D27270B" w:rsidR="0012072B" w:rsidRPr="0012072B" w:rsidRDefault="0012072B" w:rsidP="002F077F">
      <w:pPr>
        <w:jc w:val="both"/>
        <w:rPr>
          <w:rFonts w:ascii="Arial" w:hAnsi="Arial" w:cs="Arial"/>
          <w:b/>
          <w:bCs/>
          <w:sz w:val="20"/>
          <w:szCs w:val="20"/>
        </w:rPr>
      </w:pPr>
      <w:r w:rsidRPr="0012072B">
        <w:rPr>
          <w:rFonts w:ascii="Arial" w:hAnsi="Arial" w:cs="Arial"/>
          <w:b/>
          <w:bCs/>
          <w:sz w:val="20"/>
          <w:szCs w:val="20"/>
        </w:rPr>
        <w:t>De gezanten van Leopold II sloten in de negentiende eeuw verdragen met verschillende Afrikaanse volkeren. Na intens diplomatiek lobbywerk werden de aanspraken die de Belgische vorst zo verwierf door de andere Europese staten onder internationaal recht erkend</w:t>
      </w:r>
      <w:r>
        <w:rPr>
          <w:rFonts w:ascii="Arial" w:hAnsi="Arial" w:cs="Arial"/>
          <w:b/>
          <w:bCs/>
          <w:sz w:val="20"/>
          <w:szCs w:val="20"/>
        </w:rPr>
        <w:t xml:space="preserve"> en </w:t>
      </w:r>
      <w:r w:rsidR="00553E6B">
        <w:rPr>
          <w:rFonts w:ascii="Arial" w:hAnsi="Arial" w:cs="Arial"/>
          <w:b/>
          <w:bCs/>
          <w:sz w:val="20"/>
          <w:szCs w:val="20"/>
        </w:rPr>
        <w:t>resulteerde in een van de meest donkere periodes uit onze vaderlandse geschiedenis</w:t>
      </w:r>
      <w:r w:rsidR="00C0524E">
        <w:rPr>
          <w:rFonts w:ascii="Arial" w:hAnsi="Arial" w:cs="Arial"/>
          <w:b/>
          <w:bCs/>
          <w:sz w:val="20"/>
          <w:szCs w:val="20"/>
        </w:rPr>
        <w:t>: Kongo-Vrijstaat</w:t>
      </w:r>
      <w:r w:rsidRPr="0012072B">
        <w:rPr>
          <w:rFonts w:ascii="Arial" w:hAnsi="Arial" w:cs="Arial"/>
          <w:b/>
          <w:bCs/>
          <w:sz w:val="20"/>
          <w:szCs w:val="20"/>
        </w:rPr>
        <w:t xml:space="preserve">. Het internationaal recht boog zich op die manier schaamteloos naar de wensen van de macht. Hoe </w:t>
      </w:r>
      <w:r>
        <w:rPr>
          <w:rFonts w:ascii="Arial" w:hAnsi="Arial" w:cs="Arial"/>
          <w:b/>
          <w:bCs/>
          <w:sz w:val="20"/>
          <w:szCs w:val="20"/>
        </w:rPr>
        <w:t>heeft Leopold II</w:t>
      </w:r>
      <w:r w:rsidRPr="0012072B">
        <w:rPr>
          <w:rFonts w:ascii="Arial" w:hAnsi="Arial" w:cs="Arial"/>
          <w:b/>
          <w:bCs/>
          <w:sz w:val="20"/>
          <w:szCs w:val="20"/>
        </w:rPr>
        <w:t xml:space="preserve"> ooit zoiets kunnen bewerkstelligen? </w:t>
      </w:r>
    </w:p>
    <w:p w14:paraId="76B7CF40" w14:textId="021185E6" w:rsidR="00D36E9A" w:rsidRDefault="00890E54" w:rsidP="007837DA">
      <w:pPr>
        <w:jc w:val="both"/>
        <w:rPr>
          <w:rFonts w:ascii="Arial" w:hAnsi="Arial" w:cs="Arial"/>
          <w:sz w:val="20"/>
          <w:szCs w:val="20"/>
        </w:rPr>
      </w:pPr>
      <w:r w:rsidRPr="001761A6">
        <w:rPr>
          <w:noProof/>
        </w:rPr>
        <w:drawing>
          <wp:anchor distT="0" distB="0" distL="114300" distR="114300" simplePos="0" relativeHeight="251658240" behindDoc="1" locked="0" layoutInCell="1" allowOverlap="1" wp14:anchorId="451689DB" wp14:editId="2549121C">
            <wp:simplePos x="0" y="0"/>
            <wp:positionH relativeFrom="margin">
              <wp:posOffset>4914265</wp:posOffset>
            </wp:positionH>
            <wp:positionV relativeFrom="paragraph">
              <wp:posOffset>71120</wp:posOffset>
            </wp:positionV>
            <wp:extent cx="1259205" cy="1409700"/>
            <wp:effectExtent l="190500" t="190500" r="188595" b="190500"/>
            <wp:wrapTight wrapText="bothSides">
              <wp:wrapPolygon edited="0">
                <wp:start x="654" y="-2919"/>
                <wp:lineTo x="-3268" y="-2335"/>
                <wp:lineTo x="-2941" y="21308"/>
                <wp:lineTo x="327" y="23643"/>
                <wp:lineTo x="654" y="24227"/>
                <wp:lineTo x="20587" y="24227"/>
                <wp:lineTo x="20914" y="23643"/>
                <wp:lineTo x="24182" y="21308"/>
                <wp:lineTo x="24508" y="2335"/>
                <wp:lineTo x="20914" y="-2043"/>
                <wp:lineTo x="20587" y="-2919"/>
                <wp:lineTo x="654" y="-29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9205" cy="14097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2072B">
        <w:rPr>
          <w:rFonts w:ascii="Arial" w:hAnsi="Arial" w:cs="Arial"/>
          <w:sz w:val="20"/>
          <w:szCs w:val="20"/>
        </w:rPr>
        <w:t xml:space="preserve">Het internationaal recht regelt de verhouding tussen </w:t>
      </w:r>
      <w:r w:rsidR="00F50065">
        <w:rPr>
          <w:rFonts w:ascii="Arial" w:hAnsi="Arial" w:cs="Arial"/>
          <w:sz w:val="20"/>
          <w:szCs w:val="20"/>
        </w:rPr>
        <w:t xml:space="preserve">staten. Het voorkomt oorlog en faciliteert vrede door onder andere te bepalen welke machthebber geldig aanspraak mag maken op een bepaald </w:t>
      </w:r>
      <w:r w:rsidR="00E62154">
        <w:rPr>
          <w:rFonts w:ascii="Arial" w:hAnsi="Arial" w:cs="Arial"/>
          <w:sz w:val="20"/>
          <w:szCs w:val="20"/>
        </w:rPr>
        <w:t>grondgebied.</w:t>
      </w:r>
      <w:r w:rsidR="00502122">
        <w:rPr>
          <w:rFonts w:ascii="Arial" w:hAnsi="Arial" w:cs="Arial"/>
          <w:sz w:val="20"/>
          <w:szCs w:val="20"/>
        </w:rPr>
        <w:t xml:space="preserve"> </w:t>
      </w:r>
      <w:r w:rsidR="00E62154">
        <w:rPr>
          <w:rFonts w:ascii="Arial" w:hAnsi="Arial" w:cs="Arial"/>
          <w:sz w:val="20"/>
          <w:szCs w:val="20"/>
        </w:rPr>
        <w:t>Eind 19</w:t>
      </w:r>
      <w:r w:rsidR="00E62154" w:rsidRPr="00E62154">
        <w:rPr>
          <w:rFonts w:ascii="Arial" w:hAnsi="Arial" w:cs="Arial"/>
          <w:sz w:val="20"/>
          <w:szCs w:val="20"/>
          <w:vertAlign w:val="superscript"/>
        </w:rPr>
        <w:t>e</w:t>
      </w:r>
      <w:r w:rsidR="00E62154">
        <w:rPr>
          <w:rFonts w:ascii="Arial" w:hAnsi="Arial" w:cs="Arial"/>
          <w:sz w:val="20"/>
          <w:szCs w:val="20"/>
        </w:rPr>
        <w:t xml:space="preserve"> eeuw</w:t>
      </w:r>
      <w:r w:rsidR="006F154E">
        <w:rPr>
          <w:rFonts w:ascii="Arial" w:hAnsi="Arial" w:cs="Arial"/>
          <w:sz w:val="20"/>
          <w:szCs w:val="20"/>
        </w:rPr>
        <w:t xml:space="preserve"> </w:t>
      </w:r>
      <w:r w:rsidR="00502122">
        <w:rPr>
          <w:rFonts w:ascii="Arial" w:hAnsi="Arial" w:cs="Arial"/>
          <w:sz w:val="20"/>
          <w:szCs w:val="20"/>
        </w:rPr>
        <w:t>erkenden de Europese staten vooral elkaar en konden daardoor als gelijkwaardige partijen deelnemen aan het internationaal recht. Andere samenlevingen</w:t>
      </w:r>
      <w:r w:rsidR="00C30FD8">
        <w:rPr>
          <w:rFonts w:ascii="Arial" w:hAnsi="Arial" w:cs="Arial"/>
          <w:sz w:val="20"/>
          <w:szCs w:val="20"/>
        </w:rPr>
        <w:t xml:space="preserve"> daarentegen</w:t>
      </w:r>
      <w:r w:rsidR="00502122">
        <w:rPr>
          <w:rFonts w:ascii="Arial" w:hAnsi="Arial" w:cs="Arial"/>
          <w:sz w:val="20"/>
          <w:szCs w:val="20"/>
        </w:rPr>
        <w:t xml:space="preserve"> – zoals Afrikaanse volkeren – werden voorgesteld als primitief, barbaars en minderwaardig. Ze werden erkend noch behandeld als staten en zo uitgesloten van de toepassing van het internationaal recht. Hun politieke macht werd dan als juridisch onbestaande beschouwd </w:t>
      </w:r>
      <w:r w:rsidR="007821C2">
        <w:rPr>
          <w:rFonts w:ascii="Arial" w:hAnsi="Arial" w:cs="Arial"/>
          <w:sz w:val="20"/>
          <w:szCs w:val="20"/>
        </w:rPr>
        <w:t>en lag dus letterlijk voor het grijpen</w:t>
      </w:r>
      <w:r w:rsidR="00E62154">
        <w:rPr>
          <w:rFonts w:ascii="Arial" w:hAnsi="Arial" w:cs="Arial"/>
          <w:sz w:val="20"/>
          <w:szCs w:val="20"/>
        </w:rPr>
        <w:t>, ongeacht de aanwezigheid van rijke en complex gestructureerde koninkrijken zoals Kongo en Benin.</w:t>
      </w:r>
    </w:p>
    <w:p w14:paraId="4D385149" w14:textId="79EABEDC" w:rsidR="002B204B" w:rsidRPr="00DC2133" w:rsidRDefault="00DC2133" w:rsidP="007837DA">
      <w:pPr>
        <w:jc w:val="both"/>
        <w:rPr>
          <w:rFonts w:ascii="Arial" w:hAnsi="Arial" w:cs="Arial"/>
          <w:b/>
          <w:sz w:val="20"/>
          <w:szCs w:val="20"/>
        </w:rPr>
      </w:pPr>
      <w:r w:rsidRPr="00DC2133">
        <w:rPr>
          <w:rFonts w:ascii="Arial" w:hAnsi="Arial" w:cs="Arial"/>
          <w:b/>
          <w:sz w:val="20"/>
          <w:szCs w:val="20"/>
        </w:rPr>
        <w:t>De koloniale paradox</w:t>
      </w:r>
      <w:r w:rsidR="00E62154" w:rsidRPr="00DC2133">
        <w:rPr>
          <w:rFonts w:ascii="Arial" w:hAnsi="Arial" w:cs="Arial"/>
          <w:b/>
          <w:sz w:val="20"/>
          <w:szCs w:val="20"/>
        </w:rPr>
        <w:t xml:space="preserve">  </w:t>
      </w:r>
    </w:p>
    <w:p w14:paraId="6373F8DE" w14:textId="43174624" w:rsidR="007821C2" w:rsidRPr="00B25294" w:rsidRDefault="007821C2" w:rsidP="007837DA">
      <w:pPr>
        <w:jc w:val="both"/>
        <w:rPr>
          <w:rFonts w:ascii="Arial" w:hAnsi="Arial" w:cs="Arial"/>
          <w:sz w:val="20"/>
          <w:szCs w:val="20"/>
        </w:rPr>
      </w:pPr>
      <w:r>
        <w:rPr>
          <w:rFonts w:ascii="Arial" w:hAnsi="Arial" w:cs="Arial"/>
          <w:sz w:val="20"/>
          <w:szCs w:val="20"/>
        </w:rPr>
        <w:t xml:space="preserve">Deze praktijk van machtserkenning en </w:t>
      </w:r>
      <w:r w:rsidR="002F748B">
        <w:rPr>
          <w:rFonts w:ascii="Arial" w:hAnsi="Arial" w:cs="Arial"/>
          <w:sz w:val="20"/>
          <w:szCs w:val="20"/>
        </w:rPr>
        <w:t>-</w:t>
      </w:r>
      <w:r>
        <w:rPr>
          <w:rFonts w:ascii="Arial" w:hAnsi="Arial" w:cs="Arial"/>
          <w:sz w:val="20"/>
          <w:szCs w:val="20"/>
        </w:rPr>
        <w:t>toe-eigening had evenwel iets paradoxaal</w:t>
      </w:r>
      <w:r w:rsidR="002F748B">
        <w:rPr>
          <w:rFonts w:ascii="Arial" w:hAnsi="Arial" w:cs="Arial"/>
          <w:sz w:val="20"/>
          <w:szCs w:val="20"/>
        </w:rPr>
        <w:t>s</w:t>
      </w:r>
      <w:r>
        <w:rPr>
          <w:rFonts w:ascii="Arial" w:hAnsi="Arial" w:cs="Arial"/>
          <w:sz w:val="20"/>
          <w:szCs w:val="20"/>
        </w:rPr>
        <w:t xml:space="preserve">. Europese staten weigerden </w:t>
      </w:r>
      <w:r w:rsidR="002F748B">
        <w:rPr>
          <w:rFonts w:ascii="Arial" w:hAnsi="Arial" w:cs="Arial"/>
          <w:sz w:val="20"/>
          <w:szCs w:val="20"/>
        </w:rPr>
        <w:t xml:space="preserve">namelijk </w:t>
      </w:r>
      <w:r>
        <w:rPr>
          <w:rFonts w:ascii="Arial" w:hAnsi="Arial" w:cs="Arial"/>
          <w:sz w:val="20"/>
          <w:szCs w:val="20"/>
        </w:rPr>
        <w:t>de feitelijke machthebbers op het Afrikaanse continent te erkennen, behalve als het h</w:t>
      </w:r>
      <w:r w:rsidR="002F748B">
        <w:rPr>
          <w:rFonts w:ascii="Arial" w:hAnsi="Arial" w:cs="Arial"/>
          <w:sz w:val="20"/>
          <w:szCs w:val="20"/>
        </w:rPr>
        <w:t>u</w:t>
      </w:r>
      <w:r>
        <w:rPr>
          <w:rFonts w:ascii="Arial" w:hAnsi="Arial" w:cs="Arial"/>
          <w:sz w:val="20"/>
          <w:szCs w:val="20"/>
        </w:rPr>
        <w:t xml:space="preserve">n uitkwam. </w:t>
      </w:r>
      <w:r w:rsidR="00AB4D0A">
        <w:rPr>
          <w:rFonts w:ascii="Arial" w:hAnsi="Arial" w:cs="Arial"/>
          <w:sz w:val="20"/>
          <w:szCs w:val="20"/>
        </w:rPr>
        <w:t>Ze</w:t>
      </w:r>
      <w:r>
        <w:rPr>
          <w:rFonts w:ascii="Arial" w:hAnsi="Arial" w:cs="Arial"/>
          <w:sz w:val="20"/>
          <w:szCs w:val="20"/>
        </w:rPr>
        <w:t xml:space="preserve"> hadden er </w:t>
      </w:r>
      <w:r w:rsidR="002F748B">
        <w:rPr>
          <w:rFonts w:ascii="Arial" w:hAnsi="Arial" w:cs="Arial"/>
          <w:sz w:val="20"/>
          <w:szCs w:val="20"/>
        </w:rPr>
        <w:t>immers</w:t>
      </w:r>
      <w:r>
        <w:rPr>
          <w:rFonts w:ascii="Arial" w:hAnsi="Arial" w:cs="Arial"/>
          <w:sz w:val="20"/>
          <w:szCs w:val="20"/>
        </w:rPr>
        <w:t xml:space="preserve"> geen enkel probleem mee verdragen te sluiten </w:t>
      </w:r>
      <w:r w:rsidR="00AB4D0A">
        <w:rPr>
          <w:rFonts w:ascii="Arial" w:hAnsi="Arial" w:cs="Arial"/>
          <w:sz w:val="20"/>
          <w:szCs w:val="20"/>
        </w:rPr>
        <w:t>met deze machthebbers waarbij</w:t>
      </w:r>
      <w:r>
        <w:rPr>
          <w:rFonts w:ascii="Arial" w:hAnsi="Arial" w:cs="Arial"/>
          <w:sz w:val="20"/>
          <w:szCs w:val="20"/>
        </w:rPr>
        <w:t xml:space="preserve"> </w:t>
      </w:r>
      <w:r w:rsidR="00C82D89">
        <w:rPr>
          <w:rFonts w:ascii="Arial" w:hAnsi="Arial" w:cs="Arial"/>
          <w:sz w:val="20"/>
          <w:szCs w:val="20"/>
        </w:rPr>
        <w:t>die</w:t>
      </w:r>
      <w:r>
        <w:rPr>
          <w:rFonts w:ascii="Arial" w:hAnsi="Arial" w:cs="Arial"/>
          <w:sz w:val="20"/>
          <w:szCs w:val="20"/>
        </w:rPr>
        <w:t xml:space="preserve"> (niet-erkende) macht </w:t>
      </w:r>
      <w:r w:rsidR="00AB4D0A">
        <w:rPr>
          <w:rFonts w:ascii="Arial" w:hAnsi="Arial" w:cs="Arial"/>
          <w:sz w:val="20"/>
          <w:szCs w:val="20"/>
        </w:rPr>
        <w:t>toch aan</w:t>
      </w:r>
      <w:r w:rsidR="00C82D89">
        <w:rPr>
          <w:rFonts w:ascii="Arial" w:hAnsi="Arial" w:cs="Arial"/>
          <w:sz w:val="20"/>
          <w:szCs w:val="20"/>
        </w:rPr>
        <w:t xml:space="preserve"> hen</w:t>
      </w:r>
      <w:r w:rsidR="00AB4D0A">
        <w:rPr>
          <w:rFonts w:ascii="Arial" w:hAnsi="Arial" w:cs="Arial"/>
          <w:sz w:val="20"/>
          <w:szCs w:val="20"/>
        </w:rPr>
        <w:t xml:space="preserve"> werd overgedragen. Zo konden </w:t>
      </w:r>
      <w:r w:rsidR="00C82D89">
        <w:rPr>
          <w:rFonts w:ascii="Arial" w:hAnsi="Arial" w:cs="Arial"/>
          <w:sz w:val="20"/>
          <w:szCs w:val="20"/>
        </w:rPr>
        <w:t xml:space="preserve">Europese staten </w:t>
      </w:r>
      <w:r w:rsidR="00AB4D0A">
        <w:rPr>
          <w:rFonts w:ascii="Arial" w:hAnsi="Arial" w:cs="Arial"/>
          <w:sz w:val="20"/>
          <w:szCs w:val="20"/>
        </w:rPr>
        <w:t xml:space="preserve">in relatie tot elkaar hun aanspraken op Afrikaanse grondgebieden bedekken met een schijn van legitimiteit. </w:t>
      </w:r>
      <w:r w:rsidR="00AB4D0A" w:rsidRPr="00B25294">
        <w:rPr>
          <w:rFonts w:ascii="Arial" w:hAnsi="Arial" w:cs="Arial"/>
          <w:sz w:val="20"/>
          <w:szCs w:val="20"/>
        </w:rPr>
        <w:t>De hypocrisie hiervan is stuitend en illustreert hoe het internationaal recht zich destijds boog naar de wensen van Europese machthebbers</w:t>
      </w:r>
      <w:r w:rsidR="00B25294">
        <w:rPr>
          <w:rFonts w:ascii="Arial" w:hAnsi="Arial" w:cs="Arial"/>
          <w:sz w:val="20"/>
          <w:szCs w:val="20"/>
        </w:rPr>
        <w:t xml:space="preserve">. </w:t>
      </w:r>
    </w:p>
    <w:p w14:paraId="11A21241" w14:textId="129967B2" w:rsidR="007821C2" w:rsidRPr="006A3CD9" w:rsidRDefault="00C82D89" w:rsidP="007837DA">
      <w:pPr>
        <w:jc w:val="both"/>
        <w:rPr>
          <w:rFonts w:ascii="Arial" w:hAnsi="Arial" w:cs="Arial"/>
          <w:color w:val="FF0000"/>
          <w:sz w:val="20"/>
          <w:szCs w:val="20"/>
        </w:rPr>
      </w:pPr>
      <w:r>
        <w:rPr>
          <w:rFonts w:ascii="Arial" w:hAnsi="Arial" w:cs="Arial"/>
          <w:sz w:val="20"/>
          <w:szCs w:val="20"/>
        </w:rPr>
        <w:t xml:space="preserve">Niemand begreep </w:t>
      </w:r>
      <w:r w:rsidR="00B25294">
        <w:rPr>
          <w:rFonts w:ascii="Arial" w:hAnsi="Arial" w:cs="Arial"/>
          <w:sz w:val="20"/>
          <w:szCs w:val="20"/>
        </w:rPr>
        <w:t xml:space="preserve">de kneedbaarheid van dit recht </w:t>
      </w:r>
      <w:r w:rsidR="00723B51">
        <w:rPr>
          <w:rFonts w:ascii="Arial" w:hAnsi="Arial" w:cs="Arial"/>
          <w:sz w:val="20"/>
          <w:szCs w:val="20"/>
        </w:rPr>
        <w:t xml:space="preserve">zo goed als Leopold II. Die had zijn oog laten vallen op Centraal-Afrika. Door middel van drie door hem opgerichte private organisaties – waar de Belgische staat officieel niets mee te maken had – had Leopold II een door </w:t>
      </w:r>
      <w:r w:rsidR="002F748B">
        <w:rPr>
          <w:rFonts w:ascii="Arial" w:hAnsi="Arial" w:cs="Arial"/>
          <w:sz w:val="20"/>
          <w:szCs w:val="20"/>
        </w:rPr>
        <w:t>grootheidswaanzin</w:t>
      </w:r>
      <w:r w:rsidR="00723B51">
        <w:rPr>
          <w:rFonts w:ascii="Arial" w:hAnsi="Arial" w:cs="Arial"/>
          <w:sz w:val="20"/>
          <w:szCs w:val="20"/>
        </w:rPr>
        <w:t xml:space="preserve"> gestuurde band weten opbouwen met het Congobassin. Zijn eerste organisatie, de </w:t>
      </w:r>
      <w:r w:rsidR="00723B51" w:rsidRPr="00723B51">
        <w:rPr>
          <w:rFonts w:ascii="Arial" w:hAnsi="Arial" w:cs="Arial"/>
          <w:i/>
          <w:iCs/>
          <w:sz w:val="20"/>
          <w:szCs w:val="20"/>
        </w:rPr>
        <w:t>Association Internationale Africaine</w:t>
      </w:r>
      <w:r w:rsidR="00723B51">
        <w:rPr>
          <w:rFonts w:ascii="Arial" w:hAnsi="Arial" w:cs="Arial"/>
          <w:sz w:val="20"/>
          <w:szCs w:val="20"/>
        </w:rPr>
        <w:t xml:space="preserve">, verkende de regio; zijn tweede, de </w:t>
      </w:r>
      <w:r w:rsidR="00723B51" w:rsidRPr="00ED7C75">
        <w:rPr>
          <w:rFonts w:ascii="Arial" w:hAnsi="Arial" w:cs="Arial"/>
          <w:i/>
          <w:iCs/>
          <w:sz w:val="20"/>
          <w:szCs w:val="20"/>
        </w:rPr>
        <w:t>Comité d’Études du Haut-Congo</w:t>
      </w:r>
      <w:r w:rsidR="00723B51">
        <w:rPr>
          <w:rFonts w:ascii="Arial" w:hAnsi="Arial" w:cs="Arial"/>
          <w:sz w:val="20"/>
          <w:szCs w:val="20"/>
        </w:rPr>
        <w:t xml:space="preserve">, had er enkele handelsposten gevestigd; en zijn derde, de </w:t>
      </w:r>
      <w:r w:rsidR="00723B51" w:rsidRPr="00723B51">
        <w:rPr>
          <w:rFonts w:ascii="Arial" w:hAnsi="Arial" w:cs="Arial"/>
          <w:i/>
          <w:iCs/>
          <w:sz w:val="20"/>
          <w:szCs w:val="20"/>
        </w:rPr>
        <w:t>Association International</w:t>
      </w:r>
      <w:r w:rsidR="002F748B">
        <w:rPr>
          <w:rFonts w:ascii="Arial" w:hAnsi="Arial" w:cs="Arial"/>
          <w:i/>
          <w:iCs/>
          <w:sz w:val="20"/>
          <w:szCs w:val="20"/>
        </w:rPr>
        <w:t>e</w:t>
      </w:r>
      <w:r w:rsidR="00723B51" w:rsidRPr="00723B51">
        <w:rPr>
          <w:rFonts w:ascii="Arial" w:hAnsi="Arial" w:cs="Arial"/>
          <w:i/>
          <w:iCs/>
          <w:sz w:val="20"/>
          <w:szCs w:val="20"/>
        </w:rPr>
        <w:t xml:space="preserve"> du Congo</w:t>
      </w:r>
      <w:r w:rsidR="00723B51">
        <w:rPr>
          <w:rFonts w:ascii="Arial" w:hAnsi="Arial" w:cs="Arial"/>
          <w:sz w:val="20"/>
          <w:szCs w:val="20"/>
        </w:rPr>
        <w:t>, had met lokale volkeren verdragen gesloten om het grondgebied te verwerven.</w:t>
      </w:r>
      <w:r w:rsidR="00844C69">
        <w:rPr>
          <w:rFonts w:ascii="Arial" w:hAnsi="Arial" w:cs="Arial"/>
          <w:sz w:val="20"/>
          <w:szCs w:val="20"/>
        </w:rPr>
        <w:t xml:space="preserve"> </w:t>
      </w:r>
    </w:p>
    <w:p w14:paraId="651A9DA9" w14:textId="2C575EAE" w:rsidR="00D36E9A" w:rsidRPr="00D36E9A" w:rsidRDefault="00B25294" w:rsidP="007837DA">
      <w:pPr>
        <w:jc w:val="both"/>
        <w:rPr>
          <w:rFonts w:ascii="Arial" w:hAnsi="Arial" w:cs="Arial"/>
          <w:sz w:val="20"/>
          <w:szCs w:val="20"/>
        </w:rPr>
      </w:pPr>
      <w:r>
        <w:rPr>
          <w:rFonts w:ascii="Arial" w:hAnsi="Arial" w:cs="Arial"/>
          <w:sz w:val="20"/>
          <w:szCs w:val="20"/>
        </w:rPr>
        <w:t xml:space="preserve">Er was echter één probleem met de verdragen tussen de </w:t>
      </w:r>
      <w:r w:rsidRPr="00B25294">
        <w:rPr>
          <w:rFonts w:ascii="Arial" w:hAnsi="Arial" w:cs="Arial"/>
          <w:i/>
          <w:iCs/>
          <w:sz w:val="20"/>
          <w:szCs w:val="20"/>
        </w:rPr>
        <w:t>Association Internationale du Congo</w:t>
      </w:r>
      <w:r>
        <w:rPr>
          <w:rFonts w:ascii="Arial" w:hAnsi="Arial" w:cs="Arial"/>
          <w:sz w:val="20"/>
          <w:szCs w:val="20"/>
        </w:rPr>
        <w:t xml:space="preserve"> en de lokale volkeren. Volgens internationaal recht konden alleen staten het gezag over grondgebied verwerven door middel van verdragen met de plaatselijke bevolking. De </w:t>
      </w:r>
      <w:r w:rsidRPr="00B25294">
        <w:rPr>
          <w:rFonts w:ascii="Arial" w:hAnsi="Arial" w:cs="Arial"/>
          <w:i/>
          <w:iCs/>
          <w:sz w:val="20"/>
          <w:szCs w:val="20"/>
        </w:rPr>
        <w:t xml:space="preserve">Association </w:t>
      </w:r>
      <w:r>
        <w:rPr>
          <w:rFonts w:ascii="Arial" w:hAnsi="Arial" w:cs="Arial"/>
          <w:sz w:val="20"/>
          <w:szCs w:val="20"/>
        </w:rPr>
        <w:t>was natuurlijk geen staat</w:t>
      </w:r>
      <w:r w:rsidR="002F748B">
        <w:rPr>
          <w:rFonts w:ascii="Arial" w:hAnsi="Arial" w:cs="Arial"/>
          <w:sz w:val="20"/>
          <w:szCs w:val="20"/>
        </w:rPr>
        <w:t>,</w:t>
      </w:r>
      <w:r>
        <w:rPr>
          <w:rFonts w:ascii="Arial" w:hAnsi="Arial" w:cs="Arial"/>
          <w:sz w:val="20"/>
          <w:szCs w:val="20"/>
        </w:rPr>
        <w:t xml:space="preserve"> maar een private organisatie. </w:t>
      </w:r>
      <w:r w:rsidR="009D018C">
        <w:rPr>
          <w:rFonts w:ascii="Arial" w:hAnsi="Arial" w:cs="Arial"/>
          <w:sz w:val="20"/>
          <w:szCs w:val="20"/>
        </w:rPr>
        <w:t xml:space="preserve">Bijgevolg hadden deze verdragen geen betekenis mogen hebben onder internationaal recht. </w:t>
      </w:r>
    </w:p>
    <w:p w14:paraId="4E92C068" w14:textId="153E4FFA" w:rsidR="00D36E9A" w:rsidRPr="00D36E9A" w:rsidRDefault="00844C69" w:rsidP="007837DA">
      <w:pPr>
        <w:jc w:val="both"/>
        <w:rPr>
          <w:rFonts w:ascii="Arial" w:hAnsi="Arial" w:cs="Arial"/>
          <w:b/>
          <w:sz w:val="20"/>
          <w:szCs w:val="20"/>
        </w:rPr>
      </w:pPr>
      <w:r w:rsidRPr="002B204B">
        <w:rPr>
          <w:rFonts w:ascii="Arial" w:hAnsi="Arial" w:cs="Arial"/>
          <w:b/>
          <w:sz w:val="20"/>
          <w:szCs w:val="20"/>
        </w:rPr>
        <w:t>Meestermanipulator</w:t>
      </w:r>
    </w:p>
    <w:p w14:paraId="4F2B6875" w14:textId="62520FB8" w:rsidR="002B204B" w:rsidRDefault="009D018C" w:rsidP="007837DA">
      <w:pPr>
        <w:jc w:val="both"/>
        <w:rPr>
          <w:rFonts w:ascii="Arial" w:hAnsi="Arial" w:cs="Arial"/>
          <w:sz w:val="20"/>
          <w:szCs w:val="20"/>
        </w:rPr>
      </w:pPr>
      <w:r>
        <w:rPr>
          <w:rFonts w:ascii="Arial" w:hAnsi="Arial" w:cs="Arial"/>
          <w:sz w:val="20"/>
          <w:szCs w:val="20"/>
        </w:rPr>
        <w:t xml:space="preserve">Dankzij de buigzaamheid van dat internationaal recht kon Leopold II dit probleem vrij snel verhelpen. </w:t>
      </w:r>
      <w:r w:rsidR="00503113">
        <w:rPr>
          <w:rFonts w:ascii="Arial" w:hAnsi="Arial" w:cs="Arial"/>
          <w:sz w:val="20"/>
          <w:szCs w:val="20"/>
        </w:rPr>
        <w:t>Hij</w:t>
      </w:r>
      <w:r>
        <w:rPr>
          <w:rFonts w:ascii="Arial" w:hAnsi="Arial" w:cs="Arial"/>
          <w:sz w:val="20"/>
          <w:szCs w:val="20"/>
        </w:rPr>
        <w:t xml:space="preserve"> zette het geld, het prestige en de connecties in die hij ontleende aan het Belgische koningschap om het internationaal recht naar zijn hand te zetten. Een leger aan bevriende diplomaten begon aan een stevige onderhandelingsronde om </w:t>
      </w:r>
      <w:r w:rsidR="00503113">
        <w:rPr>
          <w:rFonts w:ascii="Arial" w:hAnsi="Arial" w:cs="Arial"/>
          <w:sz w:val="20"/>
          <w:szCs w:val="20"/>
        </w:rPr>
        <w:t>zijn</w:t>
      </w:r>
      <w:r w:rsidR="00BB359C">
        <w:rPr>
          <w:rFonts w:ascii="Arial" w:hAnsi="Arial" w:cs="Arial"/>
          <w:sz w:val="20"/>
          <w:szCs w:val="20"/>
        </w:rPr>
        <w:t xml:space="preserve"> </w:t>
      </w:r>
      <w:r w:rsidRPr="009D018C">
        <w:rPr>
          <w:rFonts w:ascii="Arial" w:hAnsi="Arial" w:cs="Arial"/>
          <w:i/>
          <w:iCs/>
          <w:sz w:val="20"/>
          <w:szCs w:val="20"/>
        </w:rPr>
        <w:t>Association</w:t>
      </w:r>
      <w:r>
        <w:rPr>
          <w:rFonts w:ascii="Arial" w:hAnsi="Arial" w:cs="Arial"/>
          <w:sz w:val="20"/>
          <w:szCs w:val="20"/>
        </w:rPr>
        <w:t xml:space="preserve"> erkend te zien als staat. </w:t>
      </w:r>
      <w:r w:rsidR="00C30FD8">
        <w:rPr>
          <w:rFonts w:ascii="Arial" w:hAnsi="Arial" w:cs="Arial"/>
          <w:sz w:val="20"/>
          <w:szCs w:val="20"/>
        </w:rPr>
        <w:t>Indien andere, reeds bestaande staten de</w:t>
      </w:r>
      <w:r w:rsidR="00C30FD8" w:rsidRPr="00C30FD8">
        <w:rPr>
          <w:rFonts w:ascii="Arial" w:hAnsi="Arial" w:cs="Arial"/>
          <w:i/>
          <w:iCs/>
          <w:sz w:val="20"/>
          <w:szCs w:val="20"/>
        </w:rPr>
        <w:t xml:space="preserve"> Association</w:t>
      </w:r>
      <w:r w:rsidR="00C30FD8">
        <w:rPr>
          <w:rFonts w:ascii="Arial" w:hAnsi="Arial" w:cs="Arial"/>
          <w:sz w:val="20"/>
          <w:szCs w:val="20"/>
        </w:rPr>
        <w:t xml:space="preserve"> zouden erkennen als staat, zouden de verdragen die het had afgesloten met lokale volkeren </w:t>
      </w:r>
      <w:r w:rsidR="00BB359C">
        <w:rPr>
          <w:rFonts w:ascii="Arial" w:hAnsi="Arial" w:cs="Arial"/>
          <w:sz w:val="20"/>
          <w:szCs w:val="20"/>
        </w:rPr>
        <w:t xml:space="preserve">haar </w:t>
      </w:r>
      <w:r w:rsidR="00C30FD8">
        <w:rPr>
          <w:rFonts w:ascii="Arial" w:hAnsi="Arial" w:cs="Arial"/>
          <w:sz w:val="20"/>
          <w:szCs w:val="20"/>
        </w:rPr>
        <w:t>onder inte</w:t>
      </w:r>
      <w:bookmarkStart w:id="0" w:name="_GoBack"/>
      <w:bookmarkEnd w:id="0"/>
      <w:r w:rsidR="00C30FD8">
        <w:rPr>
          <w:rFonts w:ascii="Arial" w:hAnsi="Arial" w:cs="Arial"/>
          <w:sz w:val="20"/>
          <w:szCs w:val="20"/>
        </w:rPr>
        <w:t xml:space="preserve">rnationaal recht de heerschappij geven over </w:t>
      </w:r>
      <w:r w:rsidR="00553E6B">
        <w:rPr>
          <w:rFonts w:ascii="Arial" w:hAnsi="Arial" w:cs="Arial"/>
          <w:sz w:val="20"/>
          <w:szCs w:val="20"/>
        </w:rPr>
        <w:t>een gebied 77 keer zo groot als</w:t>
      </w:r>
      <w:r w:rsidR="002B204B">
        <w:rPr>
          <w:rFonts w:ascii="Arial" w:hAnsi="Arial" w:cs="Arial"/>
          <w:sz w:val="20"/>
          <w:szCs w:val="20"/>
        </w:rPr>
        <w:t xml:space="preserve"> </w:t>
      </w:r>
      <w:r w:rsidR="00553E6B">
        <w:rPr>
          <w:rFonts w:ascii="Arial" w:hAnsi="Arial" w:cs="Arial"/>
          <w:sz w:val="20"/>
          <w:szCs w:val="20"/>
        </w:rPr>
        <w:t>B</w:t>
      </w:r>
      <w:r w:rsidR="00D36E9A">
        <w:rPr>
          <w:rFonts w:ascii="Arial" w:hAnsi="Arial" w:cs="Arial"/>
          <w:sz w:val="20"/>
          <w:szCs w:val="20"/>
        </w:rPr>
        <w:t>e</w:t>
      </w:r>
      <w:r w:rsidR="00553E6B">
        <w:rPr>
          <w:rFonts w:ascii="Arial" w:hAnsi="Arial" w:cs="Arial"/>
          <w:sz w:val="20"/>
          <w:szCs w:val="20"/>
        </w:rPr>
        <w:t>lgië</w:t>
      </w:r>
      <w:r w:rsidR="002B204B">
        <w:rPr>
          <w:rFonts w:ascii="Arial" w:hAnsi="Arial" w:cs="Arial"/>
          <w:sz w:val="20"/>
          <w:szCs w:val="20"/>
        </w:rPr>
        <w:t>.</w:t>
      </w:r>
    </w:p>
    <w:p w14:paraId="69181EB5" w14:textId="27FE879A" w:rsidR="002B204B" w:rsidRDefault="00703424" w:rsidP="007837DA">
      <w:pPr>
        <w:jc w:val="both"/>
        <w:rPr>
          <w:rFonts w:ascii="Arial" w:hAnsi="Arial" w:cs="Arial"/>
          <w:sz w:val="20"/>
          <w:szCs w:val="20"/>
        </w:rPr>
      </w:pPr>
      <w:r w:rsidRPr="005271F1">
        <w:rPr>
          <w:noProof/>
        </w:rPr>
        <w:lastRenderedPageBreak/>
        <w:drawing>
          <wp:anchor distT="0" distB="0" distL="114300" distR="114300" simplePos="0" relativeHeight="251660288" behindDoc="1" locked="0" layoutInCell="1" allowOverlap="1" wp14:anchorId="01C363BF" wp14:editId="45B901B3">
            <wp:simplePos x="0" y="0"/>
            <wp:positionH relativeFrom="margin">
              <wp:align>center</wp:align>
            </wp:positionH>
            <wp:positionV relativeFrom="paragraph">
              <wp:posOffset>190500</wp:posOffset>
            </wp:positionV>
            <wp:extent cx="2019300" cy="1327785"/>
            <wp:effectExtent l="190500" t="190500" r="190500" b="196215"/>
            <wp:wrapTight wrapText="bothSides">
              <wp:wrapPolygon edited="0">
                <wp:start x="408" y="-3099"/>
                <wp:lineTo x="-2038" y="-2479"/>
                <wp:lineTo x="-2038" y="17354"/>
                <wp:lineTo x="-1630" y="22313"/>
                <wp:lineTo x="204" y="23862"/>
                <wp:lineTo x="408" y="24482"/>
                <wp:lineTo x="20989" y="24482"/>
                <wp:lineTo x="21192" y="23862"/>
                <wp:lineTo x="23026" y="22313"/>
                <wp:lineTo x="23434" y="17354"/>
                <wp:lineTo x="23434" y="2479"/>
                <wp:lineTo x="21192" y="-2169"/>
                <wp:lineTo x="20989" y="-3099"/>
                <wp:lineTo x="408" y="-309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32778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1C0AD803" w14:textId="0509566A" w:rsidR="002B204B" w:rsidRDefault="002B204B" w:rsidP="007837DA">
      <w:pPr>
        <w:jc w:val="both"/>
        <w:rPr>
          <w:rFonts w:ascii="Arial" w:hAnsi="Arial" w:cs="Arial"/>
          <w:sz w:val="20"/>
          <w:szCs w:val="20"/>
        </w:rPr>
      </w:pPr>
    </w:p>
    <w:p w14:paraId="14EFBFA8" w14:textId="5AF8CAC0" w:rsidR="002B204B" w:rsidRDefault="002B204B" w:rsidP="007837DA">
      <w:pPr>
        <w:jc w:val="both"/>
        <w:rPr>
          <w:rFonts w:ascii="Arial" w:hAnsi="Arial" w:cs="Arial"/>
          <w:sz w:val="20"/>
          <w:szCs w:val="20"/>
        </w:rPr>
      </w:pPr>
    </w:p>
    <w:p w14:paraId="07B06BEC" w14:textId="190A5204" w:rsidR="002B204B" w:rsidRDefault="002B204B" w:rsidP="007837DA">
      <w:pPr>
        <w:jc w:val="both"/>
        <w:rPr>
          <w:rFonts w:ascii="Arial" w:hAnsi="Arial" w:cs="Arial"/>
          <w:sz w:val="20"/>
          <w:szCs w:val="20"/>
        </w:rPr>
      </w:pPr>
    </w:p>
    <w:p w14:paraId="728D0528" w14:textId="1E6C4EB3" w:rsidR="002B204B" w:rsidRDefault="002B204B" w:rsidP="007837DA">
      <w:pPr>
        <w:jc w:val="both"/>
        <w:rPr>
          <w:rFonts w:ascii="Arial" w:hAnsi="Arial" w:cs="Arial"/>
          <w:sz w:val="20"/>
          <w:szCs w:val="20"/>
        </w:rPr>
      </w:pPr>
    </w:p>
    <w:p w14:paraId="094766FA" w14:textId="77777777" w:rsidR="002B204B" w:rsidRDefault="002B204B" w:rsidP="007837DA">
      <w:pPr>
        <w:jc w:val="both"/>
        <w:rPr>
          <w:rFonts w:ascii="Arial" w:hAnsi="Arial" w:cs="Arial"/>
          <w:sz w:val="20"/>
          <w:szCs w:val="20"/>
        </w:rPr>
      </w:pPr>
    </w:p>
    <w:p w14:paraId="677C4D61" w14:textId="77777777" w:rsidR="002B204B" w:rsidRDefault="002B204B" w:rsidP="007837DA">
      <w:pPr>
        <w:jc w:val="both"/>
        <w:rPr>
          <w:rFonts w:ascii="Arial" w:hAnsi="Arial" w:cs="Arial"/>
          <w:sz w:val="20"/>
          <w:szCs w:val="20"/>
        </w:rPr>
      </w:pPr>
    </w:p>
    <w:p w14:paraId="0363CD71" w14:textId="57C00EBB" w:rsidR="00D36E9A" w:rsidRDefault="00C0524E" w:rsidP="000A5F4A">
      <w:pPr>
        <w:jc w:val="both"/>
        <w:rPr>
          <w:rFonts w:ascii="Arial" w:hAnsi="Arial" w:cs="Arial"/>
          <w:sz w:val="20"/>
          <w:szCs w:val="20"/>
        </w:rPr>
      </w:pPr>
      <w:r>
        <w:rPr>
          <w:rFonts w:ascii="Arial" w:hAnsi="Arial" w:cs="Arial"/>
          <w:sz w:val="20"/>
          <w:szCs w:val="20"/>
        </w:rPr>
        <w:t xml:space="preserve">De eerste die overstag gingen, waren de Verenigde Staten, Frankrijk en Duitsland. Alle andere Europese staten volgden op de Conferentie van Berlijn – </w:t>
      </w:r>
      <w:r w:rsidRPr="008611F8">
        <w:rPr>
          <w:rFonts w:ascii="Arial" w:hAnsi="Arial" w:cs="Arial"/>
          <w:sz w:val="20"/>
          <w:szCs w:val="20"/>
        </w:rPr>
        <w:t>een internationale conferentie van november 1884 tot februari 1885 waar Europese staten de verdeling van Afrika onderhandelden</w:t>
      </w:r>
      <w:r w:rsidR="005271F1">
        <w:rPr>
          <w:rFonts w:ascii="Arial" w:hAnsi="Arial" w:cs="Arial"/>
          <w:sz w:val="20"/>
          <w:szCs w:val="20"/>
        </w:rPr>
        <w:t xml:space="preserve"> (zie afbeelding)</w:t>
      </w:r>
      <w:r w:rsidRPr="008611F8">
        <w:rPr>
          <w:rFonts w:ascii="Arial" w:hAnsi="Arial" w:cs="Arial"/>
          <w:sz w:val="20"/>
          <w:szCs w:val="20"/>
        </w:rPr>
        <w:t>.</w:t>
      </w:r>
      <w:r>
        <w:rPr>
          <w:rFonts w:ascii="Arial" w:hAnsi="Arial" w:cs="Arial"/>
          <w:sz w:val="20"/>
          <w:szCs w:val="20"/>
        </w:rPr>
        <w:t xml:space="preserve"> Het aanbod</w:t>
      </w:r>
      <w:r w:rsidR="00ED7C75">
        <w:rPr>
          <w:rFonts w:ascii="Arial" w:hAnsi="Arial" w:cs="Arial"/>
          <w:sz w:val="20"/>
          <w:szCs w:val="20"/>
        </w:rPr>
        <w:t xml:space="preserve"> dat Leopolds gezanten in de onderhandelingen hadden gedaan, verklaart de gretigheid waarmee </w:t>
      </w:r>
      <w:r w:rsidR="002F748B">
        <w:rPr>
          <w:rFonts w:ascii="Arial" w:hAnsi="Arial" w:cs="Arial"/>
          <w:sz w:val="20"/>
          <w:szCs w:val="20"/>
        </w:rPr>
        <w:t>Europese staten</w:t>
      </w:r>
      <w:r w:rsidR="00ED7C75">
        <w:rPr>
          <w:rFonts w:ascii="Arial" w:hAnsi="Arial" w:cs="Arial"/>
          <w:sz w:val="20"/>
          <w:szCs w:val="20"/>
        </w:rPr>
        <w:t xml:space="preserve"> bereid waren een private organisatie als staat te erkennen. Leopold beloofde namelijk in ruil voor die noodzakelijke erkenning dat alle staten vrij handel mochten drijven binnen de grenzen van wat zijn nieuwe staat zou uitmaken (eens erkend), vandaar ‘Kongo-</w:t>
      </w:r>
      <w:r w:rsidR="00ED7C75" w:rsidRPr="002F748B">
        <w:rPr>
          <w:rFonts w:ascii="Arial" w:hAnsi="Arial" w:cs="Arial"/>
          <w:i/>
          <w:sz w:val="20"/>
          <w:szCs w:val="20"/>
        </w:rPr>
        <w:t>Vrijstaat</w:t>
      </w:r>
      <w:r w:rsidR="00ED7C75">
        <w:rPr>
          <w:rFonts w:ascii="Arial" w:hAnsi="Arial" w:cs="Arial"/>
          <w:sz w:val="20"/>
          <w:szCs w:val="20"/>
        </w:rPr>
        <w:t xml:space="preserve">’. Op die manier konden alle Europese staten meegenieten van de </w:t>
      </w:r>
      <w:r w:rsidR="000A5F4A">
        <w:rPr>
          <w:rFonts w:ascii="Arial" w:hAnsi="Arial" w:cs="Arial"/>
          <w:sz w:val="20"/>
          <w:szCs w:val="20"/>
        </w:rPr>
        <w:t xml:space="preserve">economische </w:t>
      </w:r>
      <w:r w:rsidR="00ED7C75">
        <w:rPr>
          <w:rFonts w:ascii="Arial" w:hAnsi="Arial" w:cs="Arial"/>
          <w:sz w:val="20"/>
          <w:szCs w:val="20"/>
        </w:rPr>
        <w:t xml:space="preserve">voordelen van kolonisatie zonder er de financiële en administratieve lasten van te moeten dragen. Een gouden kans dus. </w:t>
      </w:r>
      <w:r w:rsidR="000A5F4A">
        <w:rPr>
          <w:rFonts w:ascii="Arial" w:hAnsi="Arial" w:cs="Arial"/>
          <w:sz w:val="20"/>
          <w:szCs w:val="20"/>
        </w:rPr>
        <w:t>En zo geschiedde.</w:t>
      </w:r>
    </w:p>
    <w:p w14:paraId="268EB13E" w14:textId="708D10BE" w:rsidR="00D36E9A" w:rsidRPr="00D72154" w:rsidRDefault="00B34B5E" w:rsidP="000A5F4A">
      <w:pPr>
        <w:jc w:val="both"/>
        <w:rPr>
          <w:rFonts w:ascii="Arial" w:hAnsi="Arial" w:cs="Arial"/>
          <w:b/>
          <w:sz w:val="20"/>
          <w:szCs w:val="20"/>
        </w:rPr>
      </w:pPr>
      <w:r w:rsidRPr="000227F4">
        <w:rPr>
          <w:noProof/>
        </w:rPr>
        <w:drawing>
          <wp:anchor distT="0" distB="0" distL="114300" distR="114300" simplePos="0" relativeHeight="251659264" behindDoc="1" locked="0" layoutInCell="1" allowOverlap="1" wp14:anchorId="118D4989" wp14:editId="5441FA09">
            <wp:simplePos x="0" y="0"/>
            <wp:positionH relativeFrom="margin">
              <wp:posOffset>4822825</wp:posOffset>
            </wp:positionH>
            <wp:positionV relativeFrom="paragraph">
              <wp:posOffset>78740</wp:posOffset>
            </wp:positionV>
            <wp:extent cx="1173480" cy="1530350"/>
            <wp:effectExtent l="190500" t="190500" r="182880" b="184150"/>
            <wp:wrapTight wrapText="bothSides">
              <wp:wrapPolygon edited="0">
                <wp:start x="692" y="-2689"/>
                <wp:lineTo x="-3462" y="-2151"/>
                <wp:lineTo x="-3462" y="20704"/>
                <wp:lineTo x="692" y="23930"/>
                <wp:lineTo x="20423" y="23930"/>
                <wp:lineTo x="20769" y="23393"/>
                <wp:lineTo x="24577" y="19628"/>
                <wp:lineTo x="24577" y="2151"/>
                <wp:lineTo x="20769" y="-1882"/>
                <wp:lineTo x="20423" y="-2689"/>
                <wp:lineTo x="692" y="-26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15303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36E9A">
        <w:rPr>
          <w:rFonts w:ascii="Arial" w:hAnsi="Arial" w:cs="Arial"/>
          <w:b/>
          <w:sz w:val="20"/>
          <w:szCs w:val="20"/>
        </w:rPr>
        <w:t>De verstikkende greep van de macht</w:t>
      </w:r>
    </w:p>
    <w:p w14:paraId="79F1E7F6" w14:textId="6F89246A" w:rsidR="000A5F4A" w:rsidRPr="00844C69" w:rsidRDefault="000A5F4A" w:rsidP="000A5F4A">
      <w:pPr>
        <w:jc w:val="both"/>
        <w:rPr>
          <w:rFonts w:ascii="Arial" w:hAnsi="Arial" w:cs="Arial"/>
          <w:sz w:val="20"/>
          <w:szCs w:val="20"/>
        </w:rPr>
      </w:pPr>
      <w:r>
        <w:rPr>
          <w:rFonts w:ascii="Arial" w:hAnsi="Arial" w:cs="Arial"/>
          <w:sz w:val="20"/>
          <w:szCs w:val="20"/>
        </w:rPr>
        <w:t xml:space="preserve">Het internationaal recht van die tijd vertoonde dus </w:t>
      </w:r>
      <w:r w:rsidR="00D72154">
        <w:rPr>
          <w:rFonts w:ascii="Arial" w:hAnsi="Arial" w:cs="Arial"/>
          <w:sz w:val="20"/>
          <w:szCs w:val="20"/>
        </w:rPr>
        <w:t>f</w:t>
      </w:r>
      <w:r w:rsidR="007318A3">
        <w:rPr>
          <w:rFonts w:ascii="Arial" w:hAnsi="Arial" w:cs="Arial"/>
          <w:sz w:val="20"/>
          <w:szCs w:val="20"/>
        </w:rPr>
        <w:t>undamentele gebreken:</w:t>
      </w:r>
      <w:r>
        <w:rPr>
          <w:rFonts w:ascii="Arial" w:hAnsi="Arial" w:cs="Arial"/>
          <w:sz w:val="20"/>
          <w:szCs w:val="20"/>
        </w:rPr>
        <w:t xml:space="preserve"> </w:t>
      </w:r>
      <w:r w:rsidR="007318A3">
        <w:rPr>
          <w:rFonts w:ascii="Arial" w:hAnsi="Arial" w:cs="Arial"/>
          <w:sz w:val="20"/>
          <w:szCs w:val="20"/>
        </w:rPr>
        <w:t>h</w:t>
      </w:r>
      <w:r>
        <w:rPr>
          <w:rFonts w:ascii="Arial" w:hAnsi="Arial" w:cs="Arial"/>
          <w:sz w:val="20"/>
          <w:szCs w:val="20"/>
        </w:rPr>
        <w:t>et bood niet de neutraliteit en objectiviteit die we van het recht mogen verwachten</w:t>
      </w:r>
      <w:r w:rsidR="007318A3">
        <w:rPr>
          <w:rFonts w:ascii="Arial" w:hAnsi="Arial" w:cs="Arial"/>
          <w:sz w:val="20"/>
          <w:szCs w:val="20"/>
        </w:rPr>
        <w:t xml:space="preserve">; het diende de belangen van zij die de militaire macht hadden om het vorm te geven, met name de Europese kolonisatoren; en het was bovendien te koop, met Leopold II als hoogste bieder. De combinatie van deze gebreken liet Leopold toe om een staat als privébezit te verwerven en </w:t>
      </w:r>
      <w:r w:rsidR="00D72154">
        <w:rPr>
          <w:rFonts w:ascii="Arial" w:hAnsi="Arial" w:cs="Arial"/>
          <w:sz w:val="20"/>
          <w:szCs w:val="20"/>
        </w:rPr>
        <w:t xml:space="preserve">op tirannieke wijze </w:t>
      </w:r>
      <w:r w:rsidR="007318A3">
        <w:rPr>
          <w:rFonts w:ascii="Arial" w:hAnsi="Arial" w:cs="Arial"/>
          <w:sz w:val="20"/>
          <w:szCs w:val="20"/>
        </w:rPr>
        <w:t xml:space="preserve">uit te buiten. De gekoloniseerde volkeren in Kongo-Vrijstaat werden op brutale wijze onderdrukt door een vorst die de </w:t>
      </w:r>
      <w:r w:rsidR="00844C69" w:rsidRPr="00844C69">
        <w:rPr>
          <w:rFonts w:ascii="Arial" w:hAnsi="Arial" w:cs="Arial"/>
          <w:iCs/>
          <w:sz w:val="20"/>
          <w:szCs w:val="20"/>
        </w:rPr>
        <w:t>grondwettelijke beperkingen aan zijn macht had</w:t>
      </w:r>
      <w:r w:rsidR="00DC2133">
        <w:rPr>
          <w:rFonts w:ascii="Arial" w:hAnsi="Arial" w:cs="Arial"/>
          <w:iCs/>
          <w:sz w:val="20"/>
          <w:szCs w:val="20"/>
        </w:rPr>
        <w:t xml:space="preserve"> weten</w:t>
      </w:r>
      <w:r w:rsidR="00844C69" w:rsidRPr="00844C69">
        <w:rPr>
          <w:rFonts w:ascii="Arial" w:hAnsi="Arial" w:cs="Arial"/>
          <w:iCs/>
          <w:sz w:val="20"/>
          <w:szCs w:val="20"/>
        </w:rPr>
        <w:t xml:space="preserve"> omzeil</w:t>
      </w:r>
      <w:r w:rsidR="00DC2133">
        <w:rPr>
          <w:rFonts w:ascii="Arial" w:hAnsi="Arial" w:cs="Arial"/>
          <w:iCs/>
          <w:sz w:val="20"/>
          <w:szCs w:val="20"/>
        </w:rPr>
        <w:t>en</w:t>
      </w:r>
      <w:r w:rsidR="00844C69" w:rsidRPr="00844C69">
        <w:rPr>
          <w:rFonts w:ascii="Arial" w:hAnsi="Arial" w:cs="Arial"/>
          <w:iCs/>
          <w:sz w:val="20"/>
          <w:szCs w:val="20"/>
        </w:rPr>
        <w:t>.</w:t>
      </w:r>
      <w:r w:rsidR="007B4D24" w:rsidRPr="00844C69">
        <w:rPr>
          <w:rFonts w:ascii="Arial" w:hAnsi="Arial" w:cs="Arial"/>
          <w:sz w:val="20"/>
          <w:szCs w:val="20"/>
        </w:rPr>
        <w:t xml:space="preserve"> </w:t>
      </w:r>
    </w:p>
    <w:p w14:paraId="4961B0B5" w14:textId="2FEA2432" w:rsidR="000A5F4A" w:rsidRDefault="000A5F4A" w:rsidP="000A5F4A">
      <w:pPr>
        <w:jc w:val="both"/>
        <w:rPr>
          <w:rFonts w:ascii="Arial" w:hAnsi="Arial" w:cs="Arial"/>
          <w:sz w:val="20"/>
          <w:szCs w:val="20"/>
        </w:rPr>
      </w:pPr>
      <w:r>
        <w:rPr>
          <w:rFonts w:ascii="Arial" w:hAnsi="Arial" w:cs="Arial"/>
          <w:sz w:val="20"/>
          <w:szCs w:val="20"/>
        </w:rPr>
        <w:t xml:space="preserve">Heel dit tijdperk leert ons dat het recht een instrument is zoals een ander. Het recht is een maatschappelijke creatie </w:t>
      </w:r>
      <w:r w:rsidR="00541C06">
        <w:rPr>
          <w:rFonts w:ascii="Arial" w:hAnsi="Arial" w:cs="Arial"/>
          <w:sz w:val="20"/>
          <w:szCs w:val="20"/>
        </w:rPr>
        <w:t>die</w:t>
      </w:r>
      <w:r>
        <w:rPr>
          <w:rFonts w:ascii="Arial" w:hAnsi="Arial" w:cs="Arial"/>
          <w:sz w:val="20"/>
          <w:szCs w:val="20"/>
        </w:rPr>
        <w:t xml:space="preserve"> van nature uit goed noch slecht is. Het krijgt pas een gelaat wanneer de menselijke intenties erachter zich manifesteren. En het recht in de koloniale periode heeft er één van een ongekende hebzucht en gruwelijkheid: dat van Leopold II. </w:t>
      </w:r>
    </w:p>
    <w:p w14:paraId="09B25E0A" w14:textId="232A6C08" w:rsidR="000A5F4A" w:rsidRDefault="000A5F4A" w:rsidP="007837DA">
      <w:pPr>
        <w:jc w:val="both"/>
        <w:rPr>
          <w:rFonts w:ascii="Arial" w:hAnsi="Arial" w:cs="Arial"/>
          <w:sz w:val="20"/>
          <w:szCs w:val="20"/>
        </w:rPr>
      </w:pPr>
    </w:p>
    <w:p w14:paraId="411739BF" w14:textId="56D0493A" w:rsidR="000A5F4A" w:rsidRDefault="000A5F4A" w:rsidP="007837DA">
      <w:pPr>
        <w:jc w:val="both"/>
        <w:rPr>
          <w:rFonts w:ascii="Arial" w:hAnsi="Arial" w:cs="Arial"/>
          <w:sz w:val="20"/>
          <w:szCs w:val="20"/>
        </w:rPr>
      </w:pPr>
    </w:p>
    <w:p w14:paraId="2F900CAF" w14:textId="401E9385" w:rsidR="00ED7C75" w:rsidRDefault="00ED7C75" w:rsidP="007837DA">
      <w:pPr>
        <w:jc w:val="both"/>
        <w:rPr>
          <w:rFonts w:ascii="Arial" w:hAnsi="Arial" w:cs="Arial"/>
          <w:sz w:val="20"/>
          <w:szCs w:val="20"/>
        </w:rPr>
      </w:pPr>
    </w:p>
    <w:p w14:paraId="7E7C4CA2" w14:textId="327535C3" w:rsidR="00C0524E" w:rsidRDefault="00C0524E" w:rsidP="007837DA">
      <w:pPr>
        <w:jc w:val="both"/>
        <w:rPr>
          <w:rFonts w:ascii="Arial" w:hAnsi="Arial" w:cs="Arial"/>
          <w:sz w:val="20"/>
          <w:szCs w:val="20"/>
        </w:rPr>
      </w:pPr>
    </w:p>
    <w:p w14:paraId="49A06D58" w14:textId="5A12E868" w:rsidR="00C0524E" w:rsidRDefault="00C0524E" w:rsidP="007837DA">
      <w:pPr>
        <w:jc w:val="both"/>
        <w:rPr>
          <w:rFonts w:ascii="Arial" w:hAnsi="Arial" w:cs="Arial"/>
          <w:sz w:val="20"/>
          <w:szCs w:val="20"/>
        </w:rPr>
      </w:pPr>
    </w:p>
    <w:p w14:paraId="64F54A5B" w14:textId="31327F6B" w:rsidR="00C0524E" w:rsidRDefault="00C0524E" w:rsidP="007837DA">
      <w:pPr>
        <w:jc w:val="both"/>
        <w:rPr>
          <w:rFonts w:ascii="Arial" w:hAnsi="Arial" w:cs="Arial"/>
          <w:sz w:val="20"/>
          <w:szCs w:val="20"/>
        </w:rPr>
      </w:pPr>
    </w:p>
    <w:p w14:paraId="794EF719" w14:textId="5C1ED02D" w:rsidR="00C0524E" w:rsidRDefault="00C0524E" w:rsidP="007837DA">
      <w:pPr>
        <w:jc w:val="both"/>
        <w:rPr>
          <w:rFonts w:ascii="Arial" w:hAnsi="Arial" w:cs="Arial"/>
          <w:sz w:val="20"/>
          <w:szCs w:val="20"/>
        </w:rPr>
      </w:pPr>
    </w:p>
    <w:p w14:paraId="3D3EBE2B" w14:textId="2B12507D" w:rsidR="00C0524E" w:rsidRDefault="00C0524E" w:rsidP="007837DA">
      <w:pPr>
        <w:jc w:val="both"/>
        <w:rPr>
          <w:rFonts w:ascii="Arial" w:hAnsi="Arial" w:cs="Arial"/>
          <w:sz w:val="20"/>
          <w:szCs w:val="20"/>
        </w:rPr>
      </w:pPr>
    </w:p>
    <w:p w14:paraId="78A68F38" w14:textId="7AEB9A05" w:rsidR="00C0524E" w:rsidRDefault="00C0524E" w:rsidP="007837DA">
      <w:pPr>
        <w:jc w:val="both"/>
        <w:rPr>
          <w:rFonts w:ascii="Arial" w:hAnsi="Arial" w:cs="Arial"/>
          <w:sz w:val="20"/>
          <w:szCs w:val="20"/>
        </w:rPr>
      </w:pPr>
    </w:p>
    <w:p w14:paraId="7E8EF044" w14:textId="77777777" w:rsidR="00C0524E" w:rsidRDefault="00C0524E" w:rsidP="007837DA">
      <w:pPr>
        <w:jc w:val="both"/>
        <w:rPr>
          <w:rFonts w:ascii="Arial" w:hAnsi="Arial" w:cs="Arial"/>
          <w:sz w:val="20"/>
          <w:szCs w:val="20"/>
        </w:rPr>
      </w:pPr>
    </w:p>
    <w:p w14:paraId="7686012B" w14:textId="77777777" w:rsidR="007821C2" w:rsidRDefault="007821C2" w:rsidP="007837DA">
      <w:pPr>
        <w:jc w:val="both"/>
        <w:rPr>
          <w:rFonts w:ascii="Arial" w:hAnsi="Arial" w:cs="Arial"/>
          <w:sz w:val="20"/>
          <w:szCs w:val="20"/>
        </w:rPr>
      </w:pPr>
    </w:p>
    <w:p w14:paraId="371C00AA" w14:textId="77777777" w:rsidR="00CC3974" w:rsidRPr="002F077F" w:rsidRDefault="00CC3974" w:rsidP="002F077F">
      <w:pPr>
        <w:jc w:val="both"/>
        <w:rPr>
          <w:rFonts w:ascii="Arial" w:hAnsi="Arial" w:cs="Arial"/>
          <w:sz w:val="20"/>
          <w:szCs w:val="20"/>
        </w:rPr>
      </w:pPr>
    </w:p>
    <w:sectPr w:rsidR="00CC3974" w:rsidRPr="002F077F" w:rsidSect="00844C6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2C43A" w16cex:dateUtc="2020-10-03T07:34:00Z"/>
  <w16cex:commentExtensible w16cex:durableId="2322C451" w16cex:dateUtc="2020-10-03T07:35:00Z"/>
  <w16cex:commentExtensible w16cex:durableId="2322C480" w16cex:dateUtc="2020-10-03T07:36:00Z"/>
  <w16cex:commentExtensible w16cex:durableId="2322C461" w16cex:dateUtc="2020-10-03T07:35:00Z"/>
  <w16cex:commentExtensible w16cex:durableId="2322C596" w16cex:dateUtc="2020-10-03T07:40:00Z"/>
  <w16cex:commentExtensible w16cex:durableId="2322C5DF" w16cex:dateUtc="2020-10-03T07:41:00Z"/>
  <w16cex:commentExtensible w16cex:durableId="2322C4D7" w16cex:dateUtc="2020-10-03T07:37:00Z"/>
  <w16cex:commentExtensible w16cex:durableId="2322C4E1" w16cex:dateUtc="2020-10-03T07:37:00Z"/>
  <w16cex:commentExtensible w16cex:durableId="2322C61F" w16cex:dateUtc="2020-10-03T07:42:00Z"/>
  <w16cex:commentExtensible w16cex:durableId="2322C863" w16cex:dateUtc="2020-10-03T07:52:00Z"/>
  <w16cex:commentExtensible w16cex:durableId="2322C4F1" w16cex:dateUtc="2020-10-03T07:37:00Z"/>
  <w16cex:commentExtensible w16cex:durableId="2322C8B2" w16cex:dateUtc="2020-10-03T07:53:00Z"/>
  <w16cex:commentExtensible w16cex:durableId="2322C4F9" w16cex:dateUtc="2020-10-03T07:38:00Z"/>
  <w16cex:commentExtensible w16cex:durableId="2322C8A9" w16cex:dateUtc="2020-10-03T07:53:00Z"/>
  <w16cex:commentExtensible w16cex:durableId="2322C66C" w16cex:dateUtc="2020-10-03T07:44:00Z"/>
  <w16cex:commentExtensible w16cex:durableId="2322C682" w16cex:dateUtc="2020-10-03T07:44:00Z"/>
  <w16cex:commentExtensible w16cex:durableId="2322C6B2" w16cex:dateUtc="2020-10-03T07:45:00Z"/>
  <w16cex:commentExtensible w16cex:durableId="2322C6BE" w16cex:dateUtc="2020-10-03T07:45:00Z"/>
  <w16cex:commentExtensible w16cex:durableId="2322C6E2" w16cex:dateUtc="2020-10-03T07:46:00Z"/>
  <w16cex:commentExtensible w16cex:durableId="2322C710" w16cex:dateUtc="2020-10-03T07:46:00Z"/>
  <w16cex:commentExtensible w16cex:durableId="2322C731" w16cex:dateUtc="2020-10-03T07:47:00Z"/>
  <w16cex:commentExtensible w16cex:durableId="2322C42E" w16cex:dateUtc="2020-10-03T07:34:00Z"/>
  <w16cex:commentExtensible w16cex:durableId="2322C756" w16cex:dateUtc="2020-10-03T07:48:00Z"/>
  <w16cex:commentExtensible w16cex:durableId="2322C77C" w16cex:dateUtc="2020-10-03T07:48:00Z"/>
  <w16cex:commentExtensible w16cex:durableId="2322C7A3" w16cex:dateUtc="2020-10-03T07:49:00Z"/>
  <w16cex:commentExtensible w16cex:durableId="2322C3B0" w16cex:dateUtc="2020-10-03T07:32:00Z"/>
  <w16cex:commentExtensible w16cex:durableId="2322C7C0" w16cex:dateUtc="2020-10-03T07:49:00Z"/>
  <w16cex:commentExtensible w16cex:durableId="2322C7C5" w16cex:dateUtc="2020-10-03T07:49:00Z"/>
  <w16cex:commentExtensible w16cex:durableId="2322C7DC" w16cex:dateUtc="2020-10-03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0C29" w14:textId="77777777" w:rsidR="007328D6" w:rsidRDefault="007328D6" w:rsidP="00F02E77">
      <w:pPr>
        <w:spacing w:after="0" w:line="240" w:lineRule="auto"/>
      </w:pPr>
      <w:r>
        <w:separator/>
      </w:r>
    </w:p>
  </w:endnote>
  <w:endnote w:type="continuationSeparator" w:id="0">
    <w:p w14:paraId="5EE84C88" w14:textId="77777777" w:rsidR="007328D6" w:rsidRDefault="007328D6" w:rsidP="00F0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F7F3" w14:textId="77777777" w:rsidR="007328D6" w:rsidRDefault="007328D6" w:rsidP="00F02E77">
      <w:pPr>
        <w:spacing w:after="0" w:line="240" w:lineRule="auto"/>
      </w:pPr>
      <w:r>
        <w:separator/>
      </w:r>
    </w:p>
  </w:footnote>
  <w:footnote w:type="continuationSeparator" w:id="0">
    <w:p w14:paraId="639084A4" w14:textId="77777777" w:rsidR="007328D6" w:rsidRDefault="007328D6" w:rsidP="00F02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05"/>
    <w:rsid w:val="00012338"/>
    <w:rsid w:val="00016587"/>
    <w:rsid w:val="000227F4"/>
    <w:rsid w:val="00023FEF"/>
    <w:rsid w:val="00043305"/>
    <w:rsid w:val="00061985"/>
    <w:rsid w:val="000744FA"/>
    <w:rsid w:val="00076BAF"/>
    <w:rsid w:val="00090176"/>
    <w:rsid w:val="000968B1"/>
    <w:rsid w:val="000A5F4A"/>
    <w:rsid w:val="000C7B66"/>
    <w:rsid w:val="00114D4B"/>
    <w:rsid w:val="00117362"/>
    <w:rsid w:val="0012072B"/>
    <w:rsid w:val="001236D7"/>
    <w:rsid w:val="00172D0C"/>
    <w:rsid w:val="001761A6"/>
    <w:rsid w:val="001F3F1C"/>
    <w:rsid w:val="00222F08"/>
    <w:rsid w:val="00290863"/>
    <w:rsid w:val="00294B3B"/>
    <w:rsid w:val="002B1105"/>
    <w:rsid w:val="002B204B"/>
    <w:rsid w:val="002B55E4"/>
    <w:rsid w:val="002B6410"/>
    <w:rsid w:val="002C51A0"/>
    <w:rsid w:val="002D19A4"/>
    <w:rsid w:val="002D4331"/>
    <w:rsid w:val="002E469F"/>
    <w:rsid w:val="002F01A4"/>
    <w:rsid w:val="002F077F"/>
    <w:rsid w:val="002F748B"/>
    <w:rsid w:val="00310DE7"/>
    <w:rsid w:val="00317840"/>
    <w:rsid w:val="0032708D"/>
    <w:rsid w:val="0034342A"/>
    <w:rsid w:val="00353744"/>
    <w:rsid w:val="003653DB"/>
    <w:rsid w:val="00385455"/>
    <w:rsid w:val="0039673D"/>
    <w:rsid w:val="003A3663"/>
    <w:rsid w:val="0040090E"/>
    <w:rsid w:val="00412D5F"/>
    <w:rsid w:val="00420E71"/>
    <w:rsid w:val="004306AF"/>
    <w:rsid w:val="0043611D"/>
    <w:rsid w:val="004657AB"/>
    <w:rsid w:val="00486628"/>
    <w:rsid w:val="0049293A"/>
    <w:rsid w:val="004948EE"/>
    <w:rsid w:val="004C3515"/>
    <w:rsid w:val="004D2975"/>
    <w:rsid w:val="004D65EF"/>
    <w:rsid w:val="0050121F"/>
    <w:rsid w:val="00502122"/>
    <w:rsid w:val="00503113"/>
    <w:rsid w:val="00504570"/>
    <w:rsid w:val="0052273F"/>
    <w:rsid w:val="005271F1"/>
    <w:rsid w:val="00541C06"/>
    <w:rsid w:val="0054782A"/>
    <w:rsid w:val="00553E6B"/>
    <w:rsid w:val="005B0949"/>
    <w:rsid w:val="005B49B5"/>
    <w:rsid w:val="005E0620"/>
    <w:rsid w:val="0062354B"/>
    <w:rsid w:val="00654A57"/>
    <w:rsid w:val="00677223"/>
    <w:rsid w:val="00690190"/>
    <w:rsid w:val="00697FDE"/>
    <w:rsid w:val="006A3CD9"/>
    <w:rsid w:val="006A6C2A"/>
    <w:rsid w:val="006F154E"/>
    <w:rsid w:val="00703424"/>
    <w:rsid w:val="00723B51"/>
    <w:rsid w:val="007318A3"/>
    <w:rsid w:val="007328D6"/>
    <w:rsid w:val="00733D48"/>
    <w:rsid w:val="007517C5"/>
    <w:rsid w:val="007821C2"/>
    <w:rsid w:val="007837DA"/>
    <w:rsid w:val="007A7325"/>
    <w:rsid w:val="007A7D0C"/>
    <w:rsid w:val="007B4D24"/>
    <w:rsid w:val="007E2103"/>
    <w:rsid w:val="00803C09"/>
    <w:rsid w:val="00834AA0"/>
    <w:rsid w:val="00844C69"/>
    <w:rsid w:val="008611F8"/>
    <w:rsid w:val="00885B87"/>
    <w:rsid w:val="00890E54"/>
    <w:rsid w:val="0089594B"/>
    <w:rsid w:val="008B76C4"/>
    <w:rsid w:val="008C30C6"/>
    <w:rsid w:val="00927431"/>
    <w:rsid w:val="00930FC5"/>
    <w:rsid w:val="009A3C68"/>
    <w:rsid w:val="009B4C97"/>
    <w:rsid w:val="009C0E38"/>
    <w:rsid w:val="009D018C"/>
    <w:rsid w:val="009D6D7F"/>
    <w:rsid w:val="00A8468E"/>
    <w:rsid w:val="00AB4D0A"/>
    <w:rsid w:val="00AC0321"/>
    <w:rsid w:val="00AD698C"/>
    <w:rsid w:val="00B07AC1"/>
    <w:rsid w:val="00B230B9"/>
    <w:rsid w:val="00B25294"/>
    <w:rsid w:val="00B34B5E"/>
    <w:rsid w:val="00B72104"/>
    <w:rsid w:val="00B75464"/>
    <w:rsid w:val="00B843FB"/>
    <w:rsid w:val="00BA58E3"/>
    <w:rsid w:val="00BB359C"/>
    <w:rsid w:val="00BC30CD"/>
    <w:rsid w:val="00BC49AD"/>
    <w:rsid w:val="00BF0509"/>
    <w:rsid w:val="00BF5D36"/>
    <w:rsid w:val="00BF5E88"/>
    <w:rsid w:val="00C0524E"/>
    <w:rsid w:val="00C30FD8"/>
    <w:rsid w:val="00C538BD"/>
    <w:rsid w:val="00C769FD"/>
    <w:rsid w:val="00C775C1"/>
    <w:rsid w:val="00C82D89"/>
    <w:rsid w:val="00CA7DA1"/>
    <w:rsid w:val="00CC3974"/>
    <w:rsid w:val="00CD51BF"/>
    <w:rsid w:val="00CF2161"/>
    <w:rsid w:val="00D157F3"/>
    <w:rsid w:val="00D24534"/>
    <w:rsid w:val="00D36E9A"/>
    <w:rsid w:val="00D42509"/>
    <w:rsid w:val="00D72154"/>
    <w:rsid w:val="00D81F5A"/>
    <w:rsid w:val="00DC2133"/>
    <w:rsid w:val="00E0148A"/>
    <w:rsid w:val="00E34667"/>
    <w:rsid w:val="00E5441A"/>
    <w:rsid w:val="00E62154"/>
    <w:rsid w:val="00E64B74"/>
    <w:rsid w:val="00E879AB"/>
    <w:rsid w:val="00E90C18"/>
    <w:rsid w:val="00EB0805"/>
    <w:rsid w:val="00EC01F9"/>
    <w:rsid w:val="00ED7C75"/>
    <w:rsid w:val="00EE21B6"/>
    <w:rsid w:val="00F02E77"/>
    <w:rsid w:val="00F250B8"/>
    <w:rsid w:val="00F33D39"/>
    <w:rsid w:val="00F353E5"/>
    <w:rsid w:val="00F50065"/>
    <w:rsid w:val="00F517BE"/>
    <w:rsid w:val="00F61D21"/>
    <w:rsid w:val="00F83F14"/>
    <w:rsid w:val="00FC36F9"/>
    <w:rsid w:val="00FD4FFC"/>
    <w:rsid w:val="00FD54BE"/>
    <w:rsid w:val="00FD76D9"/>
    <w:rsid w:val="00FF6B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8058"/>
  <w15:chartTrackingRefBased/>
  <w15:docId w15:val="{1E6A5990-B2BE-4251-B1CB-8090B26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C36F9"/>
  </w:style>
  <w:style w:type="character" w:customStyle="1" w:styleId="eop">
    <w:name w:val="eop"/>
    <w:basedOn w:val="DefaultParagraphFont"/>
    <w:rsid w:val="00FC36F9"/>
  </w:style>
  <w:style w:type="character" w:customStyle="1" w:styleId="findhit">
    <w:name w:val="findhit"/>
    <w:basedOn w:val="DefaultParagraphFont"/>
    <w:rsid w:val="00F02E77"/>
  </w:style>
  <w:style w:type="paragraph" w:styleId="FootnoteText">
    <w:name w:val="footnote text"/>
    <w:basedOn w:val="Normal"/>
    <w:link w:val="FootnoteTextChar"/>
    <w:uiPriority w:val="99"/>
    <w:semiHidden/>
    <w:unhideWhenUsed/>
    <w:rsid w:val="00F02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77"/>
    <w:rPr>
      <w:sz w:val="20"/>
      <w:szCs w:val="20"/>
    </w:rPr>
  </w:style>
  <w:style w:type="character" w:styleId="FootnoteReference">
    <w:name w:val="footnote reference"/>
    <w:basedOn w:val="DefaultParagraphFont"/>
    <w:uiPriority w:val="99"/>
    <w:semiHidden/>
    <w:unhideWhenUsed/>
    <w:rsid w:val="00F02E77"/>
    <w:rPr>
      <w:vertAlign w:val="superscript"/>
    </w:rPr>
  </w:style>
  <w:style w:type="character" w:styleId="CommentReference">
    <w:name w:val="annotation reference"/>
    <w:basedOn w:val="DefaultParagraphFont"/>
    <w:uiPriority w:val="99"/>
    <w:semiHidden/>
    <w:unhideWhenUsed/>
    <w:rsid w:val="00834AA0"/>
    <w:rPr>
      <w:sz w:val="16"/>
      <w:szCs w:val="16"/>
    </w:rPr>
  </w:style>
  <w:style w:type="paragraph" w:styleId="CommentText">
    <w:name w:val="annotation text"/>
    <w:basedOn w:val="Normal"/>
    <w:link w:val="CommentTextChar"/>
    <w:uiPriority w:val="99"/>
    <w:semiHidden/>
    <w:unhideWhenUsed/>
    <w:rsid w:val="00834AA0"/>
    <w:pPr>
      <w:spacing w:line="240" w:lineRule="auto"/>
    </w:pPr>
    <w:rPr>
      <w:sz w:val="20"/>
      <w:szCs w:val="20"/>
    </w:rPr>
  </w:style>
  <w:style w:type="character" w:customStyle="1" w:styleId="CommentTextChar">
    <w:name w:val="Comment Text Char"/>
    <w:basedOn w:val="DefaultParagraphFont"/>
    <w:link w:val="CommentText"/>
    <w:uiPriority w:val="99"/>
    <w:semiHidden/>
    <w:rsid w:val="00834AA0"/>
    <w:rPr>
      <w:sz w:val="20"/>
      <w:szCs w:val="20"/>
    </w:rPr>
  </w:style>
  <w:style w:type="paragraph" w:styleId="CommentSubject">
    <w:name w:val="annotation subject"/>
    <w:basedOn w:val="CommentText"/>
    <w:next w:val="CommentText"/>
    <w:link w:val="CommentSubjectChar"/>
    <w:uiPriority w:val="99"/>
    <w:semiHidden/>
    <w:unhideWhenUsed/>
    <w:rsid w:val="00834AA0"/>
    <w:rPr>
      <w:b/>
      <w:bCs/>
    </w:rPr>
  </w:style>
  <w:style w:type="character" w:customStyle="1" w:styleId="CommentSubjectChar">
    <w:name w:val="Comment Subject Char"/>
    <w:basedOn w:val="CommentTextChar"/>
    <w:link w:val="CommentSubject"/>
    <w:uiPriority w:val="99"/>
    <w:semiHidden/>
    <w:rsid w:val="00834AA0"/>
    <w:rPr>
      <w:b/>
      <w:bCs/>
      <w:sz w:val="20"/>
      <w:szCs w:val="20"/>
    </w:rPr>
  </w:style>
  <w:style w:type="paragraph" w:styleId="BalloonText">
    <w:name w:val="Balloon Text"/>
    <w:basedOn w:val="Normal"/>
    <w:link w:val="BalloonTextChar"/>
    <w:uiPriority w:val="99"/>
    <w:semiHidden/>
    <w:unhideWhenUsed/>
    <w:rsid w:val="00834A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A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19372">
      <w:bodyDiv w:val="1"/>
      <w:marLeft w:val="0"/>
      <w:marRight w:val="0"/>
      <w:marTop w:val="0"/>
      <w:marBottom w:val="0"/>
      <w:divBdr>
        <w:top w:val="none" w:sz="0" w:space="0" w:color="auto"/>
        <w:left w:val="none" w:sz="0" w:space="0" w:color="auto"/>
        <w:bottom w:val="none" w:sz="0" w:space="0" w:color="auto"/>
        <w:right w:val="none" w:sz="0" w:space="0" w:color="auto"/>
      </w:divBdr>
      <w:divsChild>
        <w:div w:id="2073382124">
          <w:marLeft w:val="0"/>
          <w:marRight w:val="0"/>
          <w:marTop w:val="300"/>
          <w:marBottom w:val="300"/>
          <w:divBdr>
            <w:top w:val="single" w:sz="6" w:space="15" w:color="AE9A64"/>
            <w:left w:val="none" w:sz="0" w:space="0" w:color="auto"/>
            <w:bottom w:val="none" w:sz="0" w:space="0" w:color="auto"/>
            <w:right w:val="none" w:sz="0" w:space="0" w:color="auto"/>
          </w:divBdr>
          <w:divsChild>
            <w:div w:id="2132548109">
              <w:marLeft w:val="0"/>
              <w:marRight w:val="0"/>
              <w:marTop w:val="0"/>
              <w:marBottom w:val="0"/>
              <w:divBdr>
                <w:top w:val="none" w:sz="0" w:space="0" w:color="auto"/>
                <w:left w:val="none" w:sz="0" w:space="0" w:color="auto"/>
                <w:bottom w:val="none" w:sz="0" w:space="0" w:color="auto"/>
                <w:right w:val="none" w:sz="0" w:space="0" w:color="auto"/>
              </w:divBdr>
            </w:div>
          </w:divsChild>
        </w:div>
        <w:div w:id="35056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8EC0-3622-43F1-82F7-91FDC168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Smets</dc:creator>
  <cp:keywords/>
  <dc:description/>
  <cp:lastModifiedBy>Maxim Smets</cp:lastModifiedBy>
  <cp:revision>2</cp:revision>
  <cp:lastPrinted>2020-10-04T09:48:00Z</cp:lastPrinted>
  <dcterms:created xsi:type="dcterms:W3CDTF">2020-10-04T10:20:00Z</dcterms:created>
  <dcterms:modified xsi:type="dcterms:W3CDTF">2020-10-04T10:20:00Z</dcterms:modified>
</cp:coreProperties>
</file>